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72"/>
                <w:szCs w:val="72"/>
              </w:rPr>
              <w:id w:val="1228188510"/>
              <w:placeholder>
                <w:docPart w:val="DefaultPlaceholder_-1854013440"/>
              </w:placeholder>
            </w:sdtPr>
            <w:sdtEndPr/>
            <w:sdtContent>
              <w:p w14:paraId="7C4EA414" w14:textId="40BDD5E8" w:rsidR="00D0226A" w:rsidRPr="001E03E1" w:rsidRDefault="00DC075D" w:rsidP="001E03E1">
                <w:pPr>
                  <w:pStyle w:val="CoverTitle"/>
                  <w:rPr>
                    <w:szCs w:val="90"/>
                  </w:rPr>
                </w:pPr>
                <w:sdt>
                  <w:sdtPr>
                    <w:rPr>
                      <w:sz w:val="52"/>
                      <w:szCs w:val="5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FB3AB9" w:rsidRPr="008B4B94">
                      <w:rPr>
                        <w:sz w:val="52"/>
                        <w:szCs w:val="52"/>
                      </w:rPr>
                      <w:t>Guidance for Applications for UK Competent Authority Approval</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5CF4ECB6" w:rsidR="00004C16" w:rsidRPr="00004C16" w:rsidRDefault="00004C16" w:rsidP="00004C16">
      <w:pPr>
        <w:rPr>
          <w:color w:val="005F63"/>
          <w:sz w:val="36"/>
          <w:szCs w:val="36"/>
        </w:rPr>
      </w:pPr>
      <w:r w:rsidRPr="00004C16">
        <w:rPr>
          <w:color w:val="005F63"/>
          <w:sz w:val="36"/>
          <w:szCs w:val="36"/>
        </w:rPr>
        <w:lastRenderedPageBreak/>
        <w:t xml:space="preserve">ONR </w:t>
      </w:r>
      <w:r w:rsidR="00002389">
        <w:rPr>
          <w:color w:val="005F63"/>
          <w:sz w:val="36"/>
          <w:szCs w:val="36"/>
        </w:rPr>
        <w:t>Guidance</w:t>
      </w:r>
      <w:r w:rsidR="00733C45">
        <w:rPr>
          <w:color w:val="005F63"/>
          <w:sz w:val="36"/>
          <w:szCs w:val="36"/>
        </w:rPr>
        <w:t xml:space="preserv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352A8DAC" w:rsidR="00004C16" w:rsidRDefault="00FB3AB9" w:rsidP="00004C16">
          <w:r>
            <w:rPr>
              <w:rStyle w:val="Style2"/>
            </w:rPr>
            <w:t>Guidance for Applications for UK Competent Authority Approval</w:t>
          </w:r>
        </w:p>
      </w:sdtContent>
    </w:sdt>
    <w:p w14:paraId="61A25C0F" w14:textId="39EC7DBA" w:rsidR="00004C16" w:rsidRDefault="00004C16" w:rsidP="00004C16">
      <w:pPr>
        <w:rPr>
          <w:sz w:val="28"/>
          <w:szCs w:val="28"/>
        </w:rPr>
      </w:pPr>
    </w:p>
    <w:p w14:paraId="4D99E381" w14:textId="71FFF3A1"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3A5C23">
        <w:rPr>
          <w:sz w:val="28"/>
          <w:szCs w:val="28"/>
        </w:rPr>
        <w:t>Principal Inspector, Transport Competent Authority</w:t>
      </w:r>
    </w:p>
    <w:p w14:paraId="23B9A867" w14:textId="15E88018"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3A5C23">
        <w:rPr>
          <w:sz w:val="28"/>
          <w:szCs w:val="28"/>
        </w:rPr>
        <w:t xml:space="preserve">Delivery Lead, Transport Competent Authority </w:t>
      </w:r>
    </w:p>
    <w:p w14:paraId="7E744BD8" w14:textId="77777777" w:rsidR="003A7E1C" w:rsidRDefault="003A7E1C" w:rsidP="00004C16">
      <w:pPr>
        <w:rPr>
          <w:sz w:val="28"/>
          <w:szCs w:val="28"/>
        </w:rPr>
      </w:pPr>
    </w:p>
    <w:p w14:paraId="247E3769" w14:textId="0A8C6BB6"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B3AB9">
            <w:rPr>
              <w:sz w:val="28"/>
              <w:szCs w:val="28"/>
            </w:rPr>
            <w:t>4</w:t>
          </w:r>
        </w:sdtContent>
      </w:sdt>
    </w:p>
    <w:p w14:paraId="19206F45" w14:textId="4F34E68D" w:rsidR="00004C16" w:rsidRDefault="00004C16" w:rsidP="00004C16">
      <w:pPr>
        <w:rPr>
          <w:sz w:val="28"/>
          <w:szCs w:val="28"/>
        </w:rPr>
      </w:pPr>
      <w:r w:rsidRPr="00004C16">
        <w:rPr>
          <w:sz w:val="28"/>
          <w:szCs w:val="28"/>
        </w:rPr>
        <w:t xml:space="preserve">Publication Date: </w:t>
      </w:r>
      <w:r w:rsidR="00E70531" w:rsidRPr="00E70531">
        <w:rPr>
          <w:sz w:val="28"/>
          <w:szCs w:val="28"/>
        </w:rPr>
        <w:t>October</w:t>
      </w:r>
      <w:r w:rsidRPr="00E70531">
        <w:rPr>
          <w:sz w:val="28"/>
          <w:szCs w:val="28"/>
        </w:rPr>
        <w:t>-</w:t>
      </w:r>
      <w:r w:rsidR="00E70531">
        <w:rPr>
          <w:sz w:val="28"/>
          <w:szCs w:val="28"/>
        </w:rPr>
        <w:t>23</w:t>
      </w:r>
    </w:p>
    <w:p w14:paraId="22297511" w14:textId="1DB4CA28" w:rsidR="005C1E52" w:rsidRPr="00004C16" w:rsidRDefault="005C1E52" w:rsidP="00004C16">
      <w:pPr>
        <w:rPr>
          <w:sz w:val="28"/>
          <w:szCs w:val="28"/>
        </w:rPr>
      </w:pPr>
      <w:r w:rsidRPr="005C1E52">
        <w:rPr>
          <w:sz w:val="28"/>
          <w:szCs w:val="28"/>
        </w:rPr>
        <w:t>Next Major Review Date</w:t>
      </w:r>
      <w:r>
        <w:rPr>
          <w:sz w:val="28"/>
          <w:szCs w:val="28"/>
        </w:rPr>
        <w:t>:</w:t>
      </w:r>
      <w:r w:rsidRPr="005C1E52">
        <w:rPr>
          <w:sz w:val="28"/>
          <w:szCs w:val="28"/>
        </w:rPr>
        <w:t xml:space="preserve"> </w:t>
      </w:r>
      <w:r w:rsidR="00E70531" w:rsidRPr="00E70531">
        <w:rPr>
          <w:sz w:val="28"/>
          <w:szCs w:val="28"/>
        </w:rPr>
        <w:t>October</w:t>
      </w:r>
      <w:r w:rsidRPr="00E70531">
        <w:rPr>
          <w:sz w:val="28"/>
          <w:szCs w:val="28"/>
        </w:rPr>
        <w:t>-</w:t>
      </w:r>
      <w:r w:rsidR="00E70531">
        <w:rPr>
          <w:sz w:val="28"/>
          <w:szCs w:val="28"/>
        </w:rPr>
        <w:t>28</w:t>
      </w:r>
    </w:p>
    <w:p w14:paraId="48A3F547" w14:textId="781EF596" w:rsidR="00004C16" w:rsidRPr="00DF0F1E" w:rsidRDefault="00004C16" w:rsidP="00004C16">
      <w:pPr>
        <w:rPr>
          <w:sz w:val="28"/>
          <w:szCs w:val="28"/>
          <w:lang w:val="it-IT"/>
        </w:rPr>
      </w:pPr>
      <w:r w:rsidRPr="00DF0F1E">
        <w:rPr>
          <w:sz w:val="28"/>
          <w:szCs w:val="28"/>
          <w:lang w:val="it-IT"/>
        </w:rPr>
        <w:t xml:space="preserve">Doc. Ref. No.: </w:t>
      </w:r>
      <w:r w:rsidR="00DF0F1E" w:rsidRPr="00DF0F1E">
        <w:rPr>
          <w:sz w:val="28"/>
          <w:szCs w:val="28"/>
          <w:lang w:val="it-IT"/>
        </w:rPr>
        <w:t>TRA-PER-GD-014</w:t>
      </w:r>
    </w:p>
    <w:p w14:paraId="55057C62" w14:textId="692171CE" w:rsidR="00004C16" w:rsidRPr="00004C16" w:rsidRDefault="00004C16" w:rsidP="00004C16">
      <w:pPr>
        <w:rPr>
          <w:sz w:val="28"/>
          <w:szCs w:val="28"/>
        </w:rPr>
      </w:pPr>
      <w:r w:rsidRPr="00004C16">
        <w:rPr>
          <w:sz w:val="28"/>
          <w:szCs w:val="28"/>
        </w:rPr>
        <w:t xml:space="preserve">Record Ref. No.: </w:t>
      </w:r>
      <w:r w:rsidR="00F5762A" w:rsidRPr="00F5762A">
        <w:rPr>
          <w:sz w:val="28"/>
          <w:szCs w:val="28"/>
        </w:rPr>
        <w:t>2019/335838</w:t>
      </w:r>
    </w:p>
    <w:p w14:paraId="39BC0EA4" w14:textId="77777777" w:rsidR="00420A11" w:rsidRDefault="00420A11" w:rsidP="00323E71"/>
    <w:p w14:paraId="0133A24A" w14:textId="7394490E" w:rsidR="00733C45" w:rsidRDefault="00733C45" w:rsidP="00733C45">
      <w:pPr>
        <w:pStyle w:val="Caption"/>
        <w:keepNext/>
      </w:pPr>
      <w:r>
        <w:t xml:space="preserve">Table </w:t>
      </w:r>
      <w:fldSimple w:instr=" SEQ Table \* ARABIC ">
        <w:r w:rsidR="00094B3D">
          <w:rPr>
            <w:noProof/>
          </w:rPr>
          <w:t>1</w:t>
        </w:r>
      </w:fldSimple>
      <w:r>
        <w:t xml:space="preserve"> - Revision Commentary</w:t>
      </w:r>
    </w:p>
    <w:tbl>
      <w:tblPr>
        <w:tblStyle w:val="ONRTable1"/>
        <w:tblW w:w="0" w:type="auto"/>
        <w:tblInd w:w="10" w:type="dxa"/>
        <w:tblLook w:val="04A0" w:firstRow="1" w:lastRow="0" w:firstColumn="1" w:lastColumn="0" w:noHBand="0" w:noVBand="1"/>
      </w:tblPr>
      <w:tblGrid>
        <w:gridCol w:w="1691"/>
        <w:gridCol w:w="8045"/>
      </w:tblGrid>
      <w:tr w:rsidR="00595C8C" w:rsidRPr="00733C45" w14:paraId="116B87DF" w14:textId="77777777" w:rsidTr="00733C45">
        <w:trPr>
          <w:cnfStyle w:val="100000000000" w:firstRow="1" w:lastRow="0" w:firstColumn="0" w:lastColumn="0" w:oddVBand="0" w:evenVBand="0" w:oddHBand="0" w:evenHBand="0" w:firstRowFirstColumn="0" w:firstRowLastColumn="0" w:lastRowFirstColumn="0" w:lastRowLastColumn="0"/>
        </w:trPr>
        <w:tc>
          <w:tcPr>
            <w:tcW w:w="1691" w:type="dxa"/>
          </w:tcPr>
          <w:p w14:paraId="72366D01" w14:textId="5285E8FF" w:rsidR="00595C8C" w:rsidRPr="00733C45" w:rsidRDefault="00595C8C" w:rsidP="00595C8C">
            <w:pPr>
              <w:spacing w:before="60" w:after="60"/>
              <w:rPr>
                <w:b w:val="0"/>
                <w:bCs/>
              </w:rPr>
            </w:pPr>
            <w:r w:rsidRPr="00733C45">
              <w:rPr>
                <w:b w:val="0"/>
                <w:bCs/>
              </w:rPr>
              <w:t>Issue</w:t>
            </w:r>
            <w:r w:rsidR="004E3932" w:rsidRPr="00733C45">
              <w:rPr>
                <w:b w:val="0"/>
                <w:bCs/>
              </w:rPr>
              <w:t xml:space="preserve"> No.</w:t>
            </w:r>
          </w:p>
        </w:tc>
        <w:tc>
          <w:tcPr>
            <w:tcW w:w="8045" w:type="dxa"/>
          </w:tcPr>
          <w:p w14:paraId="2D00C3FD" w14:textId="26176D05" w:rsidR="00595C8C" w:rsidRPr="00733C45" w:rsidRDefault="00595C8C" w:rsidP="00595C8C">
            <w:pPr>
              <w:spacing w:before="60" w:after="60"/>
              <w:rPr>
                <w:b w:val="0"/>
                <w:bCs/>
              </w:rPr>
            </w:pPr>
            <w:r w:rsidRPr="00733C45">
              <w:rPr>
                <w:b w:val="0"/>
                <w:bCs/>
              </w:rPr>
              <w:t>Description of Update(s)</w:t>
            </w:r>
          </w:p>
        </w:tc>
      </w:tr>
      <w:tr w:rsidR="00595C8C" w14:paraId="0B4E4E42" w14:textId="77777777" w:rsidTr="00733C45">
        <w:tc>
          <w:tcPr>
            <w:tcW w:w="1691" w:type="dxa"/>
          </w:tcPr>
          <w:p w14:paraId="65482A03" w14:textId="447EF843" w:rsidR="00595C8C" w:rsidRDefault="00AF3A80" w:rsidP="00595C8C">
            <w:pPr>
              <w:spacing w:before="60" w:after="60"/>
            </w:pPr>
            <w:r>
              <w:t>0</w:t>
            </w:r>
          </w:p>
        </w:tc>
        <w:tc>
          <w:tcPr>
            <w:tcW w:w="8045" w:type="dxa"/>
          </w:tcPr>
          <w:p w14:paraId="1C80912E" w14:textId="1E741B5F" w:rsidR="00595C8C" w:rsidRDefault="006F5100" w:rsidP="00595C8C">
            <w:pPr>
              <w:spacing w:before="60" w:after="60"/>
            </w:pPr>
            <w:r w:rsidRPr="006F5100">
              <w:t>(April 2016): This document replaces the ‘Applicants Guide’ previously issued by DfT</w:t>
            </w:r>
          </w:p>
        </w:tc>
      </w:tr>
      <w:tr w:rsidR="00AF3A80" w14:paraId="0C6BE1C3" w14:textId="77777777" w:rsidTr="00733C45">
        <w:tc>
          <w:tcPr>
            <w:tcW w:w="1691" w:type="dxa"/>
          </w:tcPr>
          <w:p w14:paraId="1F3A874F" w14:textId="5606F68F" w:rsidR="00AF3A80" w:rsidRDefault="00AF3A80" w:rsidP="00595C8C">
            <w:pPr>
              <w:spacing w:before="60" w:after="60"/>
            </w:pPr>
            <w:r>
              <w:t>1</w:t>
            </w:r>
          </w:p>
        </w:tc>
        <w:tc>
          <w:tcPr>
            <w:tcW w:w="8045" w:type="dxa"/>
          </w:tcPr>
          <w:p w14:paraId="23659E05" w14:textId="20A2664B" w:rsidR="00AF3A80" w:rsidRDefault="00DD0856" w:rsidP="00595C8C">
            <w:pPr>
              <w:spacing w:before="60" w:after="60"/>
            </w:pPr>
            <w:r w:rsidRPr="00DD0856">
              <w:t>(July 2016): paragraph 6.9 added to describe the process following a period of inactivity of 12 months.</w:t>
            </w:r>
          </w:p>
        </w:tc>
      </w:tr>
      <w:tr w:rsidR="00AF3A80" w14:paraId="41E79BBD" w14:textId="77777777" w:rsidTr="00733C45">
        <w:tc>
          <w:tcPr>
            <w:tcW w:w="1691" w:type="dxa"/>
          </w:tcPr>
          <w:p w14:paraId="678B78FA" w14:textId="642DAC15" w:rsidR="00AF3A80" w:rsidRDefault="00AF3A80" w:rsidP="00595C8C">
            <w:pPr>
              <w:spacing w:before="60" w:after="60"/>
            </w:pPr>
            <w:r>
              <w:t>2</w:t>
            </w:r>
          </w:p>
        </w:tc>
        <w:tc>
          <w:tcPr>
            <w:tcW w:w="8045" w:type="dxa"/>
          </w:tcPr>
          <w:p w14:paraId="6CACF2B3" w14:textId="113B0E9C" w:rsidR="00AF3A80" w:rsidRDefault="00CB0970" w:rsidP="00595C8C">
            <w:pPr>
              <w:spacing w:before="60" w:after="60"/>
            </w:pPr>
            <w:r w:rsidRPr="00CB0970">
              <w:t>(June 2019): update in accordance with current legal requirements and process changes.</w:t>
            </w:r>
          </w:p>
        </w:tc>
      </w:tr>
      <w:tr w:rsidR="00AF3A80" w14:paraId="1AF8591A" w14:textId="77777777" w:rsidTr="00733C45">
        <w:tc>
          <w:tcPr>
            <w:tcW w:w="1691" w:type="dxa"/>
          </w:tcPr>
          <w:p w14:paraId="24EAFB45" w14:textId="472F7D31" w:rsidR="00AF3A80" w:rsidRDefault="00AF3A80" w:rsidP="00595C8C">
            <w:pPr>
              <w:spacing w:before="60" w:after="60"/>
            </w:pPr>
            <w:r>
              <w:t>3</w:t>
            </w:r>
          </w:p>
        </w:tc>
        <w:tc>
          <w:tcPr>
            <w:tcW w:w="8045" w:type="dxa"/>
          </w:tcPr>
          <w:p w14:paraId="65B63ABD" w14:textId="258C1EF4" w:rsidR="00AF3A80" w:rsidRDefault="00CC51E6" w:rsidP="00595C8C">
            <w:pPr>
              <w:spacing w:before="60" w:after="60"/>
            </w:pPr>
            <w:r w:rsidRPr="00CC51E6">
              <w:t>(Sept 2019)</w:t>
            </w:r>
            <w:r w:rsidR="006D7DB3">
              <w:t>:</w:t>
            </w:r>
            <w:r w:rsidRPr="00CC51E6">
              <w:t xml:space="preserve"> removal of costing guidance due to changes in ONR charging process.</w:t>
            </w:r>
          </w:p>
        </w:tc>
      </w:tr>
      <w:tr w:rsidR="00E112DC" w14:paraId="6A31D910" w14:textId="77777777" w:rsidTr="00733C45">
        <w:tc>
          <w:tcPr>
            <w:tcW w:w="1691" w:type="dxa"/>
          </w:tcPr>
          <w:p w14:paraId="03EC18D6" w14:textId="15613CD1" w:rsidR="00E112DC" w:rsidRDefault="00E112DC" w:rsidP="00595C8C">
            <w:pPr>
              <w:spacing w:before="60" w:after="60"/>
            </w:pPr>
            <w:r>
              <w:t>4</w:t>
            </w:r>
          </w:p>
        </w:tc>
        <w:tc>
          <w:tcPr>
            <w:tcW w:w="8045" w:type="dxa"/>
          </w:tcPr>
          <w:p w14:paraId="138180AB" w14:textId="2BBD35E5" w:rsidR="00E112DC" w:rsidRDefault="006D7DB3" w:rsidP="00595C8C">
            <w:pPr>
              <w:spacing w:before="60" w:after="60"/>
            </w:pPr>
            <w:r>
              <w:t>(</w:t>
            </w:r>
            <w:r w:rsidR="0056180B">
              <w:t>Oct</w:t>
            </w:r>
            <w:r>
              <w:t xml:space="preserve"> 202</w:t>
            </w:r>
            <w:r w:rsidR="0056180B">
              <w:t>3</w:t>
            </w:r>
            <w:r>
              <w:t xml:space="preserve">): </w:t>
            </w:r>
            <w:r w:rsidR="009C12FA">
              <w:t xml:space="preserve">general </w:t>
            </w:r>
            <w:r>
              <w:t>update</w:t>
            </w:r>
            <w:r w:rsidR="0056180B">
              <w:t xml:space="preserve">, </w:t>
            </w:r>
            <w:r w:rsidR="00F4127B" w:rsidRPr="00F4127B">
              <w:t>expectations regarding Human Factors assessment</w:t>
            </w:r>
            <w:r w:rsidR="00EC01C4">
              <w:t>,</w:t>
            </w:r>
            <w:r>
              <w:t xml:space="preserve"> inclu</w:t>
            </w:r>
            <w:r w:rsidR="009C12FA">
              <w:t>s</w:t>
            </w:r>
            <w:r>
              <w:t>ion of guidance for special arrangements</w:t>
            </w:r>
            <w:r w:rsidR="00EC01C4">
              <w:t xml:space="preserve"> and guidance</w:t>
            </w:r>
            <w:r w:rsidR="00EC01C4" w:rsidRPr="00EC01C4">
              <w:t xml:space="preserve"> on expected duration of assessment by ONR</w:t>
            </w:r>
          </w:p>
        </w:tc>
      </w:tr>
    </w:tbl>
    <w:p w14:paraId="1FDB4B56" w14:textId="6C10B266" w:rsidR="00595C8C" w:rsidRDefault="00595C8C" w:rsidP="00323E71">
      <w:pPr>
        <w:sectPr w:rsidR="00595C8C" w:rsidSect="004C4891">
          <w:headerReference w:type="even" r:id="rId10"/>
          <w:headerReference w:type="default" r:id="rId11"/>
          <w:footerReference w:type="even" r:id="rId12"/>
          <w:footerReference w:type="default" r:id="rId13"/>
          <w:headerReference w:type="first" r:id="rId14"/>
          <w:footerReference w:type="first" r:id="rId15"/>
          <w:pgSz w:w="11906" w:h="16838" w:code="9"/>
          <w:pgMar w:top="1440" w:right="1080" w:bottom="1440" w:left="108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3D6672A5" w14:textId="41977419" w:rsidR="00D055AA" w:rsidRDefault="00AD167C">
      <w:pPr>
        <w:pStyle w:val="TOC1"/>
        <w:tabs>
          <w:tab w:val="left" w:pos="720"/>
        </w:tabs>
        <w:rPr>
          <w:rFonts w:asciiTheme="minorHAnsi" w:eastAsiaTheme="minorEastAsia" w:hAnsiTheme="minorHAnsi" w:cstheme="minorBidi"/>
          <w:sz w:val="22"/>
          <w:lang w:eastAsia="en-GB" w:bidi="ar-SA"/>
        </w:rPr>
      </w:pPr>
      <w:r>
        <w:fldChar w:fldCharType="begin"/>
      </w:r>
      <w:r w:rsidR="00716AB1" w:rsidRPr="00893D9F">
        <w:instrText xml:space="preserve"> TOC \h \z \t "Heading 1,</w:instrText>
      </w:r>
      <w:r w:rsidR="009C15F3" w:rsidRPr="00893D9F">
        <w:instrText>1</w:instrText>
      </w:r>
      <w:r w:rsidR="00716AB1" w:rsidRPr="00893D9F">
        <w:instrText>,Heading 2,</w:instrText>
      </w:r>
      <w:r w:rsidR="009C15F3" w:rsidRPr="00893D9F">
        <w:instrText>2</w:instrText>
      </w:r>
      <w:r w:rsidR="00716AB1" w:rsidRPr="00893D9F">
        <w:instrText xml:space="preserve">" </w:instrText>
      </w:r>
      <w:r>
        <w:fldChar w:fldCharType="separate"/>
      </w:r>
      <w:hyperlink w:anchor="_Toc136940109" w:history="1">
        <w:r w:rsidR="00D055AA" w:rsidRPr="00913A51">
          <w:rPr>
            <w:rStyle w:val="Hyperlink"/>
          </w:rPr>
          <w:t>1.</w:t>
        </w:r>
        <w:r w:rsidR="00D055AA">
          <w:rPr>
            <w:rFonts w:asciiTheme="minorHAnsi" w:eastAsiaTheme="minorEastAsia" w:hAnsiTheme="minorHAnsi" w:cstheme="minorBidi"/>
            <w:sz w:val="22"/>
            <w:lang w:eastAsia="en-GB" w:bidi="ar-SA"/>
          </w:rPr>
          <w:tab/>
        </w:r>
        <w:r w:rsidR="00D055AA" w:rsidRPr="00913A51">
          <w:rPr>
            <w:rStyle w:val="Hyperlink"/>
          </w:rPr>
          <w:t>Introduction</w:t>
        </w:r>
        <w:r w:rsidR="00D055AA">
          <w:rPr>
            <w:webHidden/>
          </w:rPr>
          <w:tab/>
        </w:r>
        <w:r w:rsidR="00D055AA">
          <w:rPr>
            <w:webHidden/>
          </w:rPr>
          <w:fldChar w:fldCharType="begin"/>
        </w:r>
        <w:r w:rsidR="00D055AA">
          <w:rPr>
            <w:webHidden/>
          </w:rPr>
          <w:instrText xml:space="preserve"> PAGEREF _Toc136940109 \h </w:instrText>
        </w:r>
        <w:r w:rsidR="00D055AA">
          <w:rPr>
            <w:webHidden/>
          </w:rPr>
        </w:r>
        <w:r w:rsidR="00D055AA">
          <w:rPr>
            <w:webHidden/>
          </w:rPr>
          <w:fldChar w:fldCharType="separate"/>
        </w:r>
        <w:r w:rsidR="00D055AA">
          <w:rPr>
            <w:webHidden/>
          </w:rPr>
          <w:t>4</w:t>
        </w:r>
        <w:r w:rsidR="00D055AA">
          <w:rPr>
            <w:webHidden/>
          </w:rPr>
          <w:fldChar w:fldCharType="end"/>
        </w:r>
      </w:hyperlink>
    </w:p>
    <w:p w14:paraId="1E48F95D" w14:textId="49CB21E5" w:rsidR="00D055AA" w:rsidRDefault="00DC075D">
      <w:pPr>
        <w:pStyle w:val="TOC2"/>
        <w:tabs>
          <w:tab w:val="left" w:pos="1100"/>
        </w:tabs>
        <w:rPr>
          <w:rFonts w:asciiTheme="minorHAnsi" w:eastAsiaTheme="minorEastAsia" w:hAnsiTheme="minorHAnsi" w:cstheme="minorBidi"/>
          <w:sz w:val="22"/>
          <w:lang w:eastAsia="en-GB" w:bidi="ar-SA"/>
        </w:rPr>
      </w:pPr>
      <w:hyperlink w:anchor="_Toc136940110" w:history="1">
        <w:r w:rsidR="00D055AA" w:rsidRPr="00913A51">
          <w:rPr>
            <w:rStyle w:val="Hyperlink"/>
          </w:rPr>
          <w:t>1.1.</w:t>
        </w:r>
        <w:r w:rsidR="00D055AA">
          <w:rPr>
            <w:rFonts w:asciiTheme="minorHAnsi" w:eastAsiaTheme="minorEastAsia" w:hAnsiTheme="minorHAnsi" w:cstheme="minorBidi"/>
            <w:sz w:val="22"/>
            <w:lang w:eastAsia="en-GB" w:bidi="ar-SA"/>
          </w:rPr>
          <w:tab/>
        </w:r>
        <w:r w:rsidR="00D055AA" w:rsidRPr="00913A51">
          <w:rPr>
            <w:rStyle w:val="Hyperlink"/>
          </w:rPr>
          <w:t>Purpose</w:t>
        </w:r>
        <w:r w:rsidR="00D055AA">
          <w:rPr>
            <w:webHidden/>
          </w:rPr>
          <w:tab/>
        </w:r>
        <w:r w:rsidR="00D055AA">
          <w:rPr>
            <w:webHidden/>
          </w:rPr>
          <w:fldChar w:fldCharType="begin"/>
        </w:r>
        <w:r w:rsidR="00D055AA">
          <w:rPr>
            <w:webHidden/>
          </w:rPr>
          <w:instrText xml:space="preserve"> PAGEREF _Toc136940110 \h </w:instrText>
        </w:r>
        <w:r w:rsidR="00D055AA">
          <w:rPr>
            <w:webHidden/>
          </w:rPr>
        </w:r>
        <w:r w:rsidR="00D055AA">
          <w:rPr>
            <w:webHidden/>
          </w:rPr>
          <w:fldChar w:fldCharType="separate"/>
        </w:r>
        <w:r w:rsidR="00D055AA">
          <w:rPr>
            <w:webHidden/>
          </w:rPr>
          <w:t>4</w:t>
        </w:r>
        <w:r w:rsidR="00D055AA">
          <w:rPr>
            <w:webHidden/>
          </w:rPr>
          <w:fldChar w:fldCharType="end"/>
        </w:r>
      </w:hyperlink>
    </w:p>
    <w:p w14:paraId="70931AF5" w14:textId="09F48D83" w:rsidR="00D055AA" w:rsidRDefault="00DC075D">
      <w:pPr>
        <w:pStyle w:val="TOC2"/>
        <w:tabs>
          <w:tab w:val="left" w:pos="1100"/>
        </w:tabs>
        <w:rPr>
          <w:rFonts w:asciiTheme="minorHAnsi" w:eastAsiaTheme="minorEastAsia" w:hAnsiTheme="minorHAnsi" w:cstheme="minorBidi"/>
          <w:sz w:val="22"/>
          <w:lang w:eastAsia="en-GB" w:bidi="ar-SA"/>
        </w:rPr>
      </w:pPr>
      <w:hyperlink w:anchor="_Toc136940111" w:history="1">
        <w:r w:rsidR="00D055AA" w:rsidRPr="00913A51">
          <w:rPr>
            <w:rStyle w:val="Hyperlink"/>
          </w:rPr>
          <w:t>1.2.</w:t>
        </w:r>
        <w:r w:rsidR="00D055AA">
          <w:rPr>
            <w:rFonts w:asciiTheme="minorHAnsi" w:eastAsiaTheme="minorEastAsia" w:hAnsiTheme="minorHAnsi" w:cstheme="minorBidi"/>
            <w:sz w:val="22"/>
            <w:lang w:eastAsia="en-GB" w:bidi="ar-SA"/>
          </w:rPr>
          <w:tab/>
        </w:r>
        <w:r w:rsidR="00D055AA" w:rsidRPr="00913A51">
          <w:rPr>
            <w:rStyle w:val="Hyperlink"/>
          </w:rPr>
          <w:t>Scope and Applicability</w:t>
        </w:r>
        <w:r w:rsidR="00D055AA">
          <w:rPr>
            <w:webHidden/>
          </w:rPr>
          <w:tab/>
        </w:r>
        <w:r w:rsidR="00D055AA">
          <w:rPr>
            <w:webHidden/>
          </w:rPr>
          <w:fldChar w:fldCharType="begin"/>
        </w:r>
        <w:r w:rsidR="00D055AA">
          <w:rPr>
            <w:webHidden/>
          </w:rPr>
          <w:instrText xml:space="preserve"> PAGEREF _Toc136940111 \h </w:instrText>
        </w:r>
        <w:r w:rsidR="00D055AA">
          <w:rPr>
            <w:webHidden/>
          </w:rPr>
        </w:r>
        <w:r w:rsidR="00D055AA">
          <w:rPr>
            <w:webHidden/>
          </w:rPr>
          <w:fldChar w:fldCharType="separate"/>
        </w:r>
        <w:r w:rsidR="00D055AA">
          <w:rPr>
            <w:webHidden/>
          </w:rPr>
          <w:t>4</w:t>
        </w:r>
        <w:r w:rsidR="00D055AA">
          <w:rPr>
            <w:webHidden/>
          </w:rPr>
          <w:fldChar w:fldCharType="end"/>
        </w:r>
      </w:hyperlink>
    </w:p>
    <w:p w14:paraId="567E0F5B" w14:textId="2B194338" w:rsidR="00D055AA" w:rsidRDefault="00DC075D">
      <w:pPr>
        <w:pStyle w:val="TOC2"/>
        <w:tabs>
          <w:tab w:val="left" w:pos="1100"/>
        </w:tabs>
        <w:rPr>
          <w:rFonts w:asciiTheme="minorHAnsi" w:eastAsiaTheme="minorEastAsia" w:hAnsiTheme="minorHAnsi" w:cstheme="minorBidi"/>
          <w:sz w:val="22"/>
          <w:lang w:eastAsia="en-GB" w:bidi="ar-SA"/>
        </w:rPr>
      </w:pPr>
      <w:hyperlink w:anchor="_Toc136940112" w:history="1">
        <w:r w:rsidR="00D055AA" w:rsidRPr="00913A51">
          <w:rPr>
            <w:rStyle w:val="Hyperlink"/>
          </w:rPr>
          <w:t>1.3.</w:t>
        </w:r>
        <w:r w:rsidR="00D055AA">
          <w:rPr>
            <w:rFonts w:asciiTheme="minorHAnsi" w:eastAsiaTheme="minorEastAsia" w:hAnsiTheme="minorHAnsi" w:cstheme="minorBidi"/>
            <w:sz w:val="22"/>
            <w:lang w:eastAsia="en-GB" w:bidi="ar-SA"/>
          </w:rPr>
          <w:tab/>
        </w:r>
        <w:r w:rsidR="00D055AA" w:rsidRPr="00913A51">
          <w:rPr>
            <w:rStyle w:val="Hyperlink"/>
          </w:rPr>
          <w:t>Definitions</w:t>
        </w:r>
        <w:r w:rsidR="00D055AA">
          <w:rPr>
            <w:webHidden/>
          </w:rPr>
          <w:tab/>
        </w:r>
        <w:r w:rsidR="00D055AA">
          <w:rPr>
            <w:webHidden/>
          </w:rPr>
          <w:fldChar w:fldCharType="begin"/>
        </w:r>
        <w:r w:rsidR="00D055AA">
          <w:rPr>
            <w:webHidden/>
          </w:rPr>
          <w:instrText xml:space="preserve"> PAGEREF _Toc136940112 \h </w:instrText>
        </w:r>
        <w:r w:rsidR="00D055AA">
          <w:rPr>
            <w:webHidden/>
          </w:rPr>
        </w:r>
        <w:r w:rsidR="00D055AA">
          <w:rPr>
            <w:webHidden/>
          </w:rPr>
          <w:fldChar w:fldCharType="separate"/>
        </w:r>
        <w:r w:rsidR="00D055AA">
          <w:rPr>
            <w:webHidden/>
          </w:rPr>
          <w:t>4</w:t>
        </w:r>
        <w:r w:rsidR="00D055AA">
          <w:rPr>
            <w:webHidden/>
          </w:rPr>
          <w:fldChar w:fldCharType="end"/>
        </w:r>
      </w:hyperlink>
    </w:p>
    <w:p w14:paraId="3D1FF4B2" w14:textId="4A9E18AB" w:rsidR="00D055AA" w:rsidRDefault="00DC075D">
      <w:pPr>
        <w:pStyle w:val="TOC1"/>
        <w:tabs>
          <w:tab w:val="left" w:pos="720"/>
        </w:tabs>
        <w:rPr>
          <w:rFonts w:asciiTheme="minorHAnsi" w:eastAsiaTheme="minorEastAsia" w:hAnsiTheme="minorHAnsi" w:cstheme="minorBidi"/>
          <w:sz w:val="22"/>
          <w:lang w:eastAsia="en-GB" w:bidi="ar-SA"/>
        </w:rPr>
      </w:pPr>
      <w:hyperlink w:anchor="_Toc136940113" w:history="1">
        <w:r w:rsidR="00D055AA" w:rsidRPr="00913A51">
          <w:rPr>
            <w:rStyle w:val="Hyperlink"/>
          </w:rPr>
          <w:t>2.</w:t>
        </w:r>
        <w:r w:rsidR="00D055AA">
          <w:rPr>
            <w:rFonts w:asciiTheme="minorHAnsi" w:eastAsiaTheme="minorEastAsia" w:hAnsiTheme="minorHAnsi" w:cstheme="minorBidi"/>
            <w:sz w:val="22"/>
            <w:lang w:eastAsia="en-GB" w:bidi="ar-SA"/>
          </w:rPr>
          <w:tab/>
        </w:r>
        <w:r w:rsidR="00D055AA" w:rsidRPr="00913A51">
          <w:rPr>
            <w:rStyle w:val="Hyperlink"/>
          </w:rPr>
          <w:t>General Information</w:t>
        </w:r>
        <w:r w:rsidR="00D055AA">
          <w:rPr>
            <w:webHidden/>
          </w:rPr>
          <w:tab/>
        </w:r>
        <w:r w:rsidR="00D055AA">
          <w:rPr>
            <w:webHidden/>
          </w:rPr>
          <w:fldChar w:fldCharType="begin"/>
        </w:r>
        <w:r w:rsidR="00D055AA">
          <w:rPr>
            <w:webHidden/>
          </w:rPr>
          <w:instrText xml:space="preserve"> PAGEREF _Toc136940113 \h </w:instrText>
        </w:r>
        <w:r w:rsidR="00D055AA">
          <w:rPr>
            <w:webHidden/>
          </w:rPr>
        </w:r>
        <w:r w:rsidR="00D055AA">
          <w:rPr>
            <w:webHidden/>
          </w:rPr>
          <w:fldChar w:fldCharType="separate"/>
        </w:r>
        <w:r w:rsidR="00D055AA">
          <w:rPr>
            <w:webHidden/>
          </w:rPr>
          <w:t>6</w:t>
        </w:r>
        <w:r w:rsidR="00D055AA">
          <w:rPr>
            <w:webHidden/>
          </w:rPr>
          <w:fldChar w:fldCharType="end"/>
        </w:r>
      </w:hyperlink>
    </w:p>
    <w:p w14:paraId="0DFB13F4" w14:textId="4EF2E592" w:rsidR="00D055AA" w:rsidRDefault="00DC075D">
      <w:pPr>
        <w:pStyle w:val="TOC1"/>
        <w:tabs>
          <w:tab w:val="left" w:pos="720"/>
        </w:tabs>
        <w:rPr>
          <w:rFonts w:asciiTheme="minorHAnsi" w:eastAsiaTheme="minorEastAsia" w:hAnsiTheme="minorHAnsi" w:cstheme="minorBidi"/>
          <w:sz w:val="22"/>
          <w:lang w:eastAsia="en-GB" w:bidi="ar-SA"/>
        </w:rPr>
      </w:pPr>
      <w:hyperlink w:anchor="_Toc136940114" w:history="1">
        <w:r w:rsidR="00D055AA" w:rsidRPr="00913A51">
          <w:rPr>
            <w:rStyle w:val="Hyperlink"/>
          </w:rPr>
          <w:t>3.</w:t>
        </w:r>
        <w:r w:rsidR="00D055AA">
          <w:rPr>
            <w:rFonts w:asciiTheme="minorHAnsi" w:eastAsiaTheme="minorEastAsia" w:hAnsiTheme="minorHAnsi" w:cstheme="minorBidi"/>
            <w:sz w:val="22"/>
            <w:lang w:eastAsia="en-GB" w:bidi="ar-SA"/>
          </w:rPr>
          <w:tab/>
        </w:r>
        <w:r w:rsidR="00D055AA" w:rsidRPr="00913A51">
          <w:rPr>
            <w:rStyle w:val="Hyperlink"/>
          </w:rPr>
          <w:t>Applications for Competent Authority Approval</w:t>
        </w:r>
        <w:r w:rsidR="00D055AA">
          <w:rPr>
            <w:webHidden/>
          </w:rPr>
          <w:tab/>
        </w:r>
        <w:r w:rsidR="00D055AA">
          <w:rPr>
            <w:webHidden/>
          </w:rPr>
          <w:fldChar w:fldCharType="begin"/>
        </w:r>
        <w:r w:rsidR="00D055AA">
          <w:rPr>
            <w:webHidden/>
          </w:rPr>
          <w:instrText xml:space="preserve"> PAGEREF _Toc136940114 \h </w:instrText>
        </w:r>
        <w:r w:rsidR="00D055AA">
          <w:rPr>
            <w:webHidden/>
          </w:rPr>
        </w:r>
        <w:r w:rsidR="00D055AA">
          <w:rPr>
            <w:webHidden/>
          </w:rPr>
          <w:fldChar w:fldCharType="separate"/>
        </w:r>
        <w:r w:rsidR="00D055AA">
          <w:rPr>
            <w:webHidden/>
          </w:rPr>
          <w:t>7</w:t>
        </w:r>
        <w:r w:rsidR="00D055AA">
          <w:rPr>
            <w:webHidden/>
          </w:rPr>
          <w:fldChar w:fldCharType="end"/>
        </w:r>
      </w:hyperlink>
    </w:p>
    <w:p w14:paraId="74392F76" w14:textId="67CDA549" w:rsidR="00D055AA" w:rsidRDefault="00DC075D">
      <w:pPr>
        <w:pStyle w:val="TOC2"/>
        <w:tabs>
          <w:tab w:val="left" w:pos="1100"/>
        </w:tabs>
        <w:rPr>
          <w:rFonts w:asciiTheme="minorHAnsi" w:eastAsiaTheme="minorEastAsia" w:hAnsiTheme="minorHAnsi" w:cstheme="minorBidi"/>
          <w:sz w:val="22"/>
          <w:lang w:eastAsia="en-GB" w:bidi="ar-SA"/>
        </w:rPr>
      </w:pPr>
      <w:hyperlink w:anchor="_Toc136940115" w:history="1">
        <w:r w:rsidR="00D055AA" w:rsidRPr="00913A51">
          <w:rPr>
            <w:rStyle w:val="Hyperlink"/>
          </w:rPr>
          <w:t>3.1.</w:t>
        </w:r>
        <w:r w:rsidR="00D055AA">
          <w:rPr>
            <w:rFonts w:asciiTheme="minorHAnsi" w:eastAsiaTheme="minorEastAsia" w:hAnsiTheme="minorHAnsi" w:cstheme="minorBidi"/>
            <w:sz w:val="22"/>
            <w:lang w:eastAsia="en-GB" w:bidi="ar-SA"/>
          </w:rPr>
          <w:tab/>
        </w:r>
        <w:r w:rsidR="00D055AA" w:rsidRPr="00913A51">
          <w:rPr>
            <w:rStyle w:val="Hyperlink"/>
          </w:rPr>
          <w:t>Contents of Applications</w:t>
        </w:r>
        <w:r w:rsidR="00D055AA">
          <w:rPr>
            <w:webHidden/>
          </w:rPr>
          <w:tab/>
        </w:r>
        <w:r w:rsidR="00D055AA">
          <w:rPr>
            <w:webHidden/>
          </w:rPr>
          <w:fldChar w:fldCharType="begin"/>
        </w:r>
        <w:r w:rsidR="00D055AA">
          <w:rPr>
            <w:webHidden/>
          </w:rPr>
          <w:instrText xml:space="preserve"> PAGEREF _Toc136940115 \h </w:instrText>
        </w:r>
        <w:r w:rsidR="00D055AA">
          <w:rPr>
            <w:webHidden/>
          </w:rPr>
        </w:r>
        <w:r w:rsidR="00D055AA">
          <w:rPr>
            <w:webHidden/>
          </w:rPr>
          <w:fldChar w:fldCharType="separate"/>
        </w:r>
        <w:r w:rsidR="00D055AA">
          <w:rPr>
            <w:webHidden/>
          </w:rPr>
          <w:t>8</w:t>
        </w:r>
        <w:r w:rsidR="00D055AA">
          <w:rPr>
            <w:webHidden/>
          </w:rPr>
          <w:fldChar w:fldCharType="end"/>
        </w:r>
      </w:hyperlink>
    </w:p>
    <w:p w14:paraId="50DEA812" w14:textId="6F27B7FE" w:rsidR="00D055AA" w:rsidRDefault="00DC075D">
      <w:pPr>
        <w:pStyle w:val="TOC2"/>
        <w:tabs>
          <w:tab w:val="left" w:pos="1100"/>
        </w:tabs>
        <w:rPr>
          <w:rFonts w:asciiTheme="minorHAnsi" w:eastAsiaTheme="minorEastAsia" w:hAnsiTheme="minorHAnsi" w:cstheme="minorBidi"/>
          <w:sz w:val="22"/>
          <w:lang w:eastAsia="en-GB" w:bidi="ar-SA"/>
        </w:rPr>
      </w:pPr>
      <w:hyperlink w:anchor="_Toc136940116" w:history="1">
        <w:r w:rsidR="00D055AA" w:rsidRPr="00913A51">
          <w:rPr>
            <w:rStyle w:val="Hyperlink"/>
          </w:rPr>
          <w:t>3.2.</w:t>
        </w:r>
        <w:r w:rsidR="00D055AA">
          <w:rPr>
            <w:rFonts w:asciiTheme="minorHAnsi" w:eastAsiaTheme="minorEastAsia" w:hAnsiTheme="minorHAnsi" w:cstheme="minorBidi"/>
            <w:sz w:val="22"/>
            <w:lang w:eastAsia="en-GB" w:bidi="ar-SA"/>
          </w:rPr>
          <w:tab/>
        </w:r>
        <w:r w:rsidR="00D055AA" w:rsidRPr="00913A51">
          <w:rPr>
            <w:rStyle w:val="Hyperlink"/>
          </w:rPr>
          <w:t>Structure of Applications</w:t>
        </w:r>
        <w:r w:rsidR="00D055AA">
          <w:rPr>
            <w:webHidden/>
          </w:rPr>
          <w:tab/>
        </w:r>
        <w:r w:rsidR="00D055AA">
          <w:rPr>
            <w:webHidden/>
          </w:rPr>
          <w:fldChar w:fldCharType="begin"/>
        </w:r>
        <w:r w:rsidR="00D055AA">
          <w:rPr>
            <w:webHidden/>
          </w:rPr>
          <w:instrText xml:space="preserve"> PAGEREF _Toc136940116 \h </w:instrText>
        </w:r>
        <w:r w:rsidR="00D055AA">
          <w:rPr>
            <w:webHidden/>
          </w:rPr>
        </w:r>
        <w:r w:rsidR="00D055AA">
          <w:rPr>
            <w:webHidden/>
          </w:rPr>
          <w:fldChar w:fldCharType="separate"/>
        </w:r>
        <w:r w:rsidR="00D055AA">
          <w:rPr>
            <w:webHidden/>
          </w:rPr>
          <w:t>9</w:t>
        </w:r>
        <w:r w:rsidR="00D055AA">
          <w:rPr>
            <w:webHidden/>
          </w:rPr>
          <w:fldChar w:fldCharType="end"/>
        </w:r>
      </w:hyperlink>
    </w:p>
    <w:p w14:paraId="08E28B17" w14:textId="71972611" w:rsidR="00D055AA" w:rsidRDefault="00DC075D">
      <w:pPr>
        <w:pStyle w:val="TOC2"/>
        <w:tabs>
          <w:tab w:val="left" w:pos="1100"/>
        </w:tabs>
        <w:rPr>
          <w:rFonts w:asciiTheme="minorHAnsi" w:eastAsiaTheme="minorEastAsia" w:hAnsiTheme="minorHAnsi" w:cstheme="minorBidi"/>
          <w:sz w:val="22"/>
          <w:lang w:eastAsia="en-GB" w:bidi="ar-SA"/>
        </w:rPr>
      </w:pPr>
      <w:hyperlink w:anchor="_Toc136940117" w:history="1">
        <w:r w:rsidR="00D055AA" w:rsidRPr="00913A51">
          <w:rPr>
            <w:rStyle w:val="Hyperlink"/>
          </w:rPr>
          <w:t>3.3.</w:t>
        </w:r>
        <w:r w:rsidR="00D055AA">
          <w:rPr>
            <w:rFonts w:asciiTheme="minorHAnsi" w:eastAsiaTheme="minorEastAsia" w:hAnsiTheme="minorHAnsi" w:cstheme="minorBidi"/>
            <w:sz w:val="22"/>
            <w:lang w:eastAsia="en-GB" w:bidi="ar-SA"/>
          </w:rPr>
          <w:tab/>
        </w:r>
        <w:r w:rsidR="00D055AA" w:rsidRPr="00913A51">
          <w:rPr>
            <w:rStyle w:val="Hyperlink"/>
          </w:rPr>
          <w:t>Application Part 1</w:t>
        </w:r>
        <w:r w:rsidR="00D055AA">
          <w:rPr>
            <w:webHidden/>
          </w:rPr>
          <w:tab/>
        </w:r>
        <w:r w:rsidR="00D055AA">
          <w:rPr>
            <w:webHidden/>
          </w:rPr>
          <w:fldChar w:fldCharType="begin"/>
        </w:r>
        <w:r w:rsidR="00D055AA">
          <w:rPr>
            <w:webHidden/>
          </w:rPr>
          <w:instrText xml:space="preserve"> PAGEREF _Toc136940117 \h </w:instrText>
        </w:r>
        <w:r w:rsidR="00D055AA">
          <w:rPr>
            <w:webHidden/>
          </w:rPr>
        </w:r>
        <w:r w:rsidR="00D055AA">
          <w:rPr>
            <w:webHidden/>
          </w:rPr>
          <w:fldChar w:fldCharType="separate"/>
        </w:r>
        <w:r w:rsidR="00D055AA">
          <w:rPr>
            <w:webHidden/>
          </w:rPr>
          <w:t>9</w:t>
        </w:r>
        <w:r w:rsidR="00D055AA">
          <w:rPr>
            <w:webHidden/>
          </w:rPr>
          <w:fldChar w:fldCharType="end"/>
        </w:r>
      </w:hyperlink>
    </w:p>
    <w:p w14:paraId="75FEAEF2" w14:textId="260D977A" w:rsidR="00D055AA" w:rsidRDefault="00DC075D">
      <w:pPr>
        <w:pStyle w:val="TOC2"/>
        <w:tabs>
          <w:tab w:val="left" w:pos="1100"/>
        </w:tabs>
        <w:rPr>
          <w:rFonts w:asciiTheme="minorHAnsi" w:eastAsiaTheme="minorEastAsia" w:hAnsiTheme="minorHAnsi" w:cstheme="minorBidi"/>
          <w:sz w:val="22"/>
          <w:lang w:eastAsia="en-GB" w:bidi="ar-SA"/>
        </w:rPr>
      </w:pPr>
      <w:hyperlink w:anchor="_Toc136940118" w:history="1">
        <w:r w:rsidR="00D055AA" w:rsidRPr="00913A51">
          <w:rPr>
            <w:rStyle w:val="Hyperlink"/>
          </w:rPr>
          <w:t>3.4.</w:t>
        </w:r>
        <w:r w:rsidR="00D055AA">
          <w:rPr>
            <w:rFonts w:asciiTheme="minorHAnsi" w:eastAsiaTheme="minorEastAsia" w:hAnsiTheme="minorHAnsi" w:cstheme="minorBidi"/>
            <w:sz w:val="22"/>
            <w:lang w:eastAsia="en-GB" w:bidi="ar-SA"/>
          </w:rPr>
          <w:tab/>
        </w:r>
        <w:r w:rsidR="00D055AA" w:rsidRPr="00913A51">
          <w:rPr>
            <w:rStyle w:val="Hyperlink"/>
          </w:rPr>
          <w:t>Application Part 2</w:t>
        </w:r>
        <w:r w:rsidR="00D055AA">
          <w:rPr>
            <w:webHidden/>
          </w:rPr>
          <w:tab/>
        </w:r>
        <w:r w:rsidR="00D055AA">
          <w:rPr>
            <w:webHidden/>
          </w:rPr>
          <w:fldChar w:fldCharType="begin"/>
        </w:r>
        <w:r w:rsidR="00D055AA">
          <w:rPr>
            <w:webHidden/>
          </w:rPr>
          <w:instrText xml:space="preserve"> PAGEREF _Toc136940118 \h </w:instrText>
        </w:r>
        <w:r w:rsidR="00D055AA">
          <w:rPr>
            <w:webHidden/>
          </w:rPr>
        </w:r>
        <w:r w:rsidR="00D055AA">
          <w:rPr>
            <w:webHidden/>
          </w:rPr>
          <w:fldChar w:fldCharType="separate"/>
        </w:r>
        <w:r w:rsidR="00D055AA">
          <w:rPr>
            <w:webHidden/>
          </w:rPr>
          <w:t>11</w:t>
        </w:r>
        <w:r w:rsidR="00D055AA">
          <w:rPr>
            <w:webHidden/>
          </w:rPr>
          <w:fldChar w:fldCharType="end"/>
        </w:r>
      </w:hyperlink>
    </w:p>
    <w:p w14:paraId="468A5F97" w14:textId="2801A958" w:rsidR="00D055AA" w:rsidRDefault="00DC075D">
      <w:pPr>
        <w:pStyle w:val="TOC2"/>
        <w:tabs>
          <w:tab w:val="left" w:pos="1100"/>
        </w:tabs>
        <w:rPr>
          <w:rFonts w:asciiTheme="minorHAnsi" w:eastAsiaTheme="minorEastAsia" w:hAnsiTheme="minorHAnsi" w:cstheme="minorBidi"/>
          <w:sz w:val="22"/>
          <w:lang w:eastAsia="en-GB" w:bidi="ar-SA"/>
        </w:rPr>
      </w:pPr>
      <w:hyperlink w:anchor="_Toc136940119" w:history="1">
        <w:r w:rsidR="00D055AA" w:rsidRPr="00913A51">
          <w:rPr>
            <w:rStyle w:val="Hyperlink"/>
          </w:rPr>
          <w:t>3.5.</w:t>
        </w:r>
        <w:r w:rsidR="00D055AA">
          <w:rPr>
            <w:rFonts w:asciiTheme="minorHAnsi" w:eastAsiaTheme="minorEastAsia" w:hAnsiTheme="minorHAnsi" w:cstheme="minorBidi"/>
            <w:sz w:val="22"/>
            <w:lang w:eastAsia="en-GB" w:bidi="ar-SA"/>
          </w:rPr>
          <w:tab/>
        </w:r>
        <w:r w:rsidR="00D055AA" w:rsidRPr="00913A51">
          <w:rPr>
            <w:rStyle w:val="Hyperlink"/>
          </w:rPr>
          <w:t>Desirable Qualities of Applications</w:t>
        </w:r>
        <w:r w:rsidR="00D055AA">
          <w:rPr>
            <w:webHidden/>
          </w:rPr>
          <w:tab/>
        </w:r>
        <w:r w:rsidR="00D055AA">
          <w:rPr>
            <w:webHidden/>
          </w:rPr>
          <w:fldChar w:fldCharType="begin"/>
        </w:r>
        <w:r w:rsidR="00D055AA">
          <w:rPr>
            <w:webHidden/>
          </w:rPr>
          <w:instrText xml:space="preserve"> PAGEREF _Toc136940119 \h </w:instrText>
        </w:r>
        <w:r w:rsidR="00D055AA">
          <w:rPr>
            <w:webHidden/>
          </w:rPr>
        </w:r>
        <w:r w:rsidR="00D055AA">
          <w:rPr>
            <w:webHidden/>
          </w:rPr>
          <w:fldChar w:fldCharType="separate"/>
        </w:r>
        <w:r w:rsidR="00D055AA">
          <w:rPr>
            <w:webHidden/>
          </w:rPr>
          <w:t>15</w:t>
        </w:r>
        <w:r w:rsidR="00D055AA">
          <w:rPr>
            <w:webHidden/>
          </w:rPr>
          <w:fldChar w:fldCharType="end"/>
        </w:r>
      </w:hyperlink>
    </w:p>
    <w:p w14:paraId="4582106D" w14:textId="56993656" w:rsidR="00D055AA" w:rsidRDefault="00DC075D">
      <w:pPr>
        <w:pStyle w:val="TOC1"/>
        <w:tabs>
          <w:tab w:val="left" w:pos="720"/>
        </w:tabs>
        <w:rPr>
          <w:rFonts w:asciiTheme="minorHAnsi" w:eastAsiaTheme="minorEastAsia" w:hAnsiTheme="minorHAnsi" w:cstheme="minorBidi"/>
          <w:sz w:val="22"/>
          <w:lang w:eastAsia="en-GB" w:bidi="ar-SA"/>
        </w:rPr>
      </w:pPr>
      <w:hyperlink w:anchor="_Toc136940120" w:history="1">
        <w:r w:rsidR="00D055AA" w:rsidRPr="00913A51">
          <w:rPr>
            <w:rStyle w:val="Hyperlink"/>
          </w:rPr>
          <w:t>4.</w:t>
        </w:r>
        <w:r w:rsidR="00D055AA">
          <w:rPr>
            <w:rFonts w:asciiTheme="minorHAnsi" w:eastAsiaTheme="minorEastAsia" w:hAnsiTheme="minorHAnsi" w:cstheme="minorBidi"/>
            <w:sz w:val="22"/>
            <w:lang w:eastAsia="en-GB" w:bidi="ar-SA"/>
          </w:rPr>
          <w:tab/>
        </w:r>
        <w:r w:rsidR="00D055AA" w:rsidRPr="00913A51">
          <w:rPr>
            <w:rStyle w:val="Hyperlink"/>
          </w:rPr>
          <w:t>Validations</w:t>
        </w:r>
        <w:r w:rsidR="00D055AA">
          <w:rPr>
            <w:webHidden/>
          </w:rPr>
          <w:tab/>
        </w:r>
        <w:r w:rsidR="00D055AA">
          <w:rPr>
            <w:webHidden/>
          </w:rPr>
          <w:fldChar w:fldCharType="begin"/>
        </w:r>
        <w:r w:rsidR="00D055AA">
          <w:rPr>
            <w:webHidden/>
          </w:rPr>
          <w:instrText xml:space="preserve"> PAGEREF _Toc136940120 \h </w:instrText>
        </w:r>
        <w:r w:rsidR="00D055AA">
          <w:rPr>
            <w:webHidden/>
          </w:rPr>
        </w:r>
        <w:r w:rsidR="00D055AA">
          <w:rPr>
            <w:webHidden/>
          </w:rPr>
          <w:fldChar w:fldCharType="separate"/>
        </w:r>
        <w:r w:rsidR="00D055AA">
          <w:rPr>
            <w:webHidden/>
          </w:rPr>
          <w:t>18</w:t>
        </w:r>
        <w:r w:rsidR="00D055AA">
          <w:rPr>
            <w:webHidden/>
          </w:rPr>
          <w:fldChar w:fldCharType="end"/>
        </w:r>
      </w:hyperlink>
    </w:p>
    <w:p w14:paraId="29BD0702" w14:textId="21AD4379" w:rsidR="00D055AA" w:rsidRDefault="00DC075D">
      <w:pPr>
        <w:pStyle w:val="TOC1"/>
        <w:tabs>
          <w:tab w:val="left" w:pos="720"/>
        </w:tabs>
        <w:rPr>
          <w:rFonts w:asciiTheme="minorHAnsi" w:eastAsiaTheme="minorEastAsia" w:hAnsiTheme="minorHAnsi" w:cstheme="minorBidi"/>
          <w:sz w:val="22"/>
          <w:lang w:eastAsia="en-GB" w:bidi="ar-SA"/>
        </w:rPr>
      </w:pPr>
      <w:hyperlink w:anchor="_Toc136940121" w:history="1">
        <w:r w:rsidR="00D055AA" w:rsidRPr="00913A51">
          <w:rPr>
            <w:rStyle w:val="Hyperlink"/>
          </w:rPr>
          <w:t>5.</w:t>
        </w:r>
        <w:r w:rsidR="00D055AA">
          <w:rPr>
            <w:rFonts w:asciiTheme="minorHAnsi" w:eastAsiaTheme="minorEastAsia" w:hAnsiTheme="minorHAnsi" w:cstheme="minorBidi"/>
            <w:sz w:val="22"/>
            <w:lang w:eastAsia="en-GB" w:bidi="ar-SA"/>
          </w:rPr>
          <w:tab/>
        </w:r>
        <w:r w:rsidR="00D055AA" w:rsidRPr="00913A51">
          <w:rPr>
            <w:rStyle w:val="Hyperlink"/>
          </w:rPr>
          <w:t>Renewals and Extensions</w:t>
        </w:r>
        <w:r w:rsidR="00D055AA">
          <w:rPr>
            <w:webHidden/>
          </w:rPr>
          <w:tab/>
        </w:r>
        <w:r w:rsidR="00D055AA">
          <w:rPr>
            <w:webHidden/>
          </w:rPr>
          <w:fldChar w:fldCharType="begin"/>
        </w:r>
        <w:r w:rsidR="00D055AA">
          <w:rPr>
            <w:webHidden/>
          </w:rPr>
          <w:instrText xml:space="preserve"> PAGEREF _Toc136940121 \h </w:instrText>
        </w:r>
        <w:r w:rsidR="00D055AA">
          <w:rPr>
            <w:webHidden/>
          </w:rPr>
        </w:r>
        <w:r w:rsidR="00D055AA">
          <w:rPr>
            <w:webHidden/>
          </w:rPr>
          <w:fldChar w:fldCharType="separate"/>
        </w:r>
        <w:r w:rsidR="00D055AA">
          <w:rPr>
            <w:webHidden/>
          </w:rPr>
          <w:t>19</w:t>
        </w:r>
        <w:r w:rsidR="00D055AA">
          <w:rPr>
            <w:webHidden/>
          </w:rPr>
          <w:fldChar w:fldCharType="end"/>
        </w:r>
      </w:hyperlink>
    </w:p>
    <w:p w14:paraId="53C2904C" w14:textId="2385EE4B" w:rsidR="00D055AA" w:rsidRDefault="00DC075D">
      <w:pPr>
        <w:pStyle w:val="TOC2"/>
        <w:tabs>
          <w:tab w:val="left" w:pos="1100"/>
        </w:tabs>
        <w:rPr>
          <w:rFonts w:asciiTheme="minorHAnsi" w:eastAsiaTheme="minorEastAsia" w:hAnsiTheme="minorHAnsi" w:cstheme="minorBidi"/>
          <w:sz w:val="22"/>
          <w:lang w:eastAsia="en-GB" w:bidi="ar-SA"/>
        </w:rPr>
      </w:pPr>
      <w:hyperlink w:anchor="_Toc136940122" w:history="1">
        <w:r w:rsidR="00D055AA" w:rsidRPr="00913A51">
          <w:rPr>
            <w:rStyle w:val="Hyperlink"/>
          </w:rPr>
          <w:t>5.1.</w:t>
        </w:r>
        <w:r w:rsidR="00D055AA">
          <w:rPr>
            <w:rFonts w:asciiTheme="minorHAnsi" w:eastAsiaTheme="minorEastAsia" w:hAnsiTheme="minorHAnsi" w:cstheme="minorBidi"/>
            <w:sz w:val="22"/>
            <w:lang w:eastAsia="en-GB" w:bidi="ar-SA"/>
          </w:rPr>
          <w:tab/>
        </w:r>
        <w:r w:rsidR="00D055AA" w:rsidRPr="00913A51">
          <w:rPr>
            <w:rStyle w:val="Hyperlink"/>
          </w:rPr>
          <w:t>Renewals</w:t>
        </w:r>
        <w:r w:rsidR="00D055AA">
          <w:rPr>
            <w:webHidden/>
          </w:rPr>
          <w:tab/>
        </w:r>
        <w:r w:rsidR="00D055AA">
          <w:rPr>
            <w:webHidden/>
          </w:rPr>
          <w:fldChar w:fldCharType="begin"/>
        </w:r>
        <w:r w:rsidR="00D055AA">
          <w:rPr>
            <w:webHidden/>
          </w:rPr>
          <w:instrText xml:space="preserve"> PAGEREF _Toc136940122 \h </w:instrText>
        </w:r>
        <w:r w:rsidR="00D055AA">
          <w:rPr>
            <w:webHidden/>
          </w:rPr>
        </w:r>
        <w:r w:rsidR="00D055AA">
          <w:rPr>
            <w:webHidden/>
          </w:rPr>
          <w:fldChar w:fldCharType="separate"/>
        </w:r>
        <w:r w:rsidR="00D055AA">
          <w:rPr>
            <w:webHidden/>
          </w:rPr>
          <w:t>19</w:t>
        </w:r>
        <w:r w:rsidR="00D055AA">
          <w:rPr>
            <w:webHidden/>
          </w:rPr>
          <w:fldChar w:fldCharType="end"/>
        </w:r>
      </w:hyperlink>
    </w:p>
    <w:p w14:paraId="6A2692C4" w14:textId="26C12195" w:rsidR="00D055AA" w:rsidRDefault="00DC075D">
      <w:pPr>
        <w:pStyle w:val="TOC2"/>
        <w:tabs>
          <w:tab w:val="left" w:pos="1100"/>
        </w:tabs>
        <w:rPr>
          <w:rFonts w:asciiTheme="minorHAnsi" w:eastAsiaTheme="minorEastAsia" w:hAnsiTheme="minorHAnsi" w:cstheme="minorBidi"/>
          <w:sz w:val="22"/>
          <w:lang w:eastAsia="en-GB" w:bidi="ar-SA"/>
        </w:rPr>
      </w:pPr>
      <w:hyperlink w:anchor="_Toc136940123" w:history="1">
        <w:r w:rsidR="00D055AA" w:rsidRPr="00913A51">
          <w:rPr>
            <w:rStyle w:val="Hyperlink"/>
          </w:rPr>
          <w:t>5.2.</w:t>
        </w:r>
        <w:r w:rsidR="00D055AA">
          <w:rPr>
            <w:rFonts w:asciiTheme="minorHAnsi" w:eastAsiaTheme="minorEastAsia" w:hAnsiTheme="minorHAnsi" w:cstheme="minorBidi"/>
            <w:sz w:val="22"/>
            <w:lang w:eastAsia="en-GB" w:bidi="ar-SA"/>
          </w:rPr>
          <w:tab/>
        </w:r>
        <w:r w:rsidR="00D055AA" w:rsidRPr="00913A51">
          <w:rPr>
            <w:rStyle w:val="Hyperlink"/>
          </w:rPr>
          <w:t>Extensions</w:t>
        </w:r>
        <w:r w:rsidR="00D055AA">
          <w:rPr>
            <w:webHidden/>
          </w:rPr>
          <w:tab/>
        </w:r>
        <w:r w:rsidR="00D055AA">
          <w:rPr>
            <w:webHidden/>
          </w:rPr>
          <w:fldChar w:fldCharType="begin"/>
        </w:r>
        <w:r w:rsidR="00D055AA">
          <w:rPr>
            <w:webHidden/>
          </w:rPr>
          <w:instrText xml:space="preserve"> PAGEREF _Toc136940123 \h </w:instrText>
        </w:r>
        <w:r w:rsidR="00D055AA">
          <w:rPr>
            <w:webHidden/>
          </w:rPr>
        </w:r>
        <w:r w:rsidR="00D055AA">
          <w:rPr>
            <w:webHidden/>
          </w:rPr>
          <w:fldChar w:fldCharType="separate"/>
        </w:r>
        <w:r w:rsidR="00D055AA">
          <w:rPr>
            <w:webHidden/>
          </w:rPr>
          <w:t>21</w:t>
        </w:r>
        <w:r w:rsidR="00D055AA">
          <w:rPr>
            <w:webHidden/>
          </w:rPr>
          <w:fldChar w:fldCharType="end"/>
        </w:r>
      </w:hyperlink>
    </w:p>
    <w:p w14:paraId="64D95D44" w14:textId="1B21B04A" w:rsidR="00D055AA" w:rsidRDefault="00DC075D">
      <w:pPr>
        <w:pStyle w:val="TOC1"/>
        <w:tabs>
          <w:tab w:val="left" w:pos="720"/>
        </w:tabs>
        <w:rPr>
          <w:rFonts w:asciiTheme="minorHAnsi" w:eastAsiaTheme="minorEastAsia" w:hAnsiTheme="minorHAnsi" w:cstheme="minorBidi"/>
          <w:sz w:val="22"/>
          <w:lang w:eastAsia="en-GB" w:bidi="ar-SA"/>
        </w:rPr>
      </w:pPr>
      <w:hyperlink w:anchor="_Toc136940124" w:history="1">
        <w:r w:rsidR="00D055AA" w:rsidRPr="00913A51">
          <w:rPr>
            <w:rStyle w:val="Hyperlink"/>
          </w:rPr>
          <w:t>6.</w:t>
        </w:r>
        <w:r w:rsidR="00D055AA">
          <w:rPr>
            <w:rFonts w:asciiTheme="minorHAnsi" w:eastAsiaTheme="minorEastAsia" w:hAnsiTheme="minorHAnsi" w:cstheme="minorBidi"/>
            <w:sz w:val="22"/>
            <w:lang w:eastAsia="en-GB" w:bidi="ar-SA"/>
          </w:rPr>
          <w:tab/>
        </w:r>
        <w:r w:rsidR="00D055AA" w:rsidRPr="00913A51">
          <w:rPr>
            <w:rStyle w:val="Hyperlink"/>
          </w:rPr>
          <w:t>Modifications</w:t>
        </w:r>
        <w:r w:rsidR="00D055AA">
          <w:rPr>
            <w:webHidden/>
          </w:rPr>
          <w:tab/>
        </w:r>
        <w:r w:rsidR="00D055AA">
          <w:rPr>
            <w:webHidden/>
          </w:rPr>
          <w:fldChar w:fldCharType="begin"/>
        </w:r>
        <w:r w:rsidR="00D055AA">
          <w:rPr>
            <w:webHidden/>
          </w:rPr>
          <w:instrText xml:space="preserve"> PAGEREF _Toc136940124 \h </w:instrText>
        </w:r>
        <w:r w:rsidR="00D055AA">
          <w:rPr>
            <w:webHidden/>
          </w:rPr>
        </w:r>
        <w:r w:rsidR="00D055AA">
          <w:rPr>
            <w:webHidden/>
          </w:rPr>
          <w:fldChar w:fldCharType="separate"/>
        </w:r>
        <w:r w:rsidR="00D055AA">
          <w:rPr>
            <w:webHidden/>
          </w:rPr>
          <w:t>21</w:t>
        </w:r>
        <w:r w:rsidR="00D055AA">
          <w:rPr>
            <w:webHidden/>
          </w:rPr>
          <w:fldChar w:fldCharType="end"/>
        </w:r>
      </w:hyperlink>
    </w:p>
    <w:p w14:paraId="01DBE168" w14:textId="6C018D56" w:rsidR="00D055AA" w:rsidRDefault="00DC075D">
      <w:pPr>
        <w:pStyle w:val="TOC2"/>
        <w:tabs>
          <w:tab w:val="left" w:pos="1100"/>
        </w:tabs>
        <w:rPr>
          <w:rFonts w:asciiTheme="minorHAnsi" w:eastAsiaTheme="minorEastAsia" w:hAnsiTheme="minorHAnsi" w:cstheme="minorBidi"/>
          <w:sz w:val="22"/>
          <w:lang w:eastAsia="en-GB" w:bidi="ar-SA"/>
        </w:rPr>
      </w:pPr>
      <w:hyperlink w:anchor="_Toc136940125" w:history="1">
        <w:r w:rsidR="00D055AA" w:rsidRPr="00913A51">
          <w:rPr>
            <w:rStyle w:val="Hyperlink"/>
          </w:rPr>
          <w:t>6.1.</w:t>
        </w:r>
        <w:r w:rsidR="00D055AA">
          <w:rPr>
            <w:rFonts w:asciiTheme="minorHAnsi" w:eastAsiaTheme="minorEastAsia" w:hAnsiTheme="minorHAnsi" w:cstheme="minorBidi"/>
            <w:sz w:val="22"/>
            <w:lang w:eastAsia="en-GB" w:bidi="ar-SA"/>
          </w:rPr>
          <w:tab/>
        </w:r>
        <w:r w:rsidR="00D055AA" w:rsidRPr="00913A51">
          <w:rPr>
            <w:rStyle w:val="Hyperlink"/>
          </w:rPr>
          <w:t>Modification Categories</w:t>
        </w:r>
        <w:r w:rsidR="00D055AA">
          <w:rPr>
            <w:webHidden/>
          </w:rPr>
          <w:tab/>
        </w:r>
        <w:r w:rsidR="00D055AA">
          <w:rPr>
            <w:webHidden/>
          </w:rPr>
          <w:fldChar w:fldCharType="begin"/>
        </w:r>
        <w:r w:rsidR="00D055AA">
          <w:rPr>
            <w:webHidden/>
          </w:rPr>
          <w:instrText xml:space="preserve"> PAGEREF _Toc136940125 \h </w:instrText>
        </w:r>
        <w:r w:rsidR="00D055AA">
          <w:rPr>
            <w:webHidden/>
          </w:rPr>
        </w:r>
        <w:r w:rsidR="00D055AA">
          <w:rPr>
            <w:webHidden/>
          </w:rPr>
          <w:fldChar w:fldCharType="separate"/>
        </w:r>
        <w:r w:rsidR="00D055AA">
          <w:rPr>
            <w:webHidden/>
          </w:rPr>
          <w:t>21</w:t>
        </w:r>
        <w:r w:rsidR="00D055AA">
          <w:rPr>
            <w:webHidden/>
          </w:rPr>
          <w:fldChar w:fldCharType="end"/>
        </w:r>
      </w:hyperlink>
    </w:p>
    <w:p w14:paraId="6B63153E" w14:textId="0D624B1D" w:rsidR="00D055AA" w:rsidRDefault="00DC075D">
      <w:pPr>
        <w:pStyle w:val="TOC2"/>
        <w:tabs>
          <w:tab w:val="left" w:pos="1100"/>
        </w:tabs>
        <w:rPr>
          <w:rFonts w:asciiTheme="minorHAnsi" w:eastAsiaTheme="minorEastAsia" w:hAnsiTheme="minorHAnsi" w:cstheme="minorBidi"/>
          <w:sz w:val="22"/>
          <w:lang w:eastAsia="en-GB" w:bidi="ar-SA"/>
        </w:rPr>
      </w:pPr>
      <w:hyperlink w:anchor="_Toc136940126" w:history="1">
        <w:r w:rsidR="00D055AA" w:rsidRPr="00913A51">
          <w:rPr>
            <w:rStyle w:val="Hyperlink"/>
          </w:rPr>
          <w:t>6.2.</w:t>
        </w:r>
        <w:r w:rsidR="00D055AA">
          <w:rPr>
            <w:rFonts w:asciiTheme="minorHAnsi" w:eastAsiaTheme="minorEastAsia" w:hAnsiTheme="minorHAnsi" w:cstheme="minorBidi"/>
            <w:sz w:val="22"/>
            <w:lang w:eastAsia="en-GB" w:bidi="ar-SA"/>
          </w:rPr>
          <w:tab/>
        </w:r>
        <w:r w:rsidR="00D055AA" w:rsidRPr="00913A51">
          <w:rPr>
            <w:rStyle w:val="Hyperlink"/>
          </w:rPr>
          <w:t>Amendments and Concessions</w:t>
        </w:r>
        <w:r w:rsidR="00D055AA">
          <w:rPr>
            <w:webHidden/>
          </w:rPr>
          <w:tab/>
        </w:r>
        <w:r w:rsidR="00D055AA">
          <w:rPr>
            <w:webHidden/>
          </w:rPr>
          <w:fldChar w:fldCharType="begin"/>
        </w:r>
        <w:r w:rsidR="00D055AA">
          <w:rPr>
            <w:webHidden/>
          </w:rPr>
          <w:instrText xml:space="preserve"> PAGEREF _Toc136940126 \h </w:instrText>
        </w:r>
        <w:r w:rsidR="00D055AA">
          <w:rPr>
            <w:webHidden/>
          </w:rPr>
        </w:r>
        <w:r w:rsidR="00D055AA">
          <w:rPr>
            <w:webHidden/>
          </w:rPr>
          <w:fldChar w:fldCharType="separate"/>
        </w:r>
        <w:r w:rsidR="00D055AA">
          <w:rPr>
            <w:webHidden/>
          </w:rPr>
          <w:t>23</w:t>
        </w:r>
        <w:r w:rsidR="00D055AA">
          <w:rPr>
            <w:webHidden/>
          </w:rPr>
          <w:fldChar w:fldCharType="end"/>
        </w:r>
      </w:hyperlink>
    </w:p>
    <w:p w14:paraId="5332C9C9" w14:textId="18CE779C" w:rsidR="00D055AA" w:rsidRDefault="00DC075D">
      <w:pPr>
        <w:pStyle w:val="TOC2"/>
        <w:tabs>
          <w:tab w:val="left" w:pos="1100"/>
        </w:tabs>
        <w:rPr>
          <w:rFonts w:asciiTheme="minorHAnsi" w:eastAsiaTheme="minorEastAsia" w:hAnsiTheme="minorHAnsi" w:cstheme="minorBidi"/>
          <w:sz w:val="22"/>
          <w:lang w:eastAsia="en-GB" w:bidi="ar-SA"/>
        </w:rPr>
      </w:pPr>
      <w:hyperlink w:anchor="_Toc136940127" w:history="1">
        <w:r w:rsidR="00D055AA" w:rsidRPr="00913A51">
          <w:rPr>
            <w:rStyle w:val="Hyperlink"/>
          </w:rPr>
          <w:t>6.3.</w:t>
        </w:r>
        <w:r w:rsidR="00D055AA">
          <w:rPr>
            <w:rFonts w:asciiTheme="minorHAnsi" w:eastAsiaTheme="minorEastAsia" w:hAnsiTheme="minorHAnsi" w:cstheme="minorBidi"/>
            <w:sz w:val="22"/>
            <w:lang w:eastAsia="en-GB" w:bidi="ar-SA"/>
          </w:rPr>
          <w:tab/>
        </w:r>
        <w:r w:rsidR="00D055AA" w:rsidRPr="00913A51">
          <w:rPr>
            <w:rStyle w:val="Hyperlink"/>
          </w:rPr>
          <w:t>Application for the Approval of a Modification</w:t>
        </w:r>
        <w:r w:rsidR="00D055AA">
          <w:rPr>
            <w:webHidden/>
          </w:rPr>
          <w:tab/>
        </w:r>
        <w:r w:rsidR="00D055AA">
          <w:rPr>
            <w:webHidden/>
          </w:rPr>
          <w:fldChar w:fldCharType="begin"/>
        </w:r>
        <w:r w:rsidR="00D055AA">
          <w:rPr>
            <w:webHidden/>
          </w:rPr>
          <w:instrText xml:space="preserve"> PAGEREF _Toc136940127 \h </w:instrText>
        </w:r>
        <w:r w:rsidR="00D055AA">
          <w:rPr>
            <w:webHidden/>
          </w:rPr>
        </w:r>
        <w:r w:rsidR="00D055AA">
          <w:rPr>
            <w:webHidden/>
          </w:rPr>
          <w:fldChar w:fldCharType="separate"/>
        </w:r>
        <w:r w:rsidR="00D055AA">
          <w:rPr>
            <w:webHidden/>
          </w:rPr>
          <w:t>23</w:t>
        </w:r>
        <w:r w:rsidR="00D055AA">
          <w:rPr>
            <w:webHidden/>
          </w:rPr>
          <w:fldChar w:fldCharType="end"/>
        </w:r>
      </w:hyperlink>
    </w:p>
    <w:p w14:paraId="5E7401E7" w14:textId="11B2D1C4" w:rsidR="00D055AA" w:rsidRDefault="00DC075D">
      <w:pPr>
        <w:pStyle w:val="TOC1"/>
        <w:tabs>
          <w:tab w:val="left" w:pos="720"/>
        </w:tabs>
        <w:rPr>
          <w:rFonts w:asciiTheme="minorHAnsi" w:eastAsiaTheme="minorEastAsia" w:hAnsiTheme="minorHAnsi" w:cstheme="minorBidi"/>
          <w:sz w:val="22"/>
          <w:lang w:eastAsia="en-GB" w:bidi="ar-SA"/>
        </w:rPr>
      </w:pPr>
      <w:hyperlink w:anchor="_Toc136940128" w:history="1">
        <w:r w:rsidR="00D055AA" w:rsidRPr="00913A51">
          <w:rPr>
            <w:rStyle w:val="Hyperlink"/>
          </w:rPr>
          <w:t>7.</w:t>
        </w:r>
        <w:r w:rsidR="00D055AA">
          <w:rPr>
            <w:rFonts w:asciiTheme="minorHAnsi" w:eastAsiaTheme="minorEastAsia" w:hAnsiTheme="minorHAnsi" w:cstheme="minorBidi"/>
            <w:sz w:val="22"/>
            <w:lang w:eastAsia="en-GB" w:bidi="ar-SA"/>
          </w:rPr>
          <w:tab/>
        </w:r>
        <w:r w:rsidR="00D055AA" w:rsidRPr="00913A51">
          <w:rPr>
            <w:rStyle w:val="Hyperlink"/>
          </w:rPr>
          <w:t>Special Arrangements</w:t>
        </w:r>
        <w:r w:rsidR="00D055AA">
          <w:rPr>
            <w:webHidden/>
          </w:rPr>
          <w:tab/>
        </w:r>
        <w:r w:rsidR="00D055AA">
          <w:rPr>
            <w:webHidden/>
          </w:rPr>
          <w:fldChar w:fldCharType="begin"/>
        </w:r>
        <w:r w:rsidR="00D055AA">
          <w:rPr>
            <w:webHidden/>
          </w:rPr>
          <w:instrText xml:space="preserve"> PAGEREF _Toc136940128 \h </w:instrText>
        </w:r>
        <w:r w:rsidR="00D055AA">
          <w:rPr>
            <w:webHidden/>
          </w:rPr>
        </w:r>
        <w:r w:rsidR="00D055AA">
          <w:rPr>
            <w:webHidden/>
          </w:rPr>
          <w:fldChar w:fldCharType="separate"/>
        </w:r>
        <w:r w:rsidR="00D055AA">
          <w:rPr>
            <w:webHidden/>
          </w:rPr>
          <w:t>25</w:t>
        </w:r>
        <w:r w:rsidR="00D055AA">
          <w:rPr>
            <w:webHidden/>
          </w:rPr>
          <w:fldChar w:fldCharType="end"/>
        </w:r>
      </w:hyperlink>
    </w:p>
    <w:p w14:paraId="2379EB9D" w14:textId="03D85660" w:rsidR="00D055AA" w:rsidRDefault="00DC075D">
      <w:pPr>
        <w:pStyle w:val="TOC2"/>
        <w:tabs>
          <w:tab w:val="left" w:pos="1100"/>
        </w:tabs>
        <w:rPr>
          <w:rFonts w:asciiTheme="minorHAnsi" w:eastAsiaTheme="minorEastAsia" w:hAnsiTheme="minorHAnsi" w:cstheme="minorBidi"/>
          <w:sz w:val="22"/>
          <w:lang w:eastAsia="en-GB" w:bidi="ar-SA"/>
        </w:rPr>
      </w:pPr>
      <w:hyperlink w:anchor="_Toc136940129" w:history="1">
        <w:r w:rsidR="00D055AA" w:rsidRPr="00913A51">
          <w:rPr>
            <w:rStyle w:val="Hyperlink"/>
          </w:rPr>
          <w:t>7.1.</w:t>
        </w:r>
        <w:r w:rsidR="00D055AA">
          <w:rPr>
            <w:rFonts w:asciiTheme="minorHAnsi" w:eastAsiaTheme="minorEastAsia" w:hAnsiTheme="minorHAnsi" w:cstheme="minorBidi"/>
            <w:sz w:val="22"/>
            <w:lang w:eastAsia="en-GB" w:bidi="ar-SA"/>
          </w:rPr>
          <w:tab/>
        </w:r>
        <w:r w:rsidR="00D055AA" w:rsidRPr="00913A51">
          <w:rPr>
            <w:rStyle w:val="Hyperlink"/>
          </w:rPr>
          <w:t>Background</w:t>
        </w:r>
        <w:r w:rsidR="00D055AA">
          <w:rPr>
            <w:webHidden/>
          </w:rPr>
          <w:tab/>
        </w:r>
        <w:r w:rsidR="00D055AA">
          <w:rPr>
            <w:webHidden/>
          </w:rPr>
          <w:fldChar w:fldCharType="begin"/>
        </w:r>
        <w:r w:rsidR="00D055AA">
          <w:rPr>
            <w:webHidden/>
          </w:rPr>
          <w:instrText xml:space="preserve"> PAGEREF _Toc136940129 \h </w:instrText>
        </w:r>
        <w:r w:rsidR="00D055AA">
          <w:rPr>
            <w:webHidden/>
          </w:rPr>
        </w:r>
        <w:r w:rsidR="00D055AA">
          <w:rPr>
            <w:webHidden/>
          </w:rPr>
          <w:fldChar w:fldCharType="separate"/>
        </w:r>
        <w:r w:rsidR="00D055AA">
          <w:rPr>
            <w:webHidden/>
          </w:rPr>
          <w:t>25</w:t>
        </w:r>
        <w:r w:rsidR="00D055AA">
          <w:rPr>
            <w:webHidden/>
          </w:rPr>
          <w:fldChar w:fldCharType="end"/>
        </w:r>
      </w:hyperlink>
    </w:p>
    <w:p w14:paraId="1750A0B5" w14:textId="6B7E8ACE" w:rsidR="00D055AA" w:rsidRDefault="00DC075D">
      <w:pPr>
        <w:pStyle w:val="TOC2"/>
        <w:tabs>
          <w:tab w:val="left" w:pos="1100"/>
        </w:tabs>
        <w:rPr>
          <w:rFonts w:asciiTheme="minorHAnsi" w:eastAsiaTheme="minorEastAsia" w:hAnsiTheme="minorHAnsi" w:cstheme="minorBidi"/>
          <w:sz w:val="22"/>
          <w:lang w:eastAsia="en-GB" w:bidi="ar-SA"/>
        </w:rPr>
      </w:pPr>
      <w:hyperlink w:anchor="_Toc136940130" w:history="1">
        <w:r w:rsidR="00D055AA" w:rsidRPr="00913A51">
          <w:rPr>
            <w:rStyle w:val="Hyperlink"/>
          </w:rPr>
          <w:t>7.2.</w:t>
        </w:r>
        <w:r w:rsidR="00D055AA">
          <w:rPr>
            <w:rFonts w:asciiTheme="minorHAnsi" w:eastAsiaTheme="minorEastAsia" w:hAnsiTheme="minorHAnsi" w:cstheme="minorBidi"/>
            <w:sz w:val="22"/>
            <w:lang w:eastAsia="en-GB" w:bidi="ar-SA"/>
          </w:rPr>
          <w:tab/>
        </w:r>
        <w:r w:rsidR="00D055AA" w:rsidRPr="00913A51">
          <w:rPr>
            <w:rStyle w:val="Hyperlink"/>
          </w:rPr>
          <w:t>Application Requirements</w:t>
        </w:r>
        <w:r w:rsidR="00D055AA">
          <w:rPr>
            <w:webHidden/>
          </w:rPr>
          <w:tab/>
        </w:r>
        <w:r w:rsidR="00D055AA">
          <w:rPr>
            <w:webHidden/>
          </w:rPr>
          <w:fldChar w:fldCharType="begin"/>
        </w:r>
        <w:r w:rsidR="00D055AA">
          <w:rPr>
            <w:webHidden/>
          </w:rPr>
          <w:instrText xml:space="preserve"> PAGEREF _Toc136940130 \h </w:instrText>
        </w:r>
        <w:r w:rsidR="00D055AA">
          <w:rPr>
            <w:webHidden/>
          </w:rPr>
        </w:r>
        <w:r w:rsidR="00D055AA">
          <w:rPr>
            <w:webHidden/>
          </w:rPr>
          <w:fldChar w:fldCharType="separate"/>
        </w:r>
        <w:r w:rsidR="00D055AA">
          <w:rPr>
            <w:webHidden/>
          </w:rPr>
          <w:t>26</w:t>
        </w:r>
        <w:r w:rsidR="00D055AA">
          <w:rPr>
            <w:webHidden/>
          </w:rPr>
          <w:fldChar w:fldCharType="end"/>
        </w:r>
      </w:hyperlink>
    </w:p>
    <w:p w14:paraId="0B31FBDA" w14:textId="0E0FE23E" w:rsidR="00D055AA" w:rsidRDefault="00DC075D">
      <w:pPr>
        <w:pStyle w:val="TOC1"/>
        <w:tabs>
          <w:tab w:val="left" w:pos="720"/>
        </w:tabs>
        <w:rPr>
          <w:rFonts w:asciiTheme="minorHAnsi" w:eastAsiaTheme="minorEastAsia" w:hAnsiTheme="minorHAnsi" w:cstheme="minorBidi"/>
          <w:sz w:val="22"/>
          <w:lang w:eastAsia="en-GB" w:bidi="ar-SA"/>
        </w:rPr>
      </w:pPr>
      <w:hyperlink w:anchor="_Toc136940131" w:history="1">
        <w:r w:rsidR="00D055AA" w:rsidRPr="00913A51">
          <w:rPr>
            <w:rStyle w:val="Hyperlink"/>
          </w:rPr>
          <w:t>8.</w:t>
        </w:r>
        <w:r w:rsidR="00D055AA">
          <w:rPr>
            <w:rFonts w:asciiTheme="minorHAnsi" w:eastAsiaTheme="minorEastAsia" w:hAnsiTheme="minorHAnsi" w:cstheme="minorBidi"/>
            <w:sz w:val="22"/>
            <w:lang w:eastAsia="en-GB" w:bidi="ar-SA"/>
          </w:rPr>
          <w:tab/>
        </w:r>
        <w:r w:rsidR="00D055AA" w:rsidRPr="00913A51">
          <w:rPr>
            <w:rStyle w:val="Hyperlink"/>
          </w:rPr>
          <w:t>Approval Process</w:t>
        </w:r>
        <w:r w:rsidR="00D055AA">
          <w:rPr>
            <w:webHidden/>
          </w:rPr>
          <w:tab/>
        </w:r>
        <w:r w:rsidR="00D055AA">
          <w:rPr>
            <w:webHidden/>
          </w:rPr>
          <w:fldChar w:fldCharType="begin"/>
        </w:r>
        <w:r w:rsidR="00D055AA">
          <w:rPr>
            <w:webHidden/>
          </w:rPr>
          <w:instrText xml:space="preserve"> PAGEREF _Toc136940131 \h </w:instrText>
        </w:r>
        <w:r w:rsidR="00D055AA">
          <w:rPr>
            <w:webHidden/>
          </w:rPr>
        </w:r>
        <w:r w:rsidR="00D055AA">
          <w:rPr>
            <w:webHidden/>
          </w:rPr>
          <w:fldChar w:fldCharType="separate"/>
        </w:r>
        <w:r w:rsidR="00D055AA">
          <w:rPr>
            <w:webHidden/>
          </w:rPr>
          <w:t>28</w:t>
        </w:r>
        <w:r w:rsidR="00D055AA">
          <w:rPr>
            <w:webHidden/>
          </w:rPr>
          <w:fldChar w:fldCharType="end"/>
        </w:r>
      </w:hyperlink>
    </w:p>
    <w:p w14:paraId="1797813C" w14:textId="00E448A9" w:rsidR="00D055AA" w:rsidRDefault="00DC075D">
      <w:pPr>
        <w:pStyle w:val="TOC2"/>
        <w:tabs>
          <w:tab w:val="left" w:pos="1100"/>
        </w:tabs>
        <w:rPr>
          <w:rFonts w:asciiTheme="minorHAnsi" w:eastAsiaTheme="minorEastAsia" w:hAnsiTheme="minorHAnsi" w:cstheme="minorBidi"/>
          <w:sz w:val="22"/>
          <w:lang w:eastAsia="en-GB" w:bidi="ar-SA"/>
        </w:rPr>
      </w:pPr>
      <w:hyperlink w:anchor="_Toc136940132" w:history="1">
        <w:r w:rsidR="00D055AA" w:rsidRPr="00913A51">
          <w:rPr>
            <w:rStyle w:val="Hyperlink"/>
          </w:rPr>
          <w:t>8.1.</w:t>
        </w:r>
        <w:r w:rsidR="00D055AA">
          <w:rPr>
            <w:rFonts w:asciiTheme="minorHAnsi" w:eastAsiaTheme="minorEastAsia" w:hAnsiTheme="minorHAnsi" w:cstheme="minorBidi"/>
            <w:sz w:val="22"/>
            <w:lang w:eastAsia="en-GB" w:bidi="ar-SA"/>
          </w:rPr>
          <w:tab/>
        </w:r>
        <w:r w:rsidR="00D055AA" w:rsidRPr="00913A51">
          <w:rPr>
            <w:rStyle w:val="Hyperlink"/>
          </w:rPr>
          <w:t>Management</w:t>
        </w:r>
        <w:r w:rsidR="00D055AA">
          <w:rPr>
            <w:webHidden/>
          </w:rPr>
          <w:tab/>
        </w:r>
        <w:r w:rsidR="00D055AA">
          <w:rPr>
            <w:webHidden/>
          </w:rPr>
          <w:fldChar w:fldCharType="begin"/>
        </w:r>
        <w:r w:rsidR="00D055AA">
          <w:rPr>
            <w:webHidden/>
          </w:rPr>
          <w:instrText xml:space="preserve"> PAGEREF _Toc136940132 \h </w:instrText>
        </w:r>
        <w:r w:rsidR="00D055AA">
          <w:rPr>
            <w:webHidden/>
          </w:rPr>
        </w:r>
        <w:r w:rsidR="00D055AA">
          <w:rPr>
            <w:webHidden/>
          </w:rPr>
          <w:fldChar w:fldCharType="separate"/>
        </w:r>
        <w:r w:rsidR="00D055AA">
          <w:rPr>
            <w:webHidden/>
          </w:rPr>
          <w:t>28</w:t>
        </w:r>
        <w:r w:rsidR="00D055AA">
          <w:rPr>
            <w:webHidden/>
          </w:rPr>
          <w:fldChar w:fldCharType="end"/>
        </w:r>
      </w:hyperlink>
    </w:p>
    <w:p w14:paraId="2A45A6A0" w14:textId="6A59AD74" w:rsidR="00D055AA" w:rsidRDefault="00DC075D">
      <w:pPr>
        <w:pStyle w:val="TOC2"/>
        <w:tabs>
          <w:tab w:val="left" w:pos="1100"/>
        </w:tabs>
        <w:rPr>
          <w:rFonts w:asciiTheme="minorHAnsi" w:eastAsiaTheme="minorEastAsia" w:hAnsiTheme="minorHAnsi" w:cstheme="minorBidi"/>
          <w:sz w:val="22"/>
          <w:lang w:eastAsia="en-GB" w:bidi="ar-SA"/>
        </w:rPr>
      </w:pPr>
      <w:hyperlink w:anchor="_Toc136940133" w:history="1">
        <w:r w:rsidR="00D055AA" w:rsidRPr="00913A51">
          <w:rPr>
            <w:rStyle w:val="Hyperlink"/>
          </w:rPr>
          <w:t>8.2.</w:t>
        </w:r>
        <w:r w:rsidR="00D055AA">
          <w:rPr>
            <w:rFonts w:asciiTheme="minorHAnsi" w:eastAsiaTheme="minorEastAsia" w:hAnsiTheme="minorHAnsi" w:cstheme="minorBidi"/>
            <w:sz w:val="22"/>
            <w:lang w:eastAsia="en-GB" w:bidi="ar-SA"/>
          </w:rPr>
          <w:tab/>
        </w:r>
        <w:r w:rsidR="00D055AA" w:rsidRPr="00913A51">
          <w:rPr>
            <w:rStyle w:val="Hyperlink"/>
          </w:rPr>
          <w:t>Charging</w:t>
        </w:r>
        <w:r w:rsidR="00D055AA">
          <w:rPr>
            <w:webHidden/>
          </w:rPr>
          <w:tab/>
        </w:r>
        <w:r w:rsidR="00D055AA">
          <w:rPr>
            <w:webHidden/>
          </w:rPr>
          <w:fldChar w:fldCharType="begin"/>
        </w:r>
        <w:r w:rsidR="00D055AA">
          <w:rPr>
            <w:webHidden/>
          </w:rPr>
          <w:instrText xml:space="preserve"> PAGEREF _Toc136940133 \h </w:instrText>
        </w:r>
        <w:r w:rsidR="00D055AA">
          <w:rPr>
            <w:webHidden/>
          </w:rPr>
        </w:r>
        <w:r w:rsidR="00D055AA">
          <w:rPr>
            <w:webHidden/>
          </w:rPr>
          <w:fldChar w:fldCharType="separate"/>
        </w:r>
        <w:r w:rsidR="00D055AA">
          <w:rPr>
            <w:webHidden/>
          </w:rPr>
          <w:t>31</w:t>
        </w:r>
        <w:r w:rsidR="00D055AA">
          <w:rPr>
            <w:webHidden/>
          </w:rPr>
          <w:fldChar w:fldCharType="end"/>
        </w:r>
      </w:hyperlink>
    </w:p>
    <w:p w14:paraId="4D161B12" w14:textId="763E8E80" w:rsidR="00D055AA" w:rsidRDefault="00DC075D">
      <w:pPr>
        <w:pStyle w:val="TOC1"/>
        <w:rPr>
          <w:rFonts w:asciiTheme="minorHAnsi" w:eastAsiaTheme="minorEastAsia" w:hAnsiTheme="minorHAnsi" w:cstheme="minorBidi"/>
          <w:sz w:val="22"/>
          <w:lang w:eastAsia="en-GB" w:bidi="ar-SA"/>
        </w:rPr>
      </w:pPr>
      <w:hyperlink w:anchor="_Toc136940134" w:history="1">
        <w:r w:rsidR="00D055AA" w:rsidRPr="00913A51">
          <w:rPr>
            <w:rStyle w:val="Hyperlink"/>
          </w:rPr>
          <w:t>References</w:t>
        </w:r>
        <w:r w:rsidR="00D055AA">
          <w:rPr>
            <w:webHidden/>
          </w:rPr>
          <w:tab/>
        </w:r>
        <w:r w:rsidR="00D055AA">
          <w:rPr>
            <w:webHidden/>
          </w:rPr>
          <w:fldChar w:fldCharType="begin"/>
        </w:r>
        <w:r w:rsidR="00D055AA">
          <w:rPr>
            <w:webHidden/>
          </w:rPr>
          <w:instrText xml:space="preserve"> PAGEREF _Toc136940134 \h </w:instrText>
        </w:r>
        <w:r w:rsidR="00D055AA">
          <w:rPr>
            <w:webHidden/>
          </w:rPr>
        </w:r>
        <w:r w:rsidR="00D055AA">
          <w:rPr>
            <w:webHidden/>
          </w:rPr>
          <w:fldChar w:fldCharType="separate"/>
        </w:r>
        <w:r w:rsidR="00D055AA">
          <w:rPr>
            <w:webHidden/>
          </w:rPr>
          <w:t>31</w:t>
        </w:r>
        <w:r w:rsidR="00D055AA">
          <w:rPr>
            <w:webHidden/>
          </w:rPr>
          <w:fldChar w:fldCharType="end"/>
        </w:r>
      </w:hyperlink>
    </w:p>
    <w:p w14:paraId="0CC4B54A" w14:textId="64195E4C" w:rsidR="00267815" w:rsidRDefault="00AD167C" w:rsidP="00267815">
      <w:r>
        <w:fldChar w:fldCharType="end"/>
      </w:r>
    </w:p>
    <w:p w14:paraId="716B9A7E" w14:textId="77777777" w:rsidR="003E098E" w:rsidRDefault="003E098E" w:rsidP="00267815"/>
    <w:p w14:paraId="4812BFF8" w14:textId="77777777" w:rsidR="003E098E" w:rsidRDefault="003E098E" w:rsidP="00267815">
      <w:pPr>
        <w:sectPr w:rsidR="003E098E" w:rsidSect="00B82646">
          <w:headerReference w:type="even" r:id="rId16"/>
          <w:headerReference w:type="default" r:id="rId17"/>
          <w:footerReference w:type="even" r:id="rId18"/>
          <w:footerReference w:type="default" r:id="rId19"/>
          <w:pgSz w:w="11906" w:h="16838" w:code="9"/>
          <w:pgMar w:top="1440" w:right="1080" w:bottom="1440" w:left="1080" w:header="397" w:footer="397" w:gutter="0"/>
          <w:cols w:space="312"/>
          <w:docGrid w:linePitch="360"/>
        </w:sectPr>
      </w:pPr>
    </w:p>
    <w:p w14:paraId="43A875A4" w14:textId="7F61F835" w:rsidR="008D49A5" w:rsidRPr="00223090" w:rsidRDefault="008D49A5" w:rsidP="00223090">
      <w:pPr>
        <w:pStyle w:val="Heading1"/>
      </w:pPr>
      <w:bookmarkStart w:id="1" w:name="_Toc136940109"/>
      <w:bookmarkEnd w:id="0"/>
      <w:r w:rsidRPr="00223090">
        <w:lastRenderedPageBreak/>
        <w:t>Introduction</w:t>
      </w:r>
      <w:bookmarkEnd w:id="1"/>
    </w:p>
    <w:p w14:paraId="616F197D" w14:textId="77777777" w:rsidR="008D49A5" w:rsidRPr="00FA33FE" w:rsidRDefault="008D49A5" w:rsidP="00FA33FE">
      <w:pPr>
        <w:pStyle w:val="Heading2"/>
      </w:pPr>
      <w:bookmarkStart w:id="2" w:name="_Toc136940110"/>
      <w:r w:rsidRPr="00FA33FE">
        <w:t>Purpose</w:t>
      </w:r>
      <w:bookmarkEnd w:id="2"/>
    </w:p>
    <w:p w14:paraId="7E31B7BC" w14:textId="51ADE7A2" w:rsidR="008D49A5" w:rsidRDefault="00C51C23" w:rsidP="00A6177C">
      <w:pPr>
        <w:pStyle w:val="NumberedPara"/>
      </w:pPr>
      <w:r>
        <w:t>This document</w:t>
      </w:r>
      <w:r w:rsidRPr="00C51C23">
        <w:t xml:space="preserve"> provide</w:t>
      </w:r>
      <w:r>
        <w:t>s</w:t>
      </w:r>
      <w:r w:rsidRPr="00C51C23">
        <w:t xml:space="preserve"> guidance to organisations applying to </w:t>
      </w:r>
      <w:r w:rsidR="00614B56">
        <w:t xml:space="preserve">the Office for Nuclear </w:t>
      </w:r>
      <w:r w:rsidR="00BD6775">
        <w:t xml:space="preserve">Regulation </w:t>
      </w:r>
      <w:r w:rsidR="00614B56">
        <w:t>(</w:t>
      </w:r>
      <w:r w:rsidRPr="00C51C23">
        <w:t>ONR</w:t>
      </w:r>
      <w:r w:rsidR="00614B56">
        <w:t>)</w:t>
      </w:r>
      <w:r w:rsidRPr="00C51C23">
        <w:t xml:space="preserve"> for </w:t>
      </w:r>
      <w:r w:rsidR="00614B56">
        <w:t>Competent Authority (</w:t>
      </w:r>
      <w:r w:rsidRPr="00C51C23">
        <w:t>CA</w:t>
      </w:r>
      <w:r w:rsidR="0096459A">
        <w:t>)</w:t>
      </w:r>
      <w:r w:rsidRPr="00C51C23">
        <w:t xml:space="preserve"> approval for new designs, renewal of existing approvals, validation of overseas approvals</w:t>
      </w:r>
      <w:r>
        <w:t>,</w:t>
      </w:r>
      <w:r w:rsidRPr="00C51C23">
        <w:t xml:space="preserve"> modifications to approved designs</w:t>
      </w:r>
      <w:r>
        <w:t xml:space="preserve"> or an approval under special arrangement</w:t>
      </w:r>
      <w:r w:rsidRPr="00C51C23">
        <w:t>.</w:t>
      </w:r>
    </w:p>
    <w:p w14:paraId="546293A4" w14:textId="77777777" w:rsidR="008D49A5" w:rsidRDefault="008D49A5" w:rsidP="00FA33FE">
      <w:pPr>
        <w:pStyle w:val="Heading2"/>
      </w:pPr>
      <w:bookmarkStart w:id="3" w:name="_Toc136940111"/>
      <w:r>
        <w:t>Scope and Applicability</w:t>
      </w:r>
      <w:bookmarkEnd w:id="3"/>
    </w:p>
    <w:p w14:paraId="64C6ED97" w14:textId="20843DBC" w:rsidR="008D49A5" w:rsidRDefault="00C51C23" w:rsidP="00A6177C">
      <w:pPr>
        <w:pStyle w:val="NumberedPara"/>
      </w:pPr>
      <w:r w:rsidRPr="00C51C23">
        <w:t xml:space="preserve">This document does not prescribe detailed technical guidance; it is the dutyholder’s responsibility to decide how </w:t>
      </w:r>
      <w:r w:rsidR="0007052A">
        <w:t xml:space="preserve">it substantiates the </w:t>
      </w:r>
      <w:r w:rsidRPr="00C51C23">
        <w:t xml:space="preserve">specific safety and legal requirements of transport packages and packaging. ONR expects </w:t>
      </w:r>
      <w:r w:rsidR="0007052A">
        <w:t xml:space="preserve">the applicant to use </w:t>
      </w:r>
      <w:r w:rsidRPr="00C51C23">
        <w:t>relevant technical</w:t>
      </w:r>
      <w:r w:rsidR="0007052A">
        <w:t xml:space="preserve"> standards, </w:t>
      </w:r>
      <w:r w:rsidRPr="00C51C23">
        <w:t>safety standards and good practices. However, ONR publishes on its website various sources of internal technical guidance to inspectors</w:t>
      </w:r>
      <w:r>
        <w:t xml:space="preserve"> that</w:t>
      </w:r>
      <w:r w:rsidRPr="00C51C23">
        <w:t xml:space="preserve"> provide a supplementary source of guidance for applicants</w:t>
      </w:r>
      <w:r w:rsidR="006C76A2">
        <w:t>.</w:t>
      </w:r>
    </w:p>
    <w:p w14:paraId="5300D1EE" w14:textId="58CBF1CB" w:rsidR="007968CA" w:rsidRDefault="008D49A5" w:rsidP="00FA33FE">
      <w:pPr>
        <w:pStyle w:val="Heading2"/>
      </w:pPr>
      <w:bookmarkStart w:id="4" w:name="_Toc136940112"/>
      <w:r>
        <w:t>Definitions</w:t>
      </w:r>
      <w:bookmarkEnd w:id="4"/>
    </w:p>
    <w:p w14:paraId="1AC3A327" w14:textId="5FB1009F" w:rsidR="008D49A5" w:rsidRDefault="008D49A5" w:rsidP="008D49A5">
      <w:pPr>
        <w:pStyle w:val="Caption"/>
        <w:keepNext/>
      </w:pPr>
      <w:r>
        <w:t xml:space="preserve">Table </w:t>
      </w:r>
      <w:fldSimple w:instr=" SEQ Table \* ARABIC ">
        <w:r w:rsidR="00A81898">
          <w:rPr>
            <w:noProof/>
          </w:rPr>
          <w:t>2</w:t>
        </w:r>
      </w:fldSimple>
      <w:r>
        <w:t xml:space="preserve"> </w:t>
      </w:r>
      <w:r w:rsidR="00DA69C2">
        <w:t>–</w:t>
      </w:r>
      <w:r>
        <w:t xml:space="preserve"> Table</w:t>
      </w:r>
      <w:r w:rsidR="00DA69C2">
        <w:t xml:space="preserve"> </w:t>
      </w:r>
      <w:r>
        <w:t>of Definitions</w:t>
      </w:r>
    </w:p>
    <w:tbl>
      <w:tblPr>
        <w:tblStyle w:val="ONRTable1"/>
        <w:tblW w:w="5000" w:type="pct"/>
        <w:tblInd w:w="0" w:type="dxa"/>
        <w:tblLook w:val="04A0" w:firstRow="1" w:lastRow="0" w:firstColumn="1" w:lastColumn="0" w:noHBand="0" w:noVBand="1"/>
      </w:tblPr>
      <w:tblGrid>
        <w:gridCol w:w="2976"/>
        <w:gridCol w:w="6770"/>
      </w:tblGrid>
      <w:tr w:rsidR="008D49A5" w:rsidRPr="00733C45" w14:paraId="041543F5" w14:textId="77777777" w:rsidTr="009E0E52">
        <w:trPr>
          <w:cnfStyle w:val="100000000000" w:firstRow="1" w:lastRow="0" w:firstColumn="0" w:lastColumn="0" w:oddVBand="0" w:evenVBand="0" w:oddHBand="0" w:evenHBand="0" w:firstRowFirstColumn="0" w:firstRowLastColumn="0" w:lastRowFirstColumn="0" w:lastRowLastColumn="0"/>
        </w:trPr>
        <w:tc>
          <w:tcPr>
            <w:tcW w:w="1527" w:type="pct"/>
            <w:hideMark/>
          </w:tcPr>
          <w:p w14:paraId="59486AB2" w14:textId="097A719D" w:rsidR="008D49A5" w:rsidRPr="00733C45" w:rsidRDefault="008D49A5" w:rsidP="003401B0">
            <w:pPr>
              <w:pStyle w:val="TableText"/>
              <w:rPr>
                <w:b w:val="0"/>
                <w:bCs/>
              </w:rPr>
            </w:pPr>
            <w:r w:rsidRPr="00733C45">
              <w:rPr>
                <w:b w:val="0"/>
                <w:bCs/>
              </w:rPr>
              <w:t>Term/Acronym</w:t>
            </w:r>
          </w:p>
        </w:tc>
        <w:tc>
          <w:tcPr>
            <w:tcW w:w="3473" w:type="pct"/>
          </w:tcPr>
          <w:p w14:paraId="4A320AC0" w14:textId="6A83D99E" w:rsidR="008D49A5" w:rsidRPr="00733C45" w:rsidRDefault="008D49A5" w:rsidP="003401B0">
            <w:pPr>
              <w:pStyle w:val="TableText"/>
              <w:rPr>
                <w:b w:val="0"/>
                <w:bCs/>
              </w:rPr>
            </w:pPr>
            <w:r w:rsidRPr="00733C45">
              <w:rPr>
                <w:b w:val="0"/>
                <w:bCs/>
              </w:rPr>
              <w:t>Description</w:t>
            </w:r>
          </w:p>
        </w:tc>
      </w:tr>
      <w:tr w:rsidR="00192250" w14:paraId="3AB89CEA" w14:textId="77777777" w:rsidTr="009E0E52">
        <w:tc>
          <w:tcPr>
            <w:tcW w:w="1527" w:type="pct"/>
          </w:tcPr>
          <w:p w14:paraId="7DC35F43" w14:textId="50FE9E5F" w:rsidR="00192250" w:rsidRDefault="00192250" w:rsidP="00E35C1E">
            <w:pPr>
              <w:pStyle w:val="TableText"/>
            </w:pPr>
            <w:proofErr w:type="spellStart"/>
            <w:r>
              <w:t>ACoP</w:t>
            </w:r>
            <w:proofErr w:type="spellEnd"/>
          </w:p>
        </w:tc>
        <w:tc>
          <w:tcPr>
            <w:tcW w:w="3473" w:type="pct"/>
          </w:tcPr>
          <w:p w14:paraId="4B2A8EE4" w14:textId="55690199" w:rsidR="00192250" w:rsidRPr="00D64BDF" w:rsidRDefault="00192250" w:rsidP="00E35C1E">
            <w:pPr>
              <w:pStyle w:val="TableText"/>
            </w:pPr>
            <w:r>
              <w:t>Approved Code of Practice</w:t>
            </w:r>
          </w:p>
        </w:tc>
      </w:tr>
      <w:tr w:rsidR="00E35C1E" w14:paraId="160D5950" w14:textId="77777777" w:rsidTr="009E0E52">
        <w:tc>
          <w:tcPr>
            <w:tcW w:w="1527" w:type="pct"/>
          </w:tcPr>
          <w:p w14:paraId="26CD354E" w14:textId="22A9077F" w:rsidR="00E35C1E" w:rsidRDefault="00E35C1E" w:rsidP="00E35C1E">
            <w:pPr>
              <w:pStyle w:val="TableText"/>
            </w:pPr>
            <w:r>
              <w:t>ADN</w:t>
            </w:r>
          </w:p>
        </w:tc>
        <w:tc>
          <w:tcPr>
            <w:tcW w:w="3473" w:type="pct"/>
          </w:tcPr>
          <w:p w14:paraId="2982B2AD" w14:textId="6A24C500" w:rsidR="00E35C1E" w:rsidRDefault="00E35C1E" w:rsidP="00E35C1E">
            <w:pPr>
              <w:pStyle w:val="TableText"/>
            </w:pPr>
            <w:r w:rsidRPr="00D64BDF">
              <w:t xml:space="preserve">Agreement concerning the International Carriage of Dangerous Goods by </w:t>
            </w:r>
            <w:r>
              <w:t>Inland Waterways</w:t>
            </w:r>
          </w:p>
        </w:tc>
      </w:tr>
      <w:tr w:rsidR="005141DF" w14:paraId="6FE755DA" w14:textId="77777777" w:rsidTr="00E35C1E">
        <w:tc>
          <w:tcPr>
            <w:tcW w:w="1527" w:type="pct"/>
          </w:tcPr>
          <w:p w14:paraId="3EDCD184" w14:textId="25E4044D" w:rsidR="005141DF" w:rsidRPr="003401B0" w:rsidRDefault="005141DF" w:rsidP="005141DF">
            <w:pPr>
              <w:pStyle w:val="TableText"/>
            </w:pPr>
            <w:r>
              <w:t>ADR</w:t>
            </w:r>
          </w:p>
        </w:tc>
        <w:tc>
          <w:tcPr>
            <w:tcW w:w="3473" w:type="pct"/>
          </w:tcPr>
          <w:p w14:paraId="385E81AE" w14:textId="67A40522" w:rsidR="005141DF" w:rsidRDefault="005141DF" w:rsidP="005141DF">
            <w:pPr>
              <w:pStyle w:val="TableText"/>
            </w:pPr>
            <w:r w:rsidRPr="00742E2D">
              <w:t>Agreement concerning the International Carriage of Dangerous Goods by Road</w:t>
            </w:r>
          </w:p>
        </w:tc>
      </w:tr>
      <w:tr w:rsidR="005141DF" w14:paraId="5D058C64" w14:textId="77777777" w:rsidTr="009E0E52">
        <w:tc>
          <w:tcPr>
            <w:tcW w:w="1527" w:type="pct"/>
          </w:tcPr>
          <w:p w14:paraId="18D57E50" w14:textId="223F948F" w:rsidR="005141DF" w:rsidRDefault="005141DF" w:rsidP="005141DF">
            <w:pPr>
              <w:pStyle w:val="TableText"/>
            </w:pPr>
            <w:r>
              <w:t>CA</w:t>
            </w:r>
          </w:p>
        </w:tc>
        <w:tc>
          <w:tcPr>
            <w:tcW w:w="3473" w:type="pct"/>
          </w:tcPr>
          <w:p w14:paraId="515B8F1D" w14:textId="7C32F921" w:rsidR="005141DF" w:rsidRDefault="005141DF" w:rsidP="005141DF">
            <w:pPr>
              <w:pStyle w:val="TableText"/>
            </w:pPr>
            <w:r>
              <w:t>Competent Authority</w:t>
            </w:r>
          </w:p>
        </w:tc>
      </w:tr>
      <w:tr w:rsidR="001954DB" w14:paraId="4681D042" w14:textId="77777777" w:rsidTr="009E0E52">
        <w:tc>
          <w:tcPr>
            <w:tcW w:w="1527" w:type="pct"/>
          </w:tcPr>
          <w:p w14:paraId="593D9379" w14:textId="42022053" w:rsidR="001954DB" w:rsidRDefault="001954DB" w:rsidP="001954DB">
            <w:pPr>
              <w:pStyle w:val="TableText"/>
            </w:pPr>
            <w:r>
              <w:t>CDG</w:t>
            </w:r>
          </w:p>
        </w:tc>
        <w:tc>
          <w:tcPr>
            <w:tcW w:w="3473" w:type="pct"/>
          </w:tcPr>
          <w:p w14:paraId="2A4F7D2C" w14:textId="669EDF47" w:rsidR="001954DB" w:rsidRDefault="001954DB" w:rsidP="001954DB">
            <w:pPr>
              <w:pStyle w:val="TableText"/>
            </w:pPr>
            <w:r>
              <w:t>Carriage of Dangerous Goods and Use of Transportable Pressure Equipment Regulations</w:t>
            </w:r>
          </w:p>
        </w:tc>
      </w:tr>
      <w:tr w:rsidR="001954DB" w14:paraId="2179A2C0" w14:textId="77777777" w:rsidTr="009E0E52">
        <w:tc>
          <w:tcPr>
            <w:tcW w:w="1527" w:type="pct"/>
          </w:tcPr>
          <w:p w14:paraId="11727446" w14:textId="7981E8E5" w:rsidR="001954DB" w:rsidRDefault="001954DB" w:rsidP="001954DB">
            <w:pPr>
              <w:pStyle w:val="TableText"/>
            </w:pPr>
            <w:r>
              <w:t>CoA</w:t>
            </w:r>
          </w:p>
        </w:tc>
        <w:tc>
          <w:tcPr>
            <w:tcW w:w="3473" w:type="pct"/>
          </w:tcPr>
          <w:p w14:paraId="6EE34FCF" w14:textId="07D09BA5" w:rsidR="001954DB" w:rsidRDefault="001954DB" w:rsidP="001954DB">
            <w:pPr>
              <w:pStyle w:val="TableText"/>
            </w:pPr>
            <w:r>
              <w:t>Certificate of Approval</w:t>
            </w:r>
          </w:p>
        </w:tc>
      </w:tr>
      <w:tr w:rsidR="00572747" w14:paraId="01437575" w14:textId="77777777" w:rsidTr="009E0E52">
        <w:tc>
          <w:tcPr>
            <w:tcW w:w="1527" w:type="pct"/>
          </w:tcPr>
          <w:p w14:paraId="1E144CAD" w14:textId="25289284" w:rsidR="00572747" w:rsidRDefault="00572747" w:rsidP="001954DB">
            <w:pPr>
              <w:pStyle w:val="TableText"/>
            </w:pPr>
            <w:r>
              <w:t>DNSR</w:t>
            </w:r>
          </w:p>
        </w:tc>
        <w:tc>
          <w:tcPr>
            <w:tcW w:w="3473" w:type="pct"/>
          </w:tcPr>
          <w:p w14:paraId="0BCE37E8" w14:textId="5B5EC54D" w:rsidR="00572747" w:rsidRDefault="00572747" w:rsidP="001954DB">
            <w:pPr>
              <w:pStyle w:val="TableText"/>
            </w:pPr>
            <w:r>
              <w:t>Defence Nuclear Safety R</w:t>
            </w:r>
            <w:r w:rsidR="00322230">
              <w:t>e</w:t>
            </w:r>
            <w:r>
              <w:t>gulator</w:t>
            </w:r>
          </w:p>
        </w:tc>
      </w:tr>
      <w:tr w:rsidR="001954DB" w14:paraId="4E65F174" w14:textId="77777777" w:rsidTr="009E0E52">
        <w:tc>
          <w:tcPr>
            <w:tcW w:w="1527" w:type="pct"/>
          </w:tcPr>
          <w:p w14:paraId="38E7C413" w14:textId="4A8C5642" w:rsidR="001954DB" w:rsidRDefault="001954DB" w:rsidP="001954DB">
            <w:pPr>
              <w:pStyle w:val="TableText"/>
            </w:pPr>
            <w:r>
              <w:t>GB</w:t>
            </w:r>
          </w:p>
        </w:tc>
        <w:tc>
          <w:tcPr>
            <w:tcW w:w="3473" w:type="pct"/>
          </w:tcPr>
          <w:p w14:paraId="2E59EE63" w14:textId="04D5F1C7" w:rsidR="001954DB" w:rsidRDefault="001954DB" w:rsidP="001954DB">
            <w:pPr>
              <w:pStyle w:val="TableText"/>
            </w:pPr>
            <w:r>
              <w:t>Great Britain</w:t>
            </w:r>
          </w:p>
        </w:tc>
      </w:tr>
      <w:tr w:rsidR="001954DB" w14:paraId="5192641B" w14:textId="77777777" w:rsidTr="009E0E52">
        <w:tc>
          <w:tcPr>
            <w:tcW w:w="1527" w:type="pct"/>
          </w:tcPr>
          <w:p w14:paraId="5D782B39" w14:textId="1EA923EE" w:rsidR="001954DB" w:rsidRDefault="001954DB" w:rsidP="001954DB">
            <w:pPr>
              <w:pStyle w:val="TableText"/>
            </w:pPr>
            <w:r>
              <w:t>IAEA</w:t>
            </w:r>
          </w:p>
        </w:tc>
        <w:tc>
          <w:tcPr>
            <w:tcW w:w="3473" w:type="pct"/>
          </w:tcPr>
          <w:p w14:paraId="661F15C0" w14:textId="59D4239F" w:rsidR="001954DB" w:rsidRDefault="001954DB" w:rsidP="001954DB">
            <w:pPr>
              <w:pStyle w:val="TableText"/>
            </w:pPr>
            <w:r>
              <w:t>International Atomic Energy Agency</w:t>
            </w:r>
          </w:p>
        </w:tc>
      </w:tr>
      <w:tr w:rsidR="001954DB" w14:paraId="2906FB8F" w14:textId="77777777" w:rsidTr="009E0E52">
        <w:tc>
          <w:tcPr>
            <w:tcW w:w="1527" w:type="pct"/>
          </w:tcPr>
          <w:p w14:paraId="7F988CF7" w14:textId="6CA1256A" w:rsidR="001954DB" w:rsidRDefault="001954DB" w:rsidP="001954DB">
            <w:pPr>
              <w:pStyle w:val="TableText"/>
            </w:pPr>
            <w:r>
              <w:t>ICAO TI</w:t>
            </w:r>
          </w:p>
        </w:tc>
        <w:tc>
          <w:tcPr>
            <w:tcW w:w="3473" w:type="pct"/>
          </w:tcPr>
          <w:p w14:paraId="1A64D333" w14:textId="7D254D56" w:rsidR="001954DB" w:rsidRDefault="001954DB" w:rsidP="001954DB">
            <w:pPr>
              <w:pStyle w:val="TableText"/>
            </w:pPr>
            <w:r>
              <w:t>Technical Instructions for the Safe Transport of Dangerous Goods by Air</w:t>
            </w:r>
          </w:p>
        </w:tc>
      </w:tr>
      <w:tr w:rsidR="001954DB" w:rsidRPr="00DC075D" w14:paraId="0270F058" w14:textId="77777777" w:rsidTr="009E0E52">
        <w:tc>
          <w:tcPr>
            <w:tcW w:w="1527" w:type="pct"/>
          </w:tcPr>
          <w:p w14:paraId="1C3FF6BD" w14:textId="3A677383" w:rsidR="001954DB" w:rsidRDefault="001954DB" w:rsidP="001954DB">
            <w:pPr>
              <w:pStyle w:val="TableText"/>
            </w:pPr>
            <w:r>
              <w:lastRenderedPageBreak/>
              <w:t>IMDG</w:t>
            </w:r>
          </w:p>
        </w:tc>
        <w:tc>
          <w:tcPr>
            <w:tcW w:w="3473" w:type="pct"/>
          </w:tcPr>
          <w:p w14:paraId="5CE96FC0" w14:textId="2DC73FE2" w:rsidR="001954DB" w:rsidRPr="00DF0F1E" w:rsidRDefault="001954DB" w:rsidP="001954DB">
            <w:pPr>
              <w:pStyle w:val="TableText"/>
              <w:rPr>
                <w:lang w:val="fr-FR"/>
              </w:rPr>
            </w:pPr>
            <w:r w:rsidRPr="00DF0F1E">
              <w:rPr>
                <w:lang w:val="fr-FR"/>
              </w:rPr>
              <w:t>International Maritime Dangerous Goods Code</w:t>
            </w:r>
          </w:p>
        </w:tc>
      </w:tr>
      <w:tr w:rsidR="00192250" w14:paraId="642B08F7" w14:textId="77777777" w:rsidTr="009E0E52">
        <w:tc>
          <w:tcPr>
            <w:tcW w:w="1527" w:type="pct"/>
          </w:tcPr>
          <w:p w14:paraId="1729436C" w14:textId="69EA75CD" w:rsidR="00192250" w:rsidRDefault="00192250" w:rsidP="001954DB">
            <w:pPr>
              <w:pStyle w:val="TableText"/>
            </w:pPr>
            <w:r>
              <w:t>IRR17</w:t>
            </w:r>
          </w:p>
        </w:tc>
        <w:tc>
          <w:tcPr>
            <w:tcW w:w="3473" w:type="pct"/>
          </w:tcPr>
          <w:p w14:paraId="250C4E78" w14:textId="2FC09005" w:rsidR="00192250" w:rsidRDefault="00DF565E" w:rsidP="001954DB">
            <w:pPr>
              <w:pStyle w:val="TableText"/>
            </w:pPr>
            <w:r>
              <w:t>Ionising Radiations Regulations 2017</w:t>
            </w:r>
          </w:p>
        </w:tc>
      </w:tr>
      <w:tr w:rsidR="00414A02" w14:paraId="146FB5BD" w14:textId="77777777" w:rsidTr="009E0E52">
        <w:tc>
          <w:tcPr>
            <w:tcW w:w="1527" w:type="pct"/>
          </w:tcPr>
          <w:p w14:paraId="75599887" w14:textId="3F3AC1BE" w:rsidR="00414A02" w:rsidRDefault="00414A02" w:rsidP="00414A02">
            <w:pPr>
              <w:pStyle w:val="TableText"/>
            </w:pPr>
            <w:r>
              <w:t>MCA</w:t>
            </w:r>
          </w:p>
        </w:tc>
        <w:tc>
          <w:tcPr>
            <w:tcW w:w="3473" w:type="pct"/>
          </w:tcPr>
          <w:p w14:paraId="093D6C48" w14:textId="4C2775C8" w:rsidR="00414A02" w:rsidRDefault="00414A02" w:rsidP="00414A02">
            <w:pPr>
              <w:pStyle w:val="TableText"/>
            </w:pPr>
            <w:r>
              <w:t>Maritime and Coastguard Agency</w:t>
            </w:r>
          </w:p>
        </w:tc>
      </w:tr>
      <w:tr w:rsidR="00572747" w14:paraId="2F9338AC" w14:textId="77777777" w:rsidTr="009E0E52">
        <w:tc>
          <w:tcPr>
            <w:tcW w:w="1527" w:type="pct"/>
          </w:tcPr>
          <w:p w14:paraId="555437FB" w14:textId="26218ACC" w:rsidR="00572747" w:rsidRDefault="00572747" w:rsidP="00414A02">
            <w:pPr>
              <w:pStyle w:val="TableText"/>
            </w:pPr>
            <w:r>
              <w:t>MOD</w:t>
            </w:r>
          </w:p>
        </w:tc>
        <w:tc>
          <w:tcPr>
            <w:tcW w:w="3473" w:type="pct"/>
          </w:tcPr>
          <w:p w14:paraId="1AF47758" w14:textId="058FF64B" w:rsidR="00572747" w:rsidRDefault="00572747" w:rsidP="00414A02">
            <w:pPr>
              <w:pStyle w:val="TableText"/>
            </w:pPr>
            <w:r>
              <w:t>Mi</w:t>
            </w:r>
            <w:r w:rsidR="003D1D64">
              <w:t>nistry of Defence</w:t>
            </w:r>
          </w:p>
        </w:tc>
      </w:tr>
      <w:tr w:rsidR="00414A02" w14:paraId="15C64F2D" w14:textId="77777777" w:rsidTr="009E0E52">
        <w:tc>
          <w:tcPr>
            <w:tcW w:w="1527" w:type="pct"/>
          </w:tcPr>
          <w:p w14:paraId="13FDFF0D" w14:textId="38A7603C" w:rsidR="00414A02" w:rsidRDefault="00414A02" w:rsidP="00414A02">
            <w:pPr>
              <w:pStyle w:val="TableText"/>
            </w:pPr>
            <w:r>
              <w:t>ONR</w:t>
            </w:r>
          </w:p>
        </w:tc>
        <w:tc>
          <w:tcPr>
            <w:tcW w:w="3473" w:type="pct"/>
          </w:tcPr>
          <w:p w14:paraId="122E502B" w14:textId="0823AA14" w:rsidR="00414A02" w:rsidRPr="00251EAB" w:rsidRDefault="00414A02" w:rsidP="00414A02">
            <w:pPr>
              <w:pStyle w:val="TableText"/>
            </w:pPr>
            <w:r>
              <w:t>Office for Nuclear Regulation</w:t>
            </w:r>
          </w:p>
        </w:tc>
      </w:tr>
      <w:tr w:rsidR="00414A02" w14:paraId="6068B55A" w14:textId="77777777" w:rsidTr="009E0E52">
        <w:tc>
          <w:tcPr>
            <w:tcW w:w="1527" w:type="pct"/>
          </w:tcPr>
          <w:p w14:paraId="5464F2BA" w14:textId="5B40714B" w:rsidR="00414A02" w:rsidRDefault="00414A02" w:rsidP="00414A02">
            <w:pPr>
              <w:pStyle w:val="TableText"/>
            </w:pPr>
            <w:r>
              <w:t>PAR</w:t>
            </w:r>
          </w:p>
        </w:tc>
        <w:tc>
          <w:tcPr>
            <w:tcW w:w="3473" w:type="pct"/>
          </w:tcPr>
          <w:p w14:paraId="3FC0BEE9" w14:textId="524734A5" w:rsidR="00414A02" w:rsidRPr="00251EAB" w:rsidRDefault="00414A02" w:rsidP="00414A02">
            <w:pPr>
              <w:pStyle w:val="TableText"/>
            </w:pPr>
            <w:r>
              <w:t>Project Assessment Report</w:t>
            </w:r>
          </w:p>
        </w:tc>
      </w:tr>
      <w:tr w:rsidR="00414A02" w14:paraId="126C00F2" w14:textId="77777777" w:rsidTr="009E0E52">
        <w:tc>
          <w:tcPr>
            <w:tcW w:w="1527" w:type="pct"/>
          </w:tcPr>
          <w:p w14:paraId="7C25605A" w14:textId="10BB7516" w:rsidR="00414A02" w:rsidRDefault="00414A02" w:rsidP="00414A02">
            <w:pPr>
              <w:pStyle w:val="TableText"/>
            </w:pPr>
            <w:r>
              <w:t>PDSR</w:t>
            </w:r>
          </w:p>
        </w:tc>
        <w:tc>
          <w:tcPr>
            <w:tcW w:w="3473" w:type="pct"/>
          </w:tcPr>
          <w:p w14:paraId="40EE5628" w14:textId="028789FD" w:rsidR="00414A02" w:rsidRPr="00251EAB" w:rsidRDefault="00414A02" w:rsidP="00414A02">
            <w:pPr>
              <w:pStyle w:val="TableText"/>
            </w:pPr>
            <w:r>
              <w:t>Package Design Safety Report</w:t>
            </w:r>
          </w:p>
        </w:tc>
      </w:tr>
      <w:tr w:rsidR="00414A02" w14:paraId="0E2A940B" w14:textId="77777777" w:rsidTr="009E0E52">
        <w:tc>
          <w:tcPr>
            <w:tcW w:w="1527" w:type="pct"/>
          </w:tcPr>
          <w:p w14:paraId="436BA178" w14:textId="4FEA8C07" w:rsidR="00414A02" w:rsidRDefault="00414A02" w:rsidP="00414A02">
            <w:pPr>
              <w:pStyle w:val="TableText"/>
            </w:pPr>
            <w:r>
              <w:t>RID</w:t>
            </w:r>
          </w:p>
        </w:tc>
        <w:tc>
          <w:tcPr>
            <w:tcW w:w="3473" w:type="pct"/>
          </w:tcPr>
          <w:p w14:paraId="131E5835" w14:textId="014B9CD1" w:rsidR="00414A02" w:rsidRDefault="00414A02" w:rsidP="00414A02">
            <w:pPr>
              <w:pStyle w:val="TableText"/>
            </w:pPr>
            <w:r w:rsidRPr="00251EAB">
              <w:t>Regulations concerning the International Carriage of Dangerous Goods by Rail</w:t>
            </w:r>
          </w:p>
        </w:tc>
      </w:tr>
      <w:tr w:rsidR="00414A02" w14:paraId="79AC10FA" w14:textId="77777777" w:rsidTr="009E0E52">
        <w:tc>
          <w:tcPr>
            <w:tcW w:w="1527" w:type="pct"/>
          </w:tcPr>
          <w:p w14:paraId="5B010BBB" w14:textId="224E78B3" w:rsidR="00414A02" w:rsidRDefault="00414A02" w:rsidP="00414A02">
            <w:pPr>
              <w:pStyle w:val="TableText"/>
            </w:pPr>
            <w:r>
              <w:t>SSG-26</w:t>
            </w:r>
          </w:p>
        </w:tc>
        <w:tc>
          <w:tcPr>
            <w:tcW w:w="3473" w:type="pct"/>
          </w:tcPr>
          <w:p w14:paraId="522BE990" w14:textId="37791FB4" w:rsidR="00414A02" w:rsidRDefault="00414A02" w:rsidP="00414A02">
            <w:pPr>
              <w:pStyle w:val="TableText"/>
            </w:pPr>
            <w:r>
              <w:t>Advisory Material for the IAEA Regulations for the Safe Transport of Radioactive Material</w:t>
            </w:r>
          </w:p>
        </w:tc>
      </w:tr>
      <w:tr w:rsidR="00414A02" w14:paraId="1AF31007" w14:textId="77777777" w:rsidTr="009E0E52">
        <w:tc>
          <w:tcPr>
            <w:tcW w:w="1527" w:type="pct"/>
          </w:tcPr>
          <w:p w14:paraId="6302DD5A" w14:textId="728D6454" w:rsidR="00414A02" w:rsidRDefault="00414A02" w:rsidP="00414A02">
            <w:pPr>
              <w:pStyle w:val="TableText"/>
            </w:pPr>
            <w:r>
              <w:t>SSG-33</w:t>
            </w:r>
          </w:p>
        </w:tc>
        <w:tc>
          <w:tcPr>
            <w:tcW w:w="3473" w:type="pct"/>
          </w:tcPr>
          <w:p w14:paraId="7FF2A6B9" w14:textId="354EDE5B" w:rsidR="00414A02" w:rsidRDefault="00414A02" w:rsidP="00414A02">
            <w:pPr>
              <w:pStyle w:val="TableText"/>
            </w:pPr>
            <w:r>
              <w:t>Schedules of Provisions of the IAEA Regulations for the Safe Transport of Radioactive Material</w:t>
            </w:r>
          </w:p>
        </w:tc>
      </w:tr>
      <w:tr w:rsidR="00414A02" w14:paraId="6BE77DF8" w14:textId="77777777" w:rsidTr="009E0E52">
        <w:tc>
          <w:tcPr>
            <w:tcW w:w="1527" w:type="pct"/>
          </w:tcPr>
          <w:p w14:paraId="1A1643E7" w14:textId="7BCAA0CD" w:rsidR="00414A02" w:rsidRDefault="00414A02" w:rsidP="00414A02">
            <w:pPr>
              <w:pStyle w:val="TableText"/>
            </w:pPr>
            <w:r>
              <w:t>SSG-66</w:t>
            </w:r>
          </w:p>
        </w:tc>
        <w:tc>
          <w:tcPr>
            <w:tcW w:w="3473" w:type="pct"/>
          </w:tcPr>
          <w:p w14:paraId="6337BA00" w14:textId="2787CE90" w:rsidR="00414A02" w:rsidRDefault="00414A02" w:rsidP="00414A02">
            <w:pPr>
              <w:pStyle w:val="TableText"/>
            </w:pPr>
            <w:r>
              <w:t>Format and Content of the Package Design Safety Report for the Transport of Radioactive Material</w:t>
            </w:r>
          </w:p>
        </w:tc>
      </w:tr>
      <w:tr w:rsidR="00414A02" w14:paraId="0999EE69" w14:textId="77777777" w:rsidTr="009E0E52">
        <w:tc>
          <w:tcPr>
            <w:tcW w:w="1527" w:type="pct"/>
          </w:tcPr>
          <w:p w14:paraId="524B1FDE" w14:textId="31831EB2" w:rsidR="00414A02" w:rsidRDefault="00414A02" w:rsidP="00414A02">
            <w:pPr>
              <w:pStyle w:val="TableText"/>
            </w:pPr>
            <w:r>
              <w:t>SSR-6</w:t>
            </w:r>
          </w:p>
        </w:tc>
        <w:tc>
          <w:tcPr>
            <w:tcW w:w="3473" w:type="pct"/>
          </w:tcPr>
          <w:p w14:paraId="27127186" w14:textId="0E3D6863" w:rsidR="00414A02" w:rsidRDefault="00414A02" w:rsidP="00414A02">
            <w:pPr>
              <w:pStyle w:val="TableText"/>
            </w:pPr>
            <w:r w:rsidRPr="00C704D7">
              <w:t>Regulations for the Safe Transport of Radioactive Material</w:t>
            </w:r>
          </w:p>
        </w:tc>
      </w:tr>
      <w:tr w:rsidR="00414A02" w14:paraId="4CC8C777" w14:textId="77777777" w:rsidTr="009E0E52">
        <w:tc>
          <w:tcPr>
            <w:tcW w:w="1527" w:type="pct"/>
          </w:tcPr>
          <w:p w14:paraId="2173949A" w14:textId="046B413D" w:rsidR="00414A02" w:rsidRDefault="00414A02" w:rsidP="00414A02">
            <w:pPr>
              <w:pStyle w:val="TableText"/>
            </w:pPr>
            <w:r>
              <w:t>TSC</w:t>
            </w:r>
          </w:p>
        </w:tc>
        <w:tc>
          <w:tcPr>
            <w:tcW w:w="3473" w:type="pct"/>
          </w:tcPr>
          <w:p w14:paraId="6A189995" w14:textId="21B26727" w:rsidR="00414A02" w:rsidRDefault="00414A02" w:rsidP="00414A02">
            <w:pPr>
              <w:pStyle w:val="TableText"/>
            </w:pPr>
            <w:r>
              <w:t>Technical Support Contract</w:t>
            </w:r>
          </w:p>
        </w:tc>
      </w:tr>
      <w:tr w:rsidR="00414A02" w14:paraId="56EE42FC" w14:textId="77777777" w:rsidTr="009E0E52">
        <w:tc>
          <w:tcPr>
            <w:tcW w:w="1527" w:type="pct"/>
          </w:tcPr>
          <w:p w14:paraId="46B5969C" w14:textId="07C89AE2" w:rsidR="00414A02" w:rsidRDefault="00414A02" w:rsidP="00414A02">
            <w:pPr>
              <w:pStyle w:val="TableText"/>
            </w:pPr>
            <w:r>
              <w:t>UK</w:t>
            </w:r>
          </w:p>
        </w:tc>
        <w:tc>
          <w:tcPr>
            <w:tcW w:w="3473" w:type="pct"/>
          </w:tcPr>
          <w:p w14:paraId="3F5FBD4F" w14:textId="35EA79C3" w:rsidR="00414A02" w:rsidRDefault="00414A02" w:rsidP="00414A02">
            <w:pPr>
              <w:pStyle w:val="TableText"/>
            </w:pPr>
            <w:r>
              <w:t>United Kingdom</w:t>
            </w:r>
          </w:p>
        </w:tc>
      </w:tr>
    </w:tbl>
    <w:p w14:paraId="43F09434" w14:textId="77777777" w:rsidR="009E0E52" w:rsidRDefault="009E0E52" w:rsidP="005754AE">
      <w:pPr>
        <w:sectPr w:rsidR="009E0E52" w:rsidSect="00B82646">
          <w:headerReference w:type="even" r:id="rId20"/>
          <w:headerReference w:type="default" r:id="rId21"/>
          <w:footerReference w:type="even" r:id="rId22"/>
          <w:pgSz w:w="11906" w:h="16838" w:code="9"/>
          <w:pgMar w:top="1440" w:right="1080" w:bottom="1440" w:left="1080" w:header="397" w:footer="397" w:gutter="0"/>
          <w:cols w:space="312"/>
          <w:docGrid w:linePitch="360"/>
        </w:sectPr>
      </w:pPr>
    </w:p>
    <w:p w14:paraId="32A4D65A" w14:textId="60F0A689" w:rsidR="00E707A4" w:rsidRDefault="00E707A4" w:rsidP="00223090">
      <w:pPr>
        <w:pStyle w:val="Heading1"/>
      </w:pPr>
      <w:bookmarkStart w:id="5" w:name="_Toc136940113"/>
      <w:r>
        <w:lastRenderedPageBreak/>
        <w:t>General Information</w:t>
      </w:r>
      <w:bookmarkEnd w:id="5"/>
    </w:p>
    <w:p w14:paraId="3E57C2F8" w14:textId="1A0556BA" w:rsidR="006C0E44" w:rsidRDefault="00E707A4" w:rsidP="006C0E44">
      <w:pPr>
        <w:pStyle w:val="NumberedPara"/>
      </w:pPr>
      <w:r>
        <w:t>The ONR is the Great Britain (GB) CA for the civil transport of Class 7 (radioactive material) dangerous goods by road, rail and inland waterways. The Carriage of Dangerous Goods and Use of Transportable Pressure Equipment Regulations 2009 (CDG)</w:t>
      </w:r>
      <w:r w:rsidR="00A14AAF">
        <w:t>,</w:t>
      </w:r>
      <w:r>
        <w:t xml:space="preserve"> which are nuclear regulations under The Energy Act 2013 for Class 7 dangerous goods</w:t>
      </w:r>
      <w:r w:rsidR="00A14AAF">
        <w:t>, gives ONR this statutory duty</w:t>
      </w:r>
      <w:r>
        <w:t xml:space="preserve">. </w:t>
      </w:r>
      <w:r w:rsidR="006A154F">
        <w:t>CDG</w:t>
      </w:r>
      <w:r>
        <w:t xml:space="preserve"> transpose</w:t>
      </w:r>
      <w:r w:rsidR="00D25B0A">
        <w:t>s</w:t>
      </w:r>
      <w:r>
        <w:t xml:space="preserve"> into </w:t>
      </w:r>
      <w:r w:rsidR="00D31029">
        <w:t xml:space="preserve">GB </w:t>
      </w:r>
      <w:r>
        <w:t xml:space="preserve">law the international standards ADR </w:t>
      </w:r>
      <w:sdt>
        <w:sdtPr>
          <w:id w:val="729579524"/>
          <w:citation/>
        </w:sdtPr>
        <w:sdtEndPr/>
        <w:sdtContent>
          <w:r w:rsidR="00F53AA1">
            <w:fldChar w:fldCharType="begin"/>
          </w:r>
          <w:r w:rsidR="00300675">
            <w:instrText xml:space="preserve">CITATION ADR23 \l 2057 </w:instrText>
          </w:r>
          <w:r w:rsidR="00F53AA1">
            <w:fldChar w:fldCharType="separate"/>
          </w:r>
          <w:r w:rsidR="00300675" w:rsidRPr="00300675">
            <w:rPr>
              <w:noProof/>
            </w:rPr>
            <w:t>[1]</w:t>
          </w:r>
          <w:r w:rsidR="00F53AA1">
            <w:fldChar w:fldCharType="end"/>
          </w:r>
        </w:sdtContent>
      </w:sdt>
      <w:r w:rsidR="00F53AA1">
        <w:t xml:space="preserve"> </w:t>
      </w:r>
      <w:r>
        <w:t xml:space="preserve">and RID </w:t>
      </w:r>
      <w:sdt>
        <w:sdtPr>
          <w:id w:val="-1778792732"/>
          <w:citation/>
        </w:sdtPr>
        <w:sdtEndPr/>
        <w:sdtContent>
          <w:r w:rsidR="00F53AA1">
            <w:fldChar w:fldCharType="begin"/>
          </w:r>
          <w:r w:rsidR="00300675">
            <w:instrText xml:space="preserve">CITATION RID23 \l 2057 </w:instrText>
          </w:r>
          <w:r w:rsidR="00F53AA1">
            <w:fldChar w:fldCharType="separate"/>
          </w:r>
          <w:r w:rsidR="00300675" w:rsidRPr="00300675">
            <w:rPr>
              <w:noProof/>
            </w:rPr>
            <w:t>[2]</w:t>
          </w:r>
          <w:r w:rsidR="00F53AA1">
            <w:fldChar w:fldCharType="end"/>
          </w:r>
        </w:sdtContent>
      </w:sdt>
      <w:r>
        <w:t xml:space="preserve"> for transport of dangerous goods by road and rail, which in turn are based on the International Atomic Energy Agency (IAEA) Regulations for the Safe Transport of Radioactive Material (currently SSR</w:t>
      </w:r>
      <w:r w:rsidR="00AE6B98">
        <w:t>-</w:t>
      </w:r>
      <w:r>
        <w:t xml:space="preserve">6) </w:t>
      </w:r>
      <w:sdt>
        <w:sdtPr>
          <w:id w:val="-220441373"/>
          <w:citation/>
        </w:sdtPr>
        <w:sdtEndPr/>
        <w:sdtContent>
          <w:r w:rsidR="00F53AA1">
            <w:fldChar w:fldCharType="begin"/>
          </w:r>
          <w:r w:rsidR="00F53AA1">
            <w:instrText xml:space="preserve"> CITATION SSR6 \l 2057 </w:instrText>
          </w:r>
          <w:r w:rsidR="00F53AA1">
            <w:fldChar w:fldCharType="separate"/>
          </w:r>
          <w:r w:rsidR="00D055AA" w:rsidRPr="00D055AA">
            <w:rPr>
              <w:noProof/>
            </w:rPr>
            <w:t>[3]</w:t>
          </w:r>
          <w:r w:rsidR="00F53AA1">
            <w:fldChar w:fldCharType="end"/>
          </w:r>
        </w:sdtContent>
      </w:sdt>
      <w:r w:rsidR="0007052A">
        <w:t>. T</w:t>
      </w:r>
      <w:r>
        <w:t xml:space="preserve">he IAEA Advisory Material for the IAEA Regulations for the Safe Transport of Radioactive Material (SSG-26) </w:t>
      </w:r>
      <w:sdt>
        <w:sdtPr>
          <w:id w:val="75403991"/>
          <w:citation/>
        </w:sdtPr>
        <w:sdtEndPr/>
        <w:sdtContent>
          <w:r w:rsidR="00F53AA1">
            <w:fldChar w:fldCharType="begin"/>
          </w:r>
          <w:r w:rsidR="00F53AA1">
            <w:instrText xml:space="preserve"> CITATION SSG26 \l 2057 </w:instrText>
          </w:r>
          <w:r w:rsidR="00F53AA1">
            <w:fldChar w:fldCharType="separate"/>
          </w:r>
          <w:r w:rsidR="00D055AA" w:rsidRPr="00D055AA">
            <w:rPr>
              <w:noProof/>
            </w:rPr>
            <w:t>[4]</w:t>
          </w:r>
          <w:r w:rsidR="00F53AA1">
            <w:fldChar w:fldCharType="end"/>
          </w:r>
        </w:sdtContent>
      </w:sdt>
      <w:r w:rsidR="0007052A">
        <w:t xml:space="preserve"> supports SSR-6</w:t>
      </w:r>
      <w:r>
        <w:t>.</w:t>
      </w:r>
    </w:p>
    <w:p w14:paraId="12FE412B" w14:textId="7DF69C38" w:rsidR="00E707A4" w:rsidRDefault="00E707A4" w:rsidP="00A6177C">
      <w:pPr>
        <w:pStyle w:val="NumberedPara"/>
      </w:pPr>
      <w:r>
        <w:t>Similar regulations apply in Northern Ireland, where the CA for civil road transport of Class 7 dangerous goods is the Department of Agriculture, Environment and Rural Affairs Northern Ireland.</w:t>
      </w:r>
    </w:p>
    <w:p w14:paraId="7F7A30CC" w14:textId="2004C86A" w:rsidR="00E707A4" w:rsidRDefault="00E707A4" w:rsidP="0019386C">
      <w:pPr>
        <w:pStyle w:val="NumberedPara"/>
      </w:pPr>
      <w:r>
        <w:t xml:space="preserve">There are also international requirements based on SSR-6 applicable to sea and air transport namely the International Maritime Dangerous Goods Code (IMDG) </w:t>
      </w:r>
      <w:sdt>
        <w:sdtPr>
          <w:id w:val="-1194692363"/>
          <w:citation/>
        </w:sdtPr>
        <w:sdtEndPr/>
        <w:sdtContent>
          <w:r w:rsidR="00EF6E2D">
            <w:fldChar w:fldCharType="begin"/>
          </w:r>
          <w:r w:rsidR="00EF6E2D">
            <w:instrText xml:space="preserve"> CITATION IMDG \l 2057 </w:instrText>
          </w:r>
          <w:r w:rsidR="00EF6E2D">
            <w:fldChar w:fldCharType="separate"/>
          </w:r>
          <w:r w:rsidR="00D055AA" w:rsidRPr="00D055AA">
            <w:rPr>
              <w:noProof/>
            </w:rPr>
            <w:t>[5]</w:t>
          </w:r>
          <w:r w:rsidR="00EF6E2D">
            <w:fldChar w:fldCharType="end"/>
          </w:r>
        </w:sdtContent>
      </w:sdt>
      <w:r>
        <w:t xml:space="preserve"> and the International Civil Aviation Organisation’s Technical Instructions for the Safe Transport of Dangerous Goods by Air (ICAO TI) </w:t>
      </w:r>
      <w:sdt>
        <w:sdtPr>
          <w:id w:val="1776447291"/>
          <w:citation/>
        </w:sdtPr>
        <w:sdtEndPr/>
        <w:sdtContent>
          <w:r w:rsidR="00EF6E2D">
            <w:fldChar w:fldCharType="begin"/>
          </w:r>
          <w:r w:rsidR="00EF6E2D">
            <w:instrText xml:space="preserve"> CITATION ICAO \l 2057 </w:instrText>
          </w:r>
          <w:r w:rsidR="00EF6E2D">
            <w:fldChar w:fldCharType="separate"/>
          </w:r>
          <w:r w:rsidR="00D055AA" w:rsidRPr="00D055AA">
            <w:rPr>
              <w:noProof/>
            </w:rPr>
            <w:t>[6]</w:t>
          </w:r>
          <w:r w:rsidR="00EF6E2D">
            <w:fldChar w:fldCharType="end"/>
          </w:r>
        </w:sdtContent>
      </w:sdt>
      <w:r>
        <w:t>. These are implemented in the UK by The Merchant Shipping Act, The Merchant Shipping (Dangerous Goods and Marine Pollutants) Regulations, The Air Navigation Order and The Air Navigation (Dangerous Goods) Regulations. The CAs for these modes of transport (of civilian Class 7 dangerous goods in the UK) are the Secretary of State for Transport including the Maritime and Coastguard Agency (for transport in UK waters and British registered ships anywhere in the world) and the Civil Aviation Authority (for air transport).</w:t>
      </w:r>
    </w:p>
    <w:p w14:paraId="1ACEC491" w14:textId="1168423F" w:rsidR="006C0E44" w:rsidRDefault="006C0E44" w:rsidP="0019386C">
      <w:pPr>
        <w:pStyle w:val="NumberedPara"/>
      </w:pPr>
      <w:r w:rsidRPr="006C0E44">
        <w:t xml:space="preserve">Transport of radioactive material by road, rail and inland waterway in Great Britain must </w:t>
      </w:r>
      <w:r w:rsidR="00E8527F">
        <w:t xml:space="preserve">also </w:t>
      </w:r>
      <w:r w:rsidRPr="006C0E44">
        <w:t>be in accordance with The Ionising Radiations Regulations 2017 (IRR17)</w:t>
      </w:r>
      <w:sdt>
        <w:sdtPr>
          <w:id w:val="-675350002"/>
          <w:citation/>
        </w:sdtPr>
        <w:sdtEndPr/>
        <w:sdtContent>
          <w:r w:rsidR="00F621FA">
            <w:fldChar w:fldCharType="begin"/>
          </w:r>
          <w:r w:rsidR="00F621FA">
            <w:instrText xml:space="preserve"> CITATION IRR17 \l 2057 </w:instrText>
          </w:r>
          <w:r w:rsidR="00F621FA">
            <w:fldChar w:fldCharType="separate"/>
          </w:r>
          <w:r w:rsidR="00F621FA">
            <w:rPr>
              <w:noProof/>
            </w:rPr>
            <w:t xml:space="preserve"> </w:t>
          </w:r>
          <w:r w:rsidR="00F621FA" w:rsidRPr="00F621FA">
            <w:rPr>
              <w:noProof/>
            </w:rPr>
            <w:t>[7]</w:t>
          </w:r>
          <w:r w:rsidR="00F621FA">
            <w:fldChar w:fldCharType="end"/>
          </w:r>
        </w:sdtContent>
      </w:sdt>
      <w:r w:rsidR="00E8527F">
        <w:t>.</w:t>
      </w:r>
      <w:r w:rsidR="00E55D1D">
        <w:t xml:space="preserve"> These regulations are supported by</w:t>
      </w:r>
      <w:r w:rsidR="00CF1E03">
        <w:t xml:space="preserve"> </w:t>
      </w:r>
      <w:r w:rsidR="004B1987">
        <w:t xml:space="preserve">a </w:t>
      </w:r>
      <w:r w:rsidR="00CF1E03">
        <w:t>specific Approved Code of Practice (</w:t>
      </w:r>
      <w:proofErr w:type="spellStart"/>
      <w:r w:rsidR="00CF1E03">
        <w:t>ACoP</w:t>
      </w:r>
      <w:proofErr w:type="spellEnd"/>
      <w:r w:rsidR="00CF1E03">
        <w:t>) and guidance</w:t>
      </w:r>
      <w:sdt>
        <w:sdtPr>
          <w:id w:val="-847704495"/>
          <w:citation/>
        </w:sdtPr>
        <w:sdtEndPr/>
        <w:sdtContent>
          <w:r w:rsidR="004B1987">
            <w:fldChar w:fldCharType="begin"/>
          </w:r>
          <w:r w:rsidR="004B1987">
            <w:instrText xml:space="preserve"> CITATION L121 \l 2057 </w:instrText>
          </w:r>
          <w:r w:rsidR="004B1987">
            <w:fldChar w:fldCharType="separate"/>
          </w:r>
          <w:r w:rsidR="004B1987">
            <w:rPr>
              <w:noProof/>
            </w:rPr>
            <w:t xml:space="preserve"> </w:t>
          </w:r>
          <w:r w:rsidR="004B1987" w:rsidRPr="004B1987">
            <w:rPr>
              <w:noProof/>
            </w:rPr>
            <w:t>[8]</w:t>
          </w:r>
          <w:r w:rsidR="004B1987">
            <w:fldChar w:fldCharType="end"/>
          </w:r>
        </w:sdtContent>
      </w:sdt>
      <w:r w:rsidR="004B1987">
        <w:t>.</w:t>
      </w:r>
    </w:p>
    <w:p w14:paraId="0EA5010E" w14:textId="5F6BB3E4" w:rsidR="00E707A4" w:rsidRDefault="00E707A4" w:rsidP="00A6177C">
      <w:pPr>
        <w:pStyle w:val="NumberedPara"/>
      </w:pPr>
      <w:r>
        <w:t>The purpose of the above regulations is to ensure the safe transport of radioactive materials. The regulations apply a graded approach</w:t>
      </w:r>
      <w:r w:rsidR="00C85469">
        <w:t xml:space="preserve"> whereby </w:t>
      </w:r>
      <w:r>
        <w:t xml:space="preserve">radioactive materials </w:t>
      </w:r>
      <w:r w:rsidR="00C85469">
        <w:t>presenting</w:t>
      </w:r>
      <w:r>
        <w:t xml:space="preserve"> higher hazards are regulated by a permissioning regime in which certain designs and activities require prior CA approval. </w:t>
      </w:r>
      <w:r w:rsidR="003F7F62">
        <w:t xml:space="preserve">In addition to its role as </w:t>
      </w:r>
      <w:r>
        <w:t xml:space="preserve"> the CA for inland </w:t>
      </w:r>
      <w:r w:rsidR="004575E1">
        <w:t xml:space="preserve">surface </w:t>
      </w:r>
      <w:r>
        <w:t>transport in GB</w:t>
      </w:r>
      <w:r w:rsidR="003F7F62">
        <w:t xml:space="preserve">, </w:t>
      </w:r>
      <w:r>
        <w:t xml:space="preserve">ONR also provides advice </w:t>
      </w:r>
      <w:r w:rsidR="003F7F62">
        <w:t>on</w:t>
      </w:r>
      <w:r>
        <w:t xml:space="preserve"> this permissioning regime (involving design approvals) on behalf of the other civilian UK CAs and agencies mentioned above. </w:t>
      </w:r>
      <w:r w:rsidR="00A14AAF">
        <w:t>Therefore, applicants should direct a</w:t>
      </w:r>
      <w:r>
        <w:t xml:space="preserve">ll applications for competent authority approval to </w:t>
      </w:r>
      <w:r w:rsidR="00A14AAF">
        <w:t xml:space="preserve">the </w:t>
      </w:r>
      <w:r>
        <w:t>ONR following this guidance.</w:t>
      </w:r>
    </w:p>
    <w:p w14:paraId="6B261EFF" w14:textId="53147250" w:rsidR="00E707A4" w:rsidRDefault="00E707A4" w:rsidP="00A6177C">
      <w:pPr>
        <w:pStyle w:val="NumberedPara"/>
      </w:pPr>
      <w:r>
        <w:t>This document reflect</w:t>
      </w:r>
      <w:r w:rsidR="00EF71EF">
        <w:t>s</w:t>
      </w:r>
      <w:r>
        <w:t xml:space="preserve"> that the legal duty is to adhere to the modal specific requirements </w:t>
      </w:r>
      <w:r w:rsidR="00A14AAF">
        <w:t>(</w:t>
      </w:r>
      <w:r>
        <w:t>References 1 to 4</w:t>
      </w:r>
      <w:r w:rsidR="00A14AAF">
        <w:t>)</w:t>
      </w:r>
      <w:r>
        <w:t xml:space="preserve">. </w:t>
      </w:r>
      <w:r w:rsidR="00EF71EF">
        <w:t xml:space="preserve">ONR considers </w:t>
      </w:r>
      <w:r>
        <w:t xml:space="preserve">SSR-6 and SSG-26 to be relevant good practice and </w:t>
      </w:r>
      <w:r w:rsidR="00A14AAF">
        <w:t xml:space="preserve">applicants </w:t>
      </w:r>
      <w:r>
        <w:t>should use</w:t>
      </w:r>
      <w:r w:rsidR="00A14AAF">
        <w:t xml:space="preserve"> these</w:t>
      </w:r>
      <w:r>
        <w:t xml:space="preserve"> to provide additional guidance on the interpretation or expectations of the modal requirements.</w:t>
      </w:r>
    </w:p>
    <w:p w14:paraId="307FFD38" w14:textId="361C8304" w:rsidR="00E707A4" w:rsidRDefault="00EF71EF" w:rsidP="00A6177C">
      <w:pPr>
        <w:pStyle w:val="NumberedPara"/>
      </w:pPr>
      <w:r>
        <w:lastRenderedPageBreak/>
        <w:t>A</w:t>
      </w:r>
      <w:r w:rsidR="00E707A4">
        <w:t>pplicants seeking CA approvals should be familiar with</w:t>
      </w:r>
      <w:r w:rsidR="00A14AAF">
        <w:t xml:space="preserve"> how ADR and RID implements</w:t>
      </w:r>
      <w:r w:rsidR="00E707A4">
        <w:t xml:space="preserve"> the IAEA requirements, and where appropriate, IMDG and ICAO TI.</w:t>
      </w:r>
    </w:p>
    <w:p w14:paraId="39222C6E" w14:textId="21D686C1" w:rsidR="00E707A4" w:rsidRDefault="00E707A4" w:rsidP="00A6177C">
      <w:pPr>
        <w:pStyle w:val="NumberedPara"/>
      </w:pPr>
      <w:r>
        <w:t xml:space="preserve">This document may refer to SSR-6 or SSG-26 text as in most cases </w:t>
      </w:r>
      <w:r w:rsidR="003F7F62">
        <w:t xml:space="preserve">it is </w:t>
      </w:r>
      <w:r>
        <w:t xml:space="preserve">common between all modes of transport, but duty holders should ensure that their documentation meets the text within the modal </w:t>
      </w:r>
      <w:r w:rsidR="00BE0D9D">
        <w:t xml:space="preserve">specific </w:t>
      </w:r>
      <w:r>
        <w:t>requirements as defined by the relevant UK law</w:t>
      </w:r>
      <w:r w:rsidR="00BE0D9D" w:rsidRPr="00BE0D9D">
        <w:t xml:space="preserve"> (References 1 to 4)</w:t>
      </w:r>
      <w:r>
        <w:t>.</w:t>
      </w:r>
    </w:p>
    <w:p w14:paraId="0B31B562" w14:textId="26B6C47F" w:rsidR="00E707A4" w:rsidRDefault="00A14AAF" w:rsidP="00A6177C">
      <w:pPr>
        <w:pStyle w:val="NumberedPara"/>
      </w:pPr>
      <w:r>
        <w:t>Applicants should recognise</w:t>
      </w:r>
      <w:r w:rsidR="00E707A4">
        <w:t xml:space="preserve"> that the timescales involved in updating the IAEA regulations and associated modal requirements, as well as variations in implementation periods for modal requirements, mean that applications may occur in periods where multiple issues of the referenced documents are available. To ensure that the application meets the UK regulatory requirements</w:t>
      </w:r>
      <w:r w:rsidR="00ED1606">
        <w:t>,</w:t>
      </w:r>
      <w:r w:rsidR="00E707A4">
        <w:t xml:space="preserve"> at the time of presentation</w:t>
      </w:r>
      <w:r w:rsidR="00ED1606">
        <w:t>,</w:t>
      </w:r>
      <w:r w:rsidR="00E707A4">
        <w:t xml:space="preserve"> the application should specifically identify the issue of the modal regulations under which the package is being applied for. </w:t>
      </w:r>
      <w:r w:rsidR="009B6FDF">
        <w:t>Applicants should take c</w:t>
      </w:r>
      <w:r w:rsidR="00E707A4">
        <w:t>are to ensure that any references to SSR-6 or SSG-26 are for the correct version as applicable to the modal requirements.</w:t>
      </w:r>
    </w:p>
    <w:p w14:paraId="5627BF30" w14:textId="12194293" w:rsidR="00575190" w:rsidRPr="00E707A4" w:rsidRDefault="00575190" w:rsidP="00A6177C">
      <w:pPr>
        <w:pStyle w:val="NumberedPara"/>
      </w:pPr>
      <w:r w:rsidRPr="00575190">
        <w:t>ONR’s regulatory responsibility with regards to transport of radioactive material is restricted to civil purposes. The Competent Authority for transport of dangerous goods for defence purposes is the Secretary of State for Defence. ONR and the Ministry of Defence (MOD) endeavour to work consistently and where relevant collaboratively with respect to transport of Class 7 goods for defence purposes. This is set out in the general agreement between ONR and the MOD</w:t>
      </w:r>
      <w:sdt>
        <w:sdtPr>
          <w:id w:val="925692926"/>
          <w:citation/>
        </w:sdtPr>
        <w:sdtEndPr/>
        <w:sdtContent>
          <w:r w:rsidR="005079BE">
            <w:fldChar w:fldCharType="begin"/>
          </w:r>
          <w:r w:rsidR="005079BE">
            <w:instrText xml:space="preserve"> CITATION GenDef \l 2057 </w:instrText>
          </w:r>
          <w:r w:rsidR="005079BE">
            <w:fldChar w:fldCharType="separate"/>
          </w:r>
          <w:r w:rsidR="005079BE">
            <w:rPr>
              <w:noProof/>
            </w:rPr>
            <w:t xml:space="preserve"> </w:t>
          </w:r>
          <w:r w:rsidR="005079BE" w:rsidRPr="005079BE">
            <w:rPr>
              <w:noProof/>
            </w:rPr>
            <w:t>[9]</w:t>
          </w:r>
          <w:r w:rsidR="005079BE">
            <w:fldChar w:fldCharType="end"/>
          </w:r>
        </w:sdtContent>
      </w:sdt>
      <w:r w:rsidRPr="00575190">
        <w:t xml:space="preserve"> and a Letter of Understanding</w:t>
      </w:r>
      <w:sdt>
        <w:sdtPr>
          <w:id w:val="1398786883"/>
          <w:citation/>
        </w:sdtPr>
        <w:sdtEndPr/>
        <w:sdtContent>
          <w:r w:rsidR="005079BE">
            <w:fldChar w:fldCharType="begin"/>
          </w:r>
          <w:r w:rsidR="005079BE">
            <w:instrText xml:space="preserve"> CITATION Let \l 2057 </w:instrText>
          </w:r>
          <w:r w:rsidR="005079BE">
            <w:fldChar w:fldCharType="separate"/>
          </w:r>
          <w:r w:rsidR="005079BE">
            <w:rPr>
              <w:noProof/>
            </w:rPr>
            <w:t xml:space="preserve"> </w:t>
          </w:r>
          <w:r w:rsidR="005079BE" w:rsidRPr="005079BE">
            <w:rPr>
              <w:noProof/>
            </w:rPr>
            <w:t>[10]</w:t>
          </w:r>
          <w:r w:rsidR="005079BE">
            <w:fldChar w:fldCharType="end"/>
          </w:r>
        </w:sdtContent>
      </w:sdt>
      <w:r w:rsidR="003F7F62">
        <w:t xml:space="preserve"> which set </w:t>
      </w:r>
      <w:r w:rsidRPr="00575190">
        <w:t>out</w:t>
      </w:r>
      <w:r w:rsidR="003F7F62">
        <w:t xml:space="preserve"> </w:t>
      </w:r>
      <w:r w:rsidRPr="00575190">
        <w:t>Competent Authority responsibilities and ways of working</w:t>
      </w:r>
      <w:r w:rsidR="003F7F62">
        <w:t xml:space="preserve">. This ensures </w:t>
      </w:r>
      <w:r w:rsidRPr="00575190">
        <w:t>consistency of standards and approach for the regulation of radioactive materials transport and approval of ‘dual-use’ (civil and defence) packages.</w:t>
      </w:r>
      <w:r w:rsidR="00D67618">
        <w:t xml:space="preserve"> </w:t>
      </w:r>
      <w:r w:rsidR="007F74AD" w:rsidRPr="007F74AD">
        <w:t xml:space="preserve">If </w:t>
      </w:r>
      <w:r w:rsidR="00F444E0">
        <w:t>an</w:t>
      </w:r>
      <w:r w:rsidR="007F74AD" w:rsidRPr="007F74AD">
        <w:t xml:space="preserve"> Applicant is unclear regarding whether an </w:t>
      </w:r>
      <w:r w:rsidR="008109E9">
        <w:t>a</w:t>
      </w:r>
      <w:r w:rsidR="007F74AD" w:rsidRPr="007F74AD">
        <w:t>pplication should be made to DNSR or to ONR</w:t>
      </w:r>
      <w:r w:rsidR="003F7F62">
        <w:t xml:space="preserve"> they should</w:t>
      </w:r>
      <w:r w:rsidR="007F74AD" w:rsidRPr="007F74AD">
        <w:t xml:space="preserve"> consult either regulator, copying the correspondence to the other regulator.</w:t>
      </w:r>
    </w:p>
    <w:p w14:paraId="05AAE39A" w14:textId="3A42E054" w:rsidR="008D49A5" w:rsidRDefault="0008774E" w:rsidP="00223090">
      <w:pPr>
        <w:pStyle w:val="Heading1"/>
      </w:pPr>
      <w:bookmarkStart w:id="6" w:name="_Toc136940114"/>
      <w:r>
        <w:t>Applications for Competent Authority Approval</w:t>
      </w:r>
      <w:bookmarkEnd w:id="6"/>
    </w:p>
    <w:p w14:paraId="6B8BC8D3" w14:textId="7BB1E7E1" w:rsidR="009946BA" w:rsidRDefault="00EF71EF" w:rsidP="00A6177C">
      <w:pPr>
        <w:pStyle w:val="NumberedPara"/>
      </w:pPr>
      <w:bookmarkStart w:id="7" w:name="_Ref136938374"/>
      <w:r>
        <w:t>ONR considers it desirable for the</w:t>
      </w:r>
      <w:r w:rsidR="009B6FDF">
        <w:t xml:space="preserve"> applicant </w:t>
      </w:r>
      <w:r>
        <w:t xml:space="preserve">to engage with </w:t>
      </w:r>
      <w:r w:rsidR="009B6FDF">
        <w:t>ONR</w:t>
      </w:r>
      <w:r>
        <w:t xml:space="preserve"> before </w:t>
      </w:r>
      <w:r w:rsidR="009B6FDF">
        <w:t>it makes a</w:t>
      </w:r>
      <w:r>
        <w:t xml:space="preserve"> submission</w:t>
      </w:r>
      <w:r w:rsidR="009B6FDF">
        <w:t>. T</w:t>
      </w:r>
      <w:r>
        <w:t xml:space="preserve">his is particularly important if the safety case is novel or complex. </w:t>
      </w:r>
      <w:r w:rsidR="003F7F62">
        <w:t>This approach</w:t>
      </w:r>
      <w:r>
        <w:t xml:space="preserve"> gives ONR the opportunity to</w:t>
      </w:r>
      <w:r w:rsidR="009946BA">
        <w:t>:</w:t>
      </w:r>
    </w:p>
    <w:p w14:paraId="24BA2D76" w14:textId="77777777" w:rsidR="009946BA" w:rsidRDefault="00EF71EF" w:rsidP="009946BA">
      <w:pPr>
        <w:pStyle w:val="Bulletlist1"/>
      </w:pPr>
      <w:r>
        <w:t xml:space="preserve"> provide early advice</w:t>
      </w:r>
    </w:p>
    <w:p w14:paraId="73EF0B23" w14:textId="4C07A923" w:rsidR="009946BA" w:rsidRDefault="00EF71EF" w:rsidP="009946BA">
      <w:pPr>
        <w:pStyle w:val="Bulletlist1"/>
      </w:pPr>
      <w:r>
        <w:t>clarify any general expectations</w:t>
      </w:r>
    </w:p>
    <w:p w14:paraId="432402B7" w14:textId="293ED68F" w:rsidR="009946BA" w:rsidRDefault="00EF71EF" w:rsidP="009946BA">
      <w:pPr>
        <w:pStyle w:val="Bulletlist1"/>
      </w:pPr>
      <w:r>
        <w:t>witness tests</w:t>
      </w:r>
    </w:p>
    <w:p w14:paraId="1665ED2D" w14:textId="0076DFD4" w:rsidR="009946BA" w:rsidRDefault="00EF71EF" w:rsidP="009946BA">
      <w:pPr>
        <w:pStyle w:val="Bulletlist1"/>
      </w:pPr>
      <w:r>
        <w:t xml:space="preserve">inspect manufacturing </w:t>
      </w:r>
      <w:r w:rsidR="008D0805" w:rsidRPr="008D0805">
        <w:t>e.g.</w:t>
      </w:r>
      <w:r w:rsidRPr="008D0805">
        <w:t xml:space="preserve"> prototypes</w:t>
      </w:r>
    </w:p>
    <w:p w14:paraId="4222966F" w14:textId="12A95C98" w:rsidR="009946BA" w:rsidRDefault="00EF71EF" w:rsidP="009946BA">
      <w:pPr>
        <w:pStyle w:val="Bulletlist1"/>
      </w:pPr>
      <w:r>
        <w:t>assess any key technical supporting documents that may be available</w:t>
      </w:r>
    </w:p>
    <w:p w14:paraId="57C5A0DB" w14:textId="6EB6E056" w:rsidR="009946BA" w:rsidRDefault="00EF71EF" w:rsidP="009946BA">
      <w:pPr>
        <w:pStyle w:val="Bulletlist1"/>
      </w:pPr>
      <w:r>
        <w:lastRenderedPageBreak/>
        <w:t xml:space="preserve"> gain familiarity with the </w:t>
      </w:r>
      <w:r w:rsidR="009B6FDF">
        <w:t>essential elements</w:t>
      </w:r>
      <w:r>
        <w:t xml:space="preserve"> of the developing safety case. </w:t>
      </w:r>
    </w:p>
    <w:p w14:paraId="3B583EB1" w14:textId="1F9C4EEF" w:rsidR="00EF71EF" w:rsidRDefault="00EF71EF" w:rsidP="00A6177C">
      <w:pPr>
        <w:pStyle w:val="NumberedPara"/>
      </w:pPr>
      <w:r>
        <w:t>However, ONR must remain independent of the process of developing the safety case</w:t>
      </w:r>
      <w:r w:rsidR="00937DE1">
        <w:t xml:space="preserve"> and therefore</w:t>
      </w:r>
      <w:r>
        <w:t xml:space="preserve"> any advice given by ONR will be in general terms </w:t>
      </w:r>
      <w:r w:rsidR="00612D3B">
        <w:t xml:space="preserve">(e.g. </w:t>
      </w:r>
      <w:r>
        <w:t>to clarify a design safety principle</w:t>
      </w:r>
      <w:r w:rsidR="00612D3B">
        <w:t>)</w:t>
      </w:r>
      <w:r w:rsidR="00937DE1">
        <w:t xml:space="preserve">. Following ONR advice does not </w:t>
      </w:r>
      <w:r>
        <w:t xml:space="preserve">guarantee </w:t>
      </w:r>
      <w:r w:rsidR="00937DE1">
        <w:t xml:space="preserve">to </w:t>
      </w:r>
      <w:r>
        <w:t>make the case acceptable when</w:t>
      </w:r>
      <w:r w:rsidR="009B6FDF">
        <w:t xml:space="preserve"> ONR</w:t>
      </w:r>
      <w:r>
        <w:t xml:space="preserve"> formally assesse</w:t>
      </w:r>
      <w:r w:rsidR="009B6FDF">
        <w:t>s the application</w:t>
      </w:r>
      <w:r>
        <w:t>.</w:t>
      </w:r>
      <w:bookmarkEnd w:id="7"/>
    </w:p>
    <w:p w14:paraId="4369CE9D" w14:textId="53B685FF" w:rsidR="00EF71EF" w:rsidRDefault="00EF71EF" w:rsidP="00A6177C">
      <w:pPr>
        <w:pStyle w:val="NumberedPara"/>
      </w:pPr>
      <w:r>
        <w:t>Th</w:t>
      </w:r>
      <w:r w:rsidR="009B6FDF">
        <w:t>is guidance uses</w:t>
      </w:r>
      <w:r w:rsidR="00AE7CFA">
        <w:t xml:space="preserve"> the</w:t>
      </w:r>
      <w:r>
        <w:t xml:space="preserve"> term ‘safety case’ to refer inclusively to the totality of the documentation that demonstrates the safety of a design / operation and its compliance with the regulations. The term simply means all the information submitted in an application (</w:t>
      </w:r>
      <w:r w:rsidR="009B6FDF">
        <w:t>apart from</w:t>
      </w:r>
      <w:r>
        <w:t xml:space="preserve"> some administrative details) together with any supporting reports or reference material. In the regulations, safety means “an acceptable level of control of the radiation, criticality and thermal hazards to persons property and the environment that are associated with the transport of radioactive material” (SSR-6 paragraph 101).</w:t>
      </w:r>
    </w:p>
    <w:p w14:paraId="31E24CE0" w14:textId="58C9F47C" w:rsidR="002143C4" w:rsidRDefault="00EF71EF" w:rsidP="00EA4037">
      <w:pPr>
        <w:pStyle w:val="NumberedPara"/>
      </w:pPr>
      <w:r>
        <w:t xml:space="preserve">Applications </w:t>
      </w:r>
      <w:r w:rsidR="009B6FDF">
        <w:t xml:space="preserve">for CA approval should be sent by the applicant </w:t>
      </w:r>
      <w:r>
        <w:t xml:space="preserve">to the </w:t>
      </w:r>
      <w:r w:rsidR="00DC0971">
        <w:t>ONR Transport Competent Authority</w:t>
      </w:r>
      <w:r w:rsidR="00294F20">
        <w:t xml:space="preserve"> (TCA) at our Cheltenham </w:t>
      </w:r>
      <w:r w:rsidR="00612308">
        <w:t>o</w:t>
      </w:r>
      <w:r w:rsidR="00294F20">
        <w:t>ffices</w:t>
      </w:r>
      <w:r w:rsidR="00612308">
        <w:t xml:space="preserve"> </w:t>
      </w:r>
      <w:r w:rsidR="00EA4037">
        <w:t xml:space="preserve">(St James House, St James Square, Cheltenham, Gloucestershire, GL50 3PR) </w:t>
      </w:r>
      <w:r w:rsidR="00612308">
        <w:t xml:space="preserve">or </w:t>
      </w:r>
      <w:r w:rsidR="001812DB">
        <w:t xml:space="preserve">by email to </w:t>
      </w:r>
      <w:hyperlink r:id="rId23" w:history="1">
        <w:r w:rsidR="002143C4" w:rsidRPr="0025468B">
          <w:rPr>
            <w:rStyle w:val="Hyperlink"/>
          </w:rPr>
          <w:t>class7@onr.gov.uk</w:t>
        </w:r>
      </w:hyperlink>
      <w:r>
        <w:t>.</w:t>
      </w:r>
    </w:p>
    <w:p w14:paraId="4D282D5C" w14:textId="01A8AF47" w:rsidR="00EF71EF" w:rsidRDefault="00EF71EF" w:rsidP="001812DB">
      <w:pPr>
        <w:pStyle w:val="NumberedPara"/>
      </w:pPr>
      <w:bookmarkStart w:id="8" w:name="_Ref136938294"/>
      <w:r>
        <w:t xml:space="preserve">The </w:t>
      </w:r>
      <w:r w:rsidR="009B6FDF">
        <w:t xml:space="preserve">applicant should submit the </w:t>
      </w:r>
      <w:r>
        <w:t xml:space="preserve">application </w:t>
      </w:r>
      <w:r w:rsidR="009B6FDF">
        <w:t>us</w:t>
      </w:r>
      <w:r w:rsidR="0044753E">
        <w:t>ing</w:t>
      </w:r>
      <w:r w:rsidR="009B6FDF">
        <w:t xml:space="preserve"> </w:t>
      </w:r>
      <w:r w:rsidR="00D43229">
        <w:t xml:space="preserve">the International System of </w:t>
      </w:r>
      <w:r>
        <w:t xml:space="preserve">units; and the application should be in English to avoid delays and additional charges. </w:t>
      </w:r>
      <w:r w:rsidR="00937DE1">
        <w:t xml:space="preserve">The applicant should assist ONR by </w:t>
      </w:r>
      <w:r w:rsidR="009B6FDF">
        <w:t>us</w:t>
      </w:r>
      <w:r w:rsidR="00937DE1">
        <w:t xml:space="preserve">ing </w:t>
      </w:r>
      <w:r>
        <w:t xml:space="preserve">informative file and folder names (or at least </w:t>
      </w:r>
      <w:r w:rsidR="009B6FDF">
        <w:t>provide</w:t>
      </w:r>
      <w:r>
        <w:t xml:space="preserve"> an index to these). Applications should be prepared using a process that consistently produces safety cases that are of a good quality, fit for purpose and useable. </w:t>
      </w:r>
      <w:r w:rsidR="00840C4A">
        <w:t>Section 3.5 of this guidance provides g</w:t>
      </w:r>
      <w:r>
        <w:t>uidance on the qualities of safety cases.</w:t>
      </w:r>
      <w:bookmarkEnd w:id="8"/>
    </w:p>
    <w:p w14:paraId="645013BF" w14:textId="2B3847E6" w:rsidR="00140E1C" w:rsidRPr="00140E1C" w:rsidRDefault="00EF71EF" w:rsidP="00A6177C">
      <w:pPr>
        <w:pStyle w:val="NumberedPara"/>
      </w:pPr>
      <w:r>
        <w:t xml:space="preserve">All those involved in the various aspects of the preparation of safety cases should be suitably competent, including any contractors involved in the work. </w:t>
      </w:r>
      <w:r w:rsidR="00BE2613">
        <w:t>The applicant should</w:t>
      </w:r>
      <w:r w:rsidR="00C44AF5">
        <w:t xml:space="preserve"> </w:t>
      </w:r>
      <w:r w:rsidR="00C04395">
        <w:t xml:space="preserve">conduct </w:t>
      </w:r>
      <w:r w:rsidR="00BE2613">
        <w:t>c</w:t>
      </w:r>
      <w:r w:rsidR="00914754">
        <w:t>hecking and verification</w:t>
      </w:r>
      <w:r w:rsidR="00F52ADD">
        <w:t xml:space="preserve"> of t</w:t>
      </w:r>
      <w:r>
        <w:t xml:space="preserve">he detailed information in these documents; there then should be an independent review of the complete safety case by someone not involved in its preparation; and </w:t>
      </w:r>
      <w:r w:rsidR="00612D3B">
        <w:t>finally,</w:t>
      </w:r>
      <w:r>
        <w:t xml:space="preserve"> </w:t>
      </w:r>
      <w:r w:rsidR="00C44AF5">
        <w:t xml:space="preserve">approval of </w:t>
      </w:r>
      <w:r>
        <w:t>the safety case should be by a person in a position of appropriate responsibility in the applicant’s or design authority’s organisation.</w:t>
      </w:r>
    </w:p>
    <w:p w14:paraId="6E712D03" w14:textId="2A547896" w:rsidR="009E0E52" w:rsidRDefault="0008774E" w:rsidP="00FA33FE">
      <w:pPr>
        <w:pStyle w:val="Heading2"/>
      </w:pPr>
      <w:bookmarkStart w:id="9" w:name="_Toc136940115"/>
      <w:r>
        <w:t>Contents of Applications</w:t>
      </w:r>
      <w:bookmarkEnd w:id="9"/>
    </w:p>
    <w:p w14:paraId="0C678AB1" w14:textId="6246602F" w:rsidR="00612D3B" w:rsidRDefault="00612D3B" w:rsidP="00396E6E">
      <w:pPr>
        <w:pStyle w:val="NumberedPara"/>
      </w:pPr>
      <w:r>
        <w:t xml:space="preserve">Applications for CA approval should address all the applicable requirements of the regulations for the types of design / application and the modes of transport requested. The </w:t>
      </w:r>
      <w:r w:rsidR="00105692">
        <w:t>applicant should</w:t>
      </w:r>
      <w:r w:rsidR="000528E1">
        <w:t xml:space="preserve"> identify the </w:t>
      </w:r>
      <w:r>
        <w:t xml:space="preserve">specific modal requirements within the documentation; if an application </w:t>
      </w:r>
      <w:r w:rsidR="008B31A2">
        <w:t>requires</w:t>
      </w:r>
      <w:r>
        <w:t xml:space="preserve"> multiple modes of </w:t>
      </w:r>
      <w:r w:rsidR="008B31A2">
        <w:t>transport,</w:t>
      </w:r>
      <w:r>
        <w:t xml:space="preserve"> then reference to the SSR-6 paragraph numbers may be appropriate if supported with a suitable cross reference to the modal requirements. </w:t>
      </w:r>
      <w:r w:rsidR="000855BF">
        <w:t xml:space="preserve">The applicant should present this </w:t>
      </w:r>
      <w:r>
        <w:t xml:space="preserve">in a format that </w:t>
      </w:r>
      <w:r w:rsidR="00302ECE">
        <w:t>demonstrates</w:t>
      </w:r>
      <w:r w:rsidR="00004DB3">
        <w:t xml:space="preserve"> </w:t>
      </w:r>
      <w:r w:rsidR="00E66826">
        <w:t xml:space="preserve">the application </w:t>
      </w:r>
      <w:r w:rsidR="00004DB3">
        <w:t>has met</w:t>
      </w:r>
      <w:r>
        <w:t xml:space="preserve"> all modal regulatory requirements.</w:t>
      </w:r>
    </w:p>
    <w:p w14:paraId="7B4071E1" w14:textId="702C911C" w:rsidR="00612D3B" w:rsidRDefault="00612D3B" w:rsidP="00056922">
      <w:pPr>
        <w:pStyle w:val="NumberedPara"/>
      </w:pPr>
      <w:r>
        <w:t xml:space="preserve">Applicants should be aware that although the regulations contain sections or chapters setting out </w:t>
      </w:r>
      <w:r w:rsidR="00D3749B">
        <w:t xml:space="preserve">Class </w:t>
      </w:r>
      <w:r>
        <w:t xml:space="preserve">7 specific design requirements, there are other sections </w:t>
      </w:r>
      <w:r>
        <w:lastRenderedPageBreak/>
        <w:t>on general provisions and requirements</w:t>
      </w:r>
      <w:r w:rsidR="007556FB">
        <w:t xml:space="preserve"> that also apply</w:t>
      </w:r>
      <w:r>
        <w:t xml:space="preserve">, </w:t>
      </w:r>
      <w:r w:rsidR="006411D8">
        <w:t>e.g.</w:t>
      </w:r>
      <w:r>
        <w:t xml:space="preserve"> management systems</w:t>
      </w:r>
      <w:r w:rsidR="00BB3F8F">
        <w:t>, which are applicable</w:t>
      </w:r>
      <w:r>
        <w:t xml:space="preserve">. Applicants may find SSG-33 </w:t>
      </w:r>
      <w:sdt>
        <w:sdtPr>
          <w:id w:val="948050987"/>
          <w:citation/>
        </w:sdtPr>
        <w:sdtEndPr/>
        <w:sdtContent>
          <w:r w:rsidR="00EF6E2D">
            <w:fldChar w:fldCharType="begin"/>
          </w:r>
          <w:r w:rsidR="00D055AA">
            <w:instrText xml:space="preserve">CITATION SSG33 \l 2057 </w:instrText>
          </w:r>
          <w:r w:rsidR="00EF6E2D">
            <w:fldChar w:fldCharType="separate"/>
          </w:r>
          <w:r w:rsidR="005079BE" w:rsidRPr="005079BE">
            <w:rPr>
              <w:noProof/>
            </w:rPr>
            <w:t>[11]</w:t>
          </w:r>
          <w:r w:rsidR="00EF6E2D">
            <w:fldChar w:fldCharType="end"/>
          </w:r>
        </w:sdtContent>
      </w:sdt>
      <w:r>
        <w:t xml:space="preserve">, which contains schedules of regulatory provisions, useful in this respect. The regulations require </w:t>
      </w:r>
      <w:r w:rsidR="00540186">
        <w:t xml:space="preserve">Certificates of Approval (CoA) to include </w:t>
      </w:r>
      <w:r>
        <w:t>certain information relating to the safety case</w:t>
      </w:r>
      <w:r w:rsidR="0092382F">
        <w:t>. I</w:t>
      </w:r>
      <w:r>
        <w:t xml:space="preserve">f this information </w:t>
      </w:r>
      <w:r w:rsidR="00836530">
        <w:t xml:space="preserve">is </w:t>
      </w:r>
      <w:r w:rsidR="00192C7B">
        <w:t>clearly presented</w:t>
      </w:r>
      <w:r>
        <w:t xml:space="preserve"> in the submission, with evidence of its adequacy, this may expedite the processing of the application.</w:t>
      </w:r>
    </w:p>
    <w:p w14:paraId="37EF9CF9" w14:textId="0E49DB3E" w:rsidR="00686984" w:rsidRDefault="00686984" w:rsidP="008E282D">
      <w:pPr>
        <w:pStyle w:val="NumberedPara"/>
      </w:pPr>
      <w:bookmarkStart w:id="10" w:name="_Ref136938874"/>
      <w:r>
        <w:t>The application should include a ‘route map’ showing where in the submission</w:t>
      </w:r>
      <w:r w:rsidR="008E282D">
        <w:t xml:space="preserve"> </w:t>
      </w:r>
      <w:r>
        <w:t>compliance with the requirements of the regulations has been demonstrated. To do</w:t>
      </w:r>
      <w:r w:rsidR="008E282D">
        <w:t xml:space="preserve"> </w:t>
      </w:r>
      <w:r>
        <w:t>this, it should include a list of all the paragraph numbers of the regulations relevant to</w:t>
      </w:r>
      <w:r w:rsidR="008E282D">
        <w:t xml:space="preserve"> </w:t>
      </w:r>
      <w:r>
        <w:t>the design etc and mode of transport in question, and cross reference these to the</w:t>
      </w:r>
      <w:r w:rsidR="008E282D">
        <w:t xml:space="preserve"> </w:t>
      </w:r>
      <w:r>
        <w:t>submission documentation.</w:t>
      </w:r>
      <w:bookmarkEnd w:id="10"/>
    </w:p>
    <w:p w14:paraId="0EBB8CF2" w14:textId="5566A139" w:rsidR="00612D3B" w:rsidRDefault="00612D3B" w:rsidP="00056922">
      <w:pPr>
        <w:pStyle w:val="NumberedPara"/>
      </w:pPr>
      <w:r>
        <w:t xml:space="preserve">For renewals of existing approvals, </w:t>
      </w:r>
      <w:r w:rsidR="005202C2">
        <w:t xml:space="preserve">ONR </w:t>
      </w:r>
      <w:r w:rsidR="007E1096">
        <w:t>recommends that applicants</w:t>
      </w:r>
      <w:r>
        <w:t xml:space="preserve"> include a design review in their application</w:t>
      </w:r>
      <w:r w:rsidR="008071E1">
        <w:t xml:space="preserve"> (</w:t>
      </w:r>
      <w:r w:rsidRPr="00D50E0C">
        <w:t xml:space="preserve">Section </w:t>
      </w:r>
      <w:r w:rsidR="00D50E0C">
        <w:t>5.1</w:t>
      </w:r>
      <w:r w:rsidR="00E956C5">
        <w:t xml:space="preserve"> provides further details</w:t>
      </w:r>
      <w:r w:rsidR="008071E1">
        <w:t>)</w:t>
      </w:r>
      <w:r>
        <w:t xml:space="preserve">. This should address all changes to the safety case since the previous </w:t>
      </w:r>
      <w:r w:rsidR="00337C1D">
        <w:t>approval</w:t>
      </w:r>
      <w:r w:rsidR="0021698C">
        <w:t>;</w:t>
      </w:r>
      <w:r>
        <w:t xml:space="preserve"> providing this information may shorten the length of time taken to assess the application.</w:t>
      </w:r>
    </w:p>
    <w:p w14:paraId="553FA4A7" w14:textId="4D6FCA4D" w:rsidR="00612D3B" w:rsidRDefault="00612D3B" w:rsidP="00056922">
      <w:pPr>
        <w:pStyle w:val="NumberedPara"/>
      </w:pPr>
      <w:r>
        <w:t xml:space="preserve">The fundamental </w:t>
      </w:r>
      <w:r w:rsidR="001D0FDE">
        <w:t>requirement</w:t>
      </w:r>
      <w:r w:rsidR="0077459F">
        <w:t xml:space="preserve"> that a submission</w:t>
      </w:r>
      <w:r>
        <w:t xml:space="preserve"> </w:t>
      </w:r>
      <w:r w:rsidR="0077459F">
        <w:t xml:space="preserve">must </w:t>
      </w:r>
      <w:r>
        <w:t xml:space="preserve">address is whether a design / consignment is safe, </w:t>
      </w:r>
      <w:r w:rsidR="00F71BA7">
        <w:t>i.e.</w:t>
      </w:r>
      <w:r>
        <w:t xml:space="preserve"> compliant with the regulations. The submission therefore should describe the aspects of the design and operations that ensure safety, </w:t>
      </w:r>
      <w:r w:rsidR="00F71BA7">
        <w:t>i.e.</w:t>
      </w:r>
      <w:r>
        <w:t xml:space="preserve"> answer the question: how is it safe; what makes it safe? It can also be helpful if the submission considers safety margins, and addresses the question: how safe is it? An effective submission answers these questions simply, succinctly and supports all claims by adequate arguments and evidence.</w:t>
      </w:r>
    </w:p>
    <w:p w14:paraId="513B2522" w14:textId="62C7DAD8" w:rsidR="0008774E" w:rsidRDefault="0008774E" w:rsidP="00612D3B">
      <w:pPr>
        <w:pStyle w:val="Heading2"/>
      </w:pPr>
      <w:bookmarkStart w:id="11" w:name="_Toc136940116"/>
      <w:r>
        <w:t>Structure of Applications</w:t>
      </w:r>
      <w:bookmarkEnd w:id="11"/>
    </w:p>
    <w:p w14:paraId="78A092B8" w14:textId="1BAE02E0" w:rsidR="00B606D1" w:rsidRDefault="004035EB" w:rsidP="004B3B74">
      <w:pPr>
        <w:pStyle w:val="NumberedPara"/>
      </w:pPr>
      <w:r>
        <w:t xml:space="preserve">ONR considers </w:t>
      </w:r>
      <w:r w:rsidR="00C91DE0">
        <w:t>t</w:t>
      </w:r>
      <w:r w:rsidR="00284A41">
        <w:t>he</w:t>
      </w:r>
      <w:r w:rsidR="00BC7751">
        <w:t xml:space="preserve"> </w:t>
      </w:r>
      <w:r w:rsidR="00D4749B">
        <w:t xml:space="preserve">IAEA specific safety guide SSG-66 </w:t>
      </w:r>
      <w:sdt>
        <w:sdtPr>
          <w:id w:val="1788463966"/>
          <w:citation/>
        </w:sdtPr>
        <w:sdtEndPr/>
        <w:sdtContent>
          <w:r w:rsidR="00D4749B">
            <w:fldChar w:fldCharType="begin"/>
          </w:r>
          <w:r w:rsidR="00D4749B">
            <w:instrText xml:space="preserve"> CITATION SSG66 \l 2057 </w:instrText>
          </w:r>
          <w:r w:rsidR="00D4749B">
            <w:fldChar w:fldCharType="separate"/>
          </w:r>
          <w:r w:rsidR="005079BE" w:rsidRPr="005079BE">
            <w:rPr>
              <w:noProof/>
            </w:rPr>
            <w:t>[12]</w:t>
          </w:r>
          <w:r w:rsidR="00D4749B">
            <w:fldChar w:fldCharType="end"/>
          </w:r>
        </w:sdtContent>
      </w:sdt>
      <w:r w:rsidR="00D4749B">
        <w:t xml:space="preserve"> </w:t>
      </w:r>
      <w:r w:rsidR="00A635EC">
        <w:t xml:space="preserve">to be relevant good practice and recommends that </w:t>
      </w:r>
      <w:r w:rsidR="00BC7751">
        <w:t>application</w:t>
      </w:r>
      <w:r w:rsidR="00A635EC">
        <w:t>s</w:t>
      </w:r>
      <w:r w:rsidR="00BC7751">
        <w:t xml:space="preserve"> should </w:t>
      </w:r>
      <w:r w:rsidR="001C61AE">
        <w:t xml:space="preserve">have the </w:t>
      </w:r>
      <w:r w:rsidR="006876FA">
        <w:t xml:space="preserve">two-part </w:t>
      </w:r>
      <w:r w:rsidR="001C61AE">
        <w:t>structure and content detailed</w:t>
      </w:r>
      <w:r w:rsidR="00FD7F68">
        <w:t xml:space="preserve"> in th</w:t>
      </w:r>
      <w:r w:rsidR="00AB5889">
        <w:t>at</w:t>
      </w:r>
      <w:r w:rsidR="00FD7F68">
        <w:t xml:space="preserve"> guidance</w:t>
      </w:r>
      <w:r w:rsidR="00057701">
        <w:t>:</w:t>
      </w:r>
    </w:p>
    <w:p w14:paraId="2EBA990A" w14:textId="5E0542D8" w:rsidR="00057701" w:rsidRPr="009946BA" w:rsidRDefault="00057701" w:rsidP="0044753E">
      <w:pPr>
        <w:pStyle w:val="Bulletlist1"/>
      </w:pPr>
      <w:r>
        <w:t>Part 1</w:t>
      </w:r>
      <w:r w:rsidR="007E4FE6">
        <w:t xml:space="preserve">: </w:t>
      </w:r>
      <w:r w:rsidRPr="00057701">
        <w:t xml:space="preserve">Information </w:t>
      </w:r>
      <w:r w:rsidRPr="009946BA">
        <w:t>supporting the demonstration of compliance with the Transport Regulations</w:t>
      </w:r>
    </w:p>
    <w:p w14:paraId="251236F5" w14:textId="1FB123B9" w:rsidR="007E4FE6" w:rsidRDefault="007E4FE6" w:rsidP="0044753E">
      <w:pPr>
        <w:pStyle w:val="Bulletlist1"/>
      </w:pPr>
      <w:r w:rsidRPr="009946BA">
        <w:t>Part 2: Technical a</w:t>
      </w:r>
      <w:r w:rsidRPr="007E4FE6">
        <w:t>nalyses</w:t>
      </w:r>
    </w:p>
    <w:p w14:paraId="282380A3" w14:textId="39DFC390" w:rsidR="00BC7751" w:rsidRDefault="00AB0B7C" w:rsidP="00084F43">
      <w:pPr>
        <w:pStyle w:val="NumberedPara"/>
      </w:pPr>
      <w:r>
        <w:t xml:space="preserve">SSG-66 is based on </w:t>
      </w:r>
      <w:r w:rsidR="00804C9A" w:rsidRPr="00804C9A">
        <w:t>European Technical Guide on Package Design Safety Reports for the Transport of Radioactive Material</w:t>
      </w:r>
      <w:sdt>
        <w:sdtPr>
          <w:id w:val="-321121738"/>
          <w:citation/>
        </w:sdtPr>
        <w:sdtEndPr/>
        <w:sdtContent>
          <w:r w:rsidR="00BA6AB7">
            <w:fldChar w:fldCharType="begin"/>
          </w:r>
          <w:r w:rsidR="00BA6AB7">
            <w:instrText xml:space="preserve"> CITATION EACA \l 2057 </w:instrText>
          </w:r>
          <w:r w:rsidR="00BA6AB7">
            <w:fldChar w:fldCharType="separate"/>
          </w:r>
          <w:r w:rsidR="005079BE">
            <w:rPr>
              <w:noProof/>
            </w:rPr>
            <w:t xml:space="preserve"> </w:t>
          </w:r>
          <w:r w:rsidR="005079BE" w:rsidRPr="005079BE">
            <w:rPr>
              <w:noProof/>
            </w:rPr>
            <w:t>[13]</w:t>
          </w:r>
          <w:r w:rsidR="00BA6AB7">
            <w:fldChar w:fldCharType="end"/>
          </w:r>
        </w:sdtContent>
      </w:sdt>
      <w:r w:rsidR="00B07434">
        <w:t>, consequently applications based on th</w:t>
      </w:r>
      <w:r w:rsidR="00492CDE">
        <w:t>is guide are also acceptable.</w:t>
      </w:r>
    </w:p>
    <w:p w14:paraId="6E1F0FAF" w14:textId="3E73519F" w:rsidR="004035EB" w:rsidRPr="00BC7751" w:rsidRDefault="00311AE3" w:rsidP="00084F43">
      <w:pPr>
        <w:pStyle w:val="NumberedPara"/>
      </w:pPr>
      <w:r>
        <w:t xml:space="preserve">Applicants may submit applications </w:t>
      </w:r>
      <w:r w:rsidR="0035214B">
        <w:t xml:space="preserve">with structures and content that differ from those </w:t>
      </w:r>
      <w:r w:rsidR="007F28DF">
        <w:t>recommended, however this will likely result in increased effort in assessing and approving the applications.</w:t>
      </w:r>
    </w:p>
    <w:p w14:paraId="761AF52C" w14:textId="7FF5503C" w:rsidR="0008774E" w:rsidRPr="009C0AE3" w:rsidRDefault="0008774E" w:rsidP="00A96432">
      <w:pPr>
        <w:pStyle w:val="Heading2"/>
      </w:pPr>
      <w:bookmarkStart w:id="12" w:name="_Toc136940117"/>
      <w:r w:rsidRPr="009C0AE3">
        <w:t>Application Part 1</w:t>
      </w:r>
      <w:bookmarkEnd w:id="12"/>
    </w:p>
    <w:p w14:paraId="7595D9CD" w14:textId="78F47E1D" w:rsidR="00525E52" w:rsidRDefault="00525E52" w:rsidP="00011102">
      <w:pPr>
        <w:pStyle w:val="NumberedPara"/>
      </w:pPr>
      <w:r>
        <w:t xml:space="preserve">Part 1 should: </w:t>
      </w:r>
    </w:p>
    <w:p w14:paraId="10D178B3" w14:textId="78725496" w:rsidR="00525E52" w:rsidRDefault="00525E52" w:rsidP="003F5A8A">
      <w:pPr>
        <w:pStyle w:val="Bulletlist1"/>
        <w:numPr>
          <w:ilvl w:val="0"/>
          <w:numId w:val="36"/>
        </w:numPr>
      </w:pPr>
      <w:r>
        <w:lastRenderedPageBreak/>
        <w:t>contain general and administrative information, including as appropriate</w:t>
      </w:r>
      <w:r w:rsidR="0054365F">
        <w:t>:</w:t>
      </w:r>
    </w:p>
    <w:p w14:paraId="4F101BCE" w14:textId="671841EA" w:rsidR="00525E52" w:rsidRDefault="00525E52" w:rsidP="003F5A8A">
      <w:pPr>
        <w:pStyle w:val="ListParagraph"/>
        <w:numPr>
          <w:ilvl w:val="1"/>
          <w:numId w:val="37"/>
        </w:numPr>
      </w:pPr>
      <w:r>
        <w:t xml:space="preserve">name of design of package / material </w:t>
      </w:r>
    </w:p>
    <w:p w14:paraId="38079131" w14:textId="4FC084F1" w:rsidR="00525E52" w:rsidRDefault="00525E52" w:rsidP="003F5A8A">
      <w:pPr>
        <w:pStyle w:val="ListParagraph"/>
        <w:numPr>
          <w:ilvl w:val="1"/>
          <w:numId w:val="37"/>
        </w:numPr>
      </w:pPr>
      <w:r>
        <w:t>contact details of applicant, design authority etc</w:t>
      </w:r>
      <w:r w:rsidR="004C289A">
        <w:t>.</w:t>
      </w:r>
    </w:p>
    <w:p w14:paraId="1559D919" w14:textId="3509BC44" w:rsidR="00525E52" w:rsidRDefault="00525E52" w:rsidP="003F5A8A">
      <w:pPr>
        <w:pStyle w:val="ListParagraph"/>
        <w:numPr>
          <w:ilvl w:val="1"/>
          <w:numId w:val="37"/>
        </w:numPr>
      </w:pPr>
      <w:r>
        <w:t xml:space="preserve">CA identification mark  </w:t>
      </w:r>
    </w:p>
    <w:p w14:paraId="32EA54D2" w14:textId="70C79E1D" w:rsidR="00525E52" w:rsidRDefault="00525E52" w:rsidP="003F5A8A">
      <w:pPr>
        <w:pStyle w:val="ListParagraph"/>
        <w:numPr>
          <w:ilvl w:val="1"/>
          <w:numId w:val="37"/>
        </w:numPr>
      </w:pPr>
      <w:r>
        <w:t>type of approval requested, and the modal specific regulations under which the application is being made (this should be specific, especially in the case where the application is submitted during a transition period for implementing new modal requirements)</w:t>
      </w:r>
    </w:p>
    <w:p w14:paraId="62C4D3BB" w14:textId="790044BF" w:rsidR="00525E52" w:rsidRDefault="00525E52" w:rsidP="003F5A8A">
      <w:pPr>
        <w:pStyle w:val="ListParagraph"/>
        <w:numPr>
          <w:ilvl w:val="1"/>
          <w:numId w:val="37"/>
        </w:numPr>
      </w:pPr>
      <w:r>
        <w:t>modes of transport and any restrictions on the types of vehicles or freight containers</w:t>
      </w:r>
    </w:p>
    <w:p w14:paraId="33FB85CD" w14:textId="0F58A22A" w:rsidR="00525E52" w:rsidRDefault="00525E52" w:rsidP="003F5A8A">
      <w:pPr>
        <w:pStyle w:val="ListParagraph"/>
        <w:numPr>
          <w:ilvl w:val="1"/>
          <w:numId w:val="37"/>
        </w:numPr>
      </w:pPr>
      <w:r>
        <w:t xml:space="preserve">whether </w:t>
      </w:r>
      <w:r w:rsidR="00446FCB">
        <w:t>the CA of another country has approved the design</w:t>
      </w:r>
    </w:p>
    <w:p w14:paraId="5348CD48" w14:textId="1BD3BB63" w:rsidR="00525E52" w:rsidRDefault="00525E52" w:rsidP="003F5A8A">
      <w:pPr>
        <w:pStyle w:val="ListParagraph"/>
        <w:numPr>
          <w:ilvl w:val="1"/>
          <w:numId w:val="37"/>
        </w:numPr>
      </w:pPr>
      <w:r>
        <w:t>details of manufacturers, should the CA wish to inspect</w:t>
      </w:r>
    </w:p>
    <w:p w14:paraId="2AF82BC2" w14:textId="0D8986F5" w:rsidR="00525E52" w:rsidRDefault="00525E52" w:rsidP="003F5A8A">
      <w:pPr>
        <w:pStyle w:val="ListParagraph"/>
        <w:numPr>
          <w:ilvl w:val="1"/>
          <w:numId w:val="37"/>
        </w:numPr>
      </w:pPr>
      <w:r>
        <w:t xml:space="preserve">information relating to packaging serial numbers in accordance with SSR-6 </w:t>
      </w:r>
      <w:r w:rsidR="00C15C91">
        <w:t xml:space="preserve">paragraph </w:t>
      </w:r>
      <w:r>
        <w:t>824, which should include the user of the packaging (where know</w:t>
      </w:r>
      <w:r w:rsidR="004B32A5">
        <w:t>n</w:t>
      </w:r>
      <w:r>
        <w:t xml:space="preserve">) </w:t>
      </w:r>
    </w:p>
    <w:p w14:paraId="0DB37AD6" w14:textId="5946D045" w:rsidR="00525E52" w:rsidRDefault="00525E52" w:rsidP="003F5A8A">
      <w:pPr>
        <w:pStyle w:val="ListParagraph"/>
        <w:numPr>
          <w:ilvl w:val="1"/>
          <w:numId w:val="37"/>
        </w:numPr>
      </w:pPr>
      <w:r>
        <w:t>the requested date for the Approval (state any strategic or timing factors that may be useful to ONR in prioritising the approval work);</w:t>
      </w:r>
    </w:p>
    <w:p w14:paraId="397C108D" w14:textId="71883C8F" w:rsidR="00525E52" w:rsidRDefault="00525E52" w:rsidP="003F5A8A">
      <w:pPr>
        <w:pStyle w:val="Bulletlist1"/>
        <w:numPr>
          <w:ilvl w:val="0"/>
          <w:numId w:val="36"/>
        </w:numPr>
      </w:pPr>
      <w:r>
        <w:t>for shipment approvals (including special arrangements) provide details as appropriate of:</w:t>
      </w:r>
    </w:p>
    <w:p w14:paraId="6793BC86" w14:textId="1E5A35D6" w:rsidR="00525E52" w:rsidRDefault="00525E52" w:rsidP="00BE6ECA">
      <w:pPr>
        <w:pStyle w:val="ListParagraph"/>
        <w:numPr>
          <w:ilvl w:val="1"/>
          <w:numId w:val="38"/>
        </w:numPr>
      </w:pPr>
      <w:r>
        <w:t>the consignor, originator of shipment, consignee, conveyance, packages per load, loads per conveyance</w:t>
      </w:r>
    </w:p>
    <w:p w14:paraId="29B44F93" w14:textId="1302FF3B" w:rsidR="00525E52" w:rsidRDefault="00525E52" w:rsidP="00BE6ECA">
      <w:pPr>
        <w:pStyle w:val="ListParagraph"/>
        <w:numPr>
          <w:ilvl w:val="1"/>
          <w:numId w:val="38"/>
        </w:numPr>
      </w:pPr>
      <w:r>
        <w:t>the probable or proposed route</w:t>
      </w:r>
    </w:p>
    <w:p w14:paraId="055D8DA7" w14:textId="373D554F" w:rsidR="00525E52" w:rsidRDefault="00525E52" w:rsidP="00BE6ECA">
      <w:pPr>
        <w:pStyle w:val="ListParagraph"/>
        <w:numPr>
          <w:ilvl w:val="1"/>
          <w:numId w:val="38"/>
        </w:numPr>
      </w:pPr>
      <w:r>
        <w:t>the place, nature, duration of any transit storage, and person responsible for custody</w:t>
      </w:r>
    </w:p>
    <w:p w14:paraId="710FEB93" w14:textId="6B298149" w:rsidR="00525E52" w:rsidRDefault="00525E52" w:rsidP="00BE6ECA">
      <w:pPr>
        <w:pStyle w:val="ListParagraph"/>
        <w:numPr>
          <w:ilvl w:val="1"/>
          <w:numId w:val="38"/>
        </w:numPr>
      </w:pPr>
      <w:r>
        <w:t>intended dates of shipments or requested duration of approval;</w:t>
      </w:r>
    </w:p>
    <w:p w14:paraId="0ACD512E" w14:textId="32392961" w:rsidR="00525E52" w:rsidRDefault="00525E52" w:rsidP="003F5A8A">
      <w:pPr>
        <w:pStyle w:val="Bulletlist1"/>
        <w:numPr>
          <w:ilvl w:val="0"/>
          <w:numId w:val="36"/>
        </w:numPr>
      </w:pPr>
      <w:r>
        <w:t>provide a full engineering description and specification of the design of the package / material;</w:t>
      </w:r>
    </w:p>
    <w:p w14:paraId="01AFFF0C" w14:textId="5D22ABCD" w:rsidR="00525E52" w:rsidRDefault="00525E52" w:rsidP="003F5A8A">
      <w:pPr>
        <w:pStyle w:val="Bulletlist1"/>
        <w:numPr>
          <w:ilvl w:val="0"/>
          <w:numId w:val="36"/>
        </w:numPr>
      </w:pPr>
      <w:r>
        <w:t xml:space="preserve">specify the contents including any restrictions on the radioactive </w:t>
      </w:r>
      <w:r w:rsidR="00BB73BC">
        <w:t>and fissile material</w:t>
      </w:r>
      <w:r w:rsidR="00A90F9E">
        <w:t xml:space="preserve"> </w:t>
      </w:r>
      <w:r>
        <w:t>contents;</w:t>
      </w:r>
    </w:p>
    <w:p w14:paraId="57D81EB7" w14:textId="4DFE42A2" w:rsidR="00525E52" w:rsidRDefault="00525E52" w:rsidP="003F5A8A">
      <w:pPr>
        <w:pStyle w:val="Bulletlist1"/>
        <w:numPr>
          <w:ilvl w:val="0"/>
          <w:numId w:val="36"/>
        </w:numPr>
      </w:pPr>
      <w:r>
        <w:t>describe the intended use, and any operational and maintenance requirements, demonstrating their adequacy for the intended use;</w:t>
      </w:r>
    </w:p>
    <w:p w14:paraId="191F2488" w14:textId="446E5095" w:rsidR="00525E52" w:rsidRDefault="00525E52" w:rsidP="003F5A8A">
      <w:pPr>
        <w:pStyle w:val="Bulletlist1"/>
        <w:numPr>
          <w:ilvl w:val="0"/>
          <w:numId w:val="36"/>
        </w:numPr>
      </w:pPr>
      <w:r>
        <w:t>provide details of contingency and emergency arrangements, demonstrating their adequacy;</w:t>
      </w:r>
    </w:p>
    <w:p w14:paraId="5AC93BEA" w14:textId="43C72025" w:rsidR="00525E52" w:rsidRDefault="00525E52" w:rsidP="003F5A8A">
      <w:pPr>
        <w:pStyle w:val="Bulletlist1"/>
        <w:numPr>
          <w:ilvl w:val="0"/>
          <w:numId w:val="36"/>
        </w:numPr>
      </w:pPr>
      <w:r>
        <w:t>provide details of the relevant management system(s) covering all aspects of design, manufacture</w:t>
      </w:r>
      <w:r w:rsidR="00A45BE2">
        <w:t>,</w:t>
      </w:r>
      <w:r>
        <w:t xml:space="preserve"> and use, showing that these arrangements will ensure that the requirements of the safety case will be adequately implemented; </w:t>
      </w:r>
    </w:p>
    <w:p w14:paraId="2167609F" w14:textId="77777777" w:rsidR="00CF4721" w:rsidRDefault="00CF4721" w:rsidP="003F5A8A">
      <w:pPr>
        <w:pStyle w:val="Bulletlist1"/>
        <w:numPr>
          <w:ilvl w:val="0"/>
          <w:numId w:val="36"/>
        </w:numPr>
      </w:pPr>
      <w:r>
        <w:t>for design approvals, provide an overview of the safety case, which should include, but not be restricted to:</w:t>
      </w:r>
    </w:p>
    <w:p w14:paraId="15F26B49" w14:textId="6FBE7C6A" w:rsidR="00CF4721" w:rsidRDefault="00CF4721" w:rsidP="00BE6ECA">
      <w:pPr>
        <w:pStyle w:val="ListParagraph"/>
        <w:numPr>
          <w:ilvl w:val="1"/>
          <w:numId w:val="39"/>
        </w:numPr>
      </w:pPr>
      <w:r>
        <w:lastRenderedPageBreak/>
        <w:t>the main design principles and safety performance characteristics, summarising and making reference to the detailed evidence (Part 2) that substantiates these claims</w:t>
      </w:r>
    </w:p>
    <w:p w14:paraId="750C56EC" w14:textId="091BD26A" w:rsidR="00525E52" w:rsidRDefault="00CF4721" w:rsidP="00BE6ECA">
      <w:pPr>
        <w:pStyle w:val="ListParagraph"/>
        <w:numPr>
          <w:ilvl w:val="1"/>
          <w:numId w:val="39"/>
        </w:numPr>
      </w:pPr>
      <w:r>
        <w:t>the human-based safety claims supporting safety, summarising and making reference to the detailed evidence (Part 2) that substantiates these claims</w:t>
      </w:r>
      <w:r w:rsidR="00010830">
        <w:t>;</w:t>
      </w:r>
      <w:r w:rsidR="00525E52">
        <w:t xml:space="preserve"> </w:t>
      </w:r>
    </w:p>
    <w:p w14:paraId="756F908B" w14:textId="253C79BB" w:rsidR="00525E52" w:rsidRDefault="00525E52" w:rsidP="003F5A8A">
      <w:pPr>
        <w:pStyle w:val="Bulletlist1"/>
        <w:numPr>
          <w:ilvl w:val="0"/>
          <w:numId w:val="36"/>
        </w:numPr>
      </w:pPr>
      <w:r>
        <w:t>include a ‘route map’ showing where in the submission compliance with the requirements of the regulations has been demonstrated; and</w:t>
      </w:r>
    </w:p>
    <w:p w14:paraId="54092B97" w14:textId="229B9D10" w:rsidR="00525E52" w:rsidRDefault="00525E52" w:rsidP="003F5A8A">
      <w:pPr>
        <w:pStyle w:val="Bulletlist1"/>
        <w:numPr>
          <w:ilvl w:val="0"/>
          <w:numId w:val="36"/>
        </w:numPr>
      </w:pPr>
      <w:r>
        <w:t>for all renewal applications, provide a design review (</w:t>
      </w:r>
      <w:r w:rsidRPr="0071233C">
        <w:t xml:space="preserve">see </w:t>
      </w:r>
      <w:r w:rsidR="001E247B">
        <w:t xml:space="preserve">paragraph </w:t>
      </w:r>
      <w:r w:rsidR="001E247B">
        <w:fldChar w:fldCharType="begin"/>
      </w:r>
      <w:r w:rsidR="001E247B">
        <w:instrText xml:space="preserve"> REF _Ref136939079 \r \h </w:instrText>
      </w:r>
      <w:r w:rsidR="001E247B">
        <w:fldChar w:fldCharType="separate"/>
      </w:r>
      <w:r w:rsidR="001E247B">
        <w:t>69</w:t>
      </w:r>
      <w:r w:rsidR="001E247B">
        <w:fldChar w:fldCharType="end"/>
      </w:r>
      <w:r>
        <w:t>).</w:t>
      </w:r>
    </w:p>
    <w:p w14:paraId="7EDA2CDF" w14:textId="6694323B" w:rsidR="00525E52" w:rsidRDefault="00525E52" w:rsidP="007366B8">
      <w:pPr>
        <w:pStyle w:val="NumberedPara"/>
      </w:pPr>
      <w:r>
        <w:t>The information, claims and arguments in Part 1 should answer the question ‘what makes it safe?’. As indicated above, Part 1 should explain why the design and its operation are safe, summarising and linking to the detailed evidence that substantiates these claims in Part 2 (</w:t>
      </w:r>
      <w:r w:rsidR="0091305D">
        <w:t>or, for</w:t>
      </w:r>
      <w:r>
        <w:t xml:space="preserve"> certain shipment approvals, in other documents</w:t>
      </w:r>
      <w:r w:rsidR="00A40411">
        <w:t>,</w:t>
      </w:r>
      <w:r>
        <w:t xml:space="preserve"> </w:t>
      </w:r>
      <w:r w:rsidR="00057E1A">
        <w:t>e.g.</w:t>
      </w:r>
      <w:r>
        <w:t xml:space="preserve"> relating to the package design approval). </w:t>
      </w:r>
    </w:p>
    <w:p w14:paraId="12F8723B" w14:textId="1A54E294" w:rsidR="00525E52" w:rsidRDefault="00FF2643" w:rsidP="007366B8">
      <w:pPr>
        <w:pStyle w:val="NumberedPara"/>
      </w:pPr>
      <w:r>
        <w:t>T</w:t>
      </w:r>
      <w:r w:rsidR="00525E52">
        <w:t>he description and substantiation of the design should</w:t>
      </w:r>
      <w:r w:rsidR="003E3543">
        <w:t xml:space="preserve"> </w:t>
      </w:r>
      <w:r w:rsidR="00A50E79">
        <w:t>clearly set out, in</w:t>
      </w:r>
      <w:r w:rsidR="00525E52">
        <w:t xml:space="preserve"> sufficient detail</w:t>
      </w:r>
      <w:r w:rsidR="00A50E79">
        <w:t xml:space="preserve">, </w:t>
      </w:r>
      <w:r w:rsidR="00525E52">
        <w:t xml:space="preserve">the design features and components that </w:t>
      </w:r>
      <w:r w:rsidR="0044753E">
        <w:t>influence</w:t>
      </w:r>
      <w:r w:rsidR="00525E52">
        <w:t>:</w:t>
      </w:r>
    </w:p>
    <w:p w14:paraId="604307CA" w14:textId="0BCAEB46" w:rsidR="00525E52" w:rsidRDefault="00525E52" w:rsidP="00525E52">
      <w:pPr>
        <w:pStyle w:val="Bulletlist1"/>
      </w:pPr>
      <w:r>
        <w:t>the containment of radioactive materials (e</w:t>
      </w:r>
      <w:r w:rsidR="0061004E">
        <w:t>.</w:t>
      </w:r>
      <w:r>
        <w:t>g</w:t>
      </w:r>
      <w:r w:rsidR="0061004E">
        <w:t>.</w:t>
      </w:r>
      <w:r>
        <w:t xml:space="preserve"> seals, flask lid / body assembly);</w:t>
      </w:r>
    </w:p>
    <w:p w14:paraId="068EBFBB" w14:textId="474F617C" w:rsidR="00525E52" w:rsidRDefault="00525E52" w:rsidP="00525E52">
      <w:pPr>
        <w:pStyle w:val="Bulletlist1"/>
      </w:pPr>
      <w:r>
        <w:t>the control of external radiation levels (e</w:t>
      </w:r>
      <w:r w:rsidR="0061004E">
        <w:t>.</w:t>
      </w:r>
      <w:r>
        <w:t>g</w:t>
      </w:r>
      <w:r w:rsidR="0061004E">
        <w:t>.</w:t>
      </w:r>
      <w:r>
        <w:t xml:space="preserve"> shielding and associated support structures);</w:t>
      </w:r>
    </w:p>
    <w:p w14:paraId="2D5E1944" w14:textId="3359FC03" w:rsidR="00525E52" w:rsidRDefault="00525E52" w:rsidP="00525E52">
      <w:pPr>
        <w:pStyle w:val="Bulletlist1"/>
      </w:pPr>
      <w:r>
        <w:t>thermal performance (e</w:t>
      </w:r>
      <w:r w:rsidR="0061004E">
        <w:t>.</w:t>
      </w:r>
      <w:r>
        <w:t>g</w:t>
      </w:r>
      <w:r w:rsidR="0061004E">
        <w:t>.</w:t>
      </w:r>
      <w:r>
        <w:t xml:space="preserve"> internal heat generation and heat removal);</w:t>
      </w:r>
    </w:p>
    <w:p w14:paraId="0DFBFF40" w14:textId="0ED5EDF3" w:rsidR="00525E52" w:rsidRDefault="00525E52" w:rsidP="00525E52">
      <w:pPr>
        <w:pStyle w:val="Bulletlist1"/>
      </w:pPr>
      <w:r>
        <w:t>preventing criticality (e</w:t>
      </w:r>
      <w:r w:rsidR="0061004E">
        <w:t>.</w:t>
      </w:r>
      <w:r>
        <w:t>g</w:t>
      </w:r>
      <w:r w:rsidR="0061004E">
        <w:t>.</w:t>
      </w:r>
      <w:r>
        <w:t xml:space="preserve"> neutron absorbers and associated support structures); and</w:t>
      </w:r>
    </w:p>
    <w:p w14:paraId="177C00E9" w14:textId="37CD9F1E" w:rsidR="00525E52" w:rsidRDefault="00525E52" w:rsidP="00525E52">
      <w:pPr>
        <w:pStyle w:val="Bulletlist1"/>
      </w:pPr>
      <w:r>
        <w:t>the impact and structural performance (e</w:t>
      </w:r>
      <w:r w:rsidR="001C3918">
        <w:t>.</w:t>
      </w:r>
      <w:r>
        <w:t>g</w:t>
      </w:r>
      <w:r w:rsidR="001C3918">
        <w:t>.</w:t>
      </w:r>
      <w:r>
        <w:t xml:space="preserve"> shock absorbers, lifting / securing features).</w:t>
      </w:r>
    </w:p>
    <w:p w14:paraId="0B3BA923" w14:textId="4933891A" w:rsidR="00525E52" w:rsidRDefault="00525E52" w:rsidP="007366B8">
      <w:pPr>
        <w:pStyle w:val="NumberedPara"/>
      </w:pPr>
      <w:r>
        <w:t>Where appropriate, the operational limits of these safety-significant design features and components may be specified</w:t>
      </w:r>
      <w:r w:rsidR="009628DF">
        <w:t xml:space="preserve">. This enables </w:t>
      </w:r>
      <w:r>
        <w:t>these limits to be compared (in Part 2) with claimed performance</w:t>
      </w:r>
      <w:r w:rsidR="00C87EF3">
        <w:t xml:space="preserve"> and </w:t>
      </w:r>
      <w:r>
        <w:t>allows the margins to loss of safe performance to be established for each design feature or component.</w:t>
      </w:r>
    </w:p>
    <w:p w14:paraId="0AD469ED" w14:textId="31A4E1D5" w:rsidR="00525E52" w:rsidRDefault="00525E52" w:rsidP="007366B8">
      <w:pPr>
        <w:pStyle w:val="NumberedPara"/>
      </w:pPr>
      <w:r>
        <w:t xml:space="preserve">The description of the management system should justify how the requirements identified within the safety case will be implemented effectively. These requirements should be collated and clearly presented in the safety case, so they are visible to users of the design. The means of implementation considered should include: </w:t>
      </w:r>
    </w:p>
    <w:p w14:paraId="11F06425" w14:textId="0BFE40BC" w:rsidR="00525E52" w:rsidRDefault="00F246F2" w:rsidP="00525E52">
      <w:pPr>
        <w:pStyle w:val="Bulletlist1"/>
      </w:pPr>
      <w:r>
        <w:t>A</w:t>
      </w:r>
      <w:r w:rsidR="00525E52">
        <w:t>dministrative and operational limits and controls to ensure the design / material is used safely at all times;</w:t>
      </w:r>
    </w:p>
    <w:p w14:paraId="4E3E9803" w14:textId="191CCF35" w:rsidR="00525E52" w:rsidRDefault="00F246F2" w:rsidP="00525E52">
      <w:pPr>
        <w:pStyle w:val="Bulletlist1"/>
      </w:pPr>
      <w:r>
        <w:t>T</w:t>
      </w:r>
      <w:r w:rsidR="00525E52">
        <w:t>he required examination, inspection, maintenance and testing regimes justified in or assumed by the safety case;</w:t>
      </w:r>
    </w:p>
    <w:p w14:paraId="525A8A3F" w14:textId="47BF0D6B" w:rsidR="00525E52" w:rsidRDefault="00F246F2" w:rsidP="00525E52">
      <w:pPr>
        <w:pStyle w:val="Bulletlist1"/>
      </w:pPr>
      <w:r>
        <w:lastRenderedPageBreak/>
        <w:t>T</w:t>
      </w:r>
      <w:r w:rsidR="00525E52">
        <w:t>he procedures and instructions that need to be followed, e</w:t>
      </w:r>
      <w:r w:rsidR="00CE296D">
        <w:t>.</w:t>
      </w:r>
      <w:r w:rsidR="00525E52">
        <w:t>g</w:t>
      </w:r>
      <w:r w:rsidR="00CE296D">
        <w:t>.</w:t>
      </w:r>
      <w:r w:rsidR="00525E52">
        <w:t xml:space="preserve"> for operation, handling and maintenance;</w:t>
      </w:r>
    </w:p>
    <w:p w14:paraId="767686F3" w14:textId="4A33C1B7" w:rsidR="00525E52" w:rsidRDefault="00F246F2" w:rsidP="00525E52">
      <w:pPr>
        <w:pStyle w:val="Bulletlist1"/>
      </w:pPr>
      <w:r>
        <w:t>S</w:t>
      </w:r>
      <w:r w:rsidR="00525E52">
        <w:t>upervision of operations, qualification and training of staff, and other safety management requirements; and</w:t>
      </w:r>
    </w:p>
    <w:p w14:paraId="43EEA784" w14:textId="37435D79" w:rsidR="00BC7751" w:rsidRPr="00BC7751" w:rsidRDefault="00F246F2" w:rsidP="00525E52">
      <w:pPr>
        <w:pStyle w:val="Bulletlist1"/>
      </w:pPr>
      <w:r>
        <w:t>I</w:t>
      </w:r>
      <w:r w:rsidR="00525E52">
        <w:t xml:space="preserve">nputs to </w:t>
      </w:r>
      <w:r w:rsidR="00BF025C">
        <w:t>radiation</w:t>
      </w:r>
      <w:r w:rsidR="00525E52">
        <w:t xml:space="preserve"> protection programmes and emergency planning.</w:t>
      </w:r>
    </w:p>
    <w:p w14:paraId="44B7D071" w14:textId="359D423A" w:rsidR="0008774E" w:rsidRDefault="0008774E" w:rsidP="0008774E">
      <w:pPr>
        <w:pStyle w:val="Heading2"/>
      </w:pPr>
      <w:bookmarkStart w:id="13" w:name="_Toc136940118"/>
      <w:r>
        <w:t>Application Part 2</w:t>
      </w:r>
      <w:bookmarkEnd w:id="13"/>
    </w:p>
    <w:p w14:paraId="3F016FCC" w14:textId="5139F6C4" w:rsidR="00525E52" w:rsidRDefault="00525E52" w:rsidP="007366B8">
      <w:pPr>
        <w:pStyle w:val="NumberedPara"/>
      </w:pPr>
      <w:r>
        <w:t>Part 2 of the application should contain the technical analyses</w:t>
      </w:r>
      <w:r w:rsidR="005668E3">
        <w:t xml:space="preserve"> and</w:t>
      </w:r>
      <w:r>
        <w:t xml:space="preserve"> the detailed evidence to support the demonstration that:</w:t>
      </w:r>
    </w:p>
    <w:p w14:paraId="73C04CC5" w14:textId="029F03A8" w:rsidR="00DD7E5B" w:rsidRDefault="00EC4E4E" w:rsidP="00525E52">
      <w:pPr>
        <w:pStyle w:val="Bulletlist1"/>
      </w:pPr>
      <w:r>
        <w:t>T</w:t>
      </w:r>
      <w:r w:rsidR="00525E52">
        <w:t>he design is compliant with the requirements and performance standards of the regulations;</w:t>
      </w:r>
    </w:p>
    <w:p w14:paraId="352AAC5E" w14:textId="29FCF980" w:rsidR="00525E52" w:rsidRDefault="00DD7E5B" w:rsidP="00525E52">
      <w:pPr>
        <w:pStyle w:val="Bulletlist1"/>
      </w:pPr>
      <w:r>
        <w:t>The human</w:t>
      </w:r>
      <w:r w:rsidR="002E14D3">
        <w:t>-</w:t>
      </w:r>
      <w:r>
        <w:t>based safety claims can be achieved</w:t>
      </w:r>
      <w:r w:rsidR="00525E52">
        <w:t xml:space="preserve"> </w:t>
      </w:r>
      <w:r w:rsidR="002E14D3">
        <w:t>and implemented reliably to ensure the package meets its design requriements; and</w:t>
      </w:r>
    </w:p>
    <w:p w14:paraId="41236206" w14:textId="6B6BF493" w:rsidR="00525E52" w:rsidRDefault="00EC4E4E" w:rsidP="00525E52">
      <w:pPr>
        <w:pStyle w:val="Bulletlist1"/>
      </w:pPr>
      <w:r>
        <w:t>T</w:t>
      </w:r>
      <w:r w:rsidR="00525E52">
        <w:t xml:space="preserve">he components of the design will meet their safety performance requirements and provide the necessary safety functions during routine, normal and accident conditions of transport, as defined in the regulations. </w:t>
      </w:r>
    </w:p>
    <w:p w14:paraId="05744BC9" w14:textId="26B056D9" w:rsidR="00525E52" w:rsidRDefault="00525E52" w:rsidP="007366B8">
      <w:pPr>
        <w:pStyle w:val="NumberedPara"/>
      </w:pPr>
      <w:r>
        <w:t>In other words, Part 2 should answer the question ‘</w:t>
      </w:r>
      <w:r w:rsidR="0081098F">
        <w:t xml:space="preserve">why </w:t>
      </w:r>
      <w:r>
        <w:t xml:space="preserve">is it safe?’. </w:t>
      </w:r>
      <w:r w:rsidR="009E7C35">
        <w:t>Where appropriate</w:t>
      </w:r>
      <w:r>
        <w:t xml:space="preserve"> it should also determine the safety margins for the safety-significant design features and components by comparing claimed performance with the safety limits prescribed in each regulatory requirement (</w:t>
      </w:r>
      <w:r w:rsidR="00AC672F">
        <w:t>i.e.</w:t>
      </w:r>
      <w:r>
        <w:t xml:space="preserve"> answer the question ‘how safe is it?’). It should show that these safety margins are greater than the uncertainties associated with the results predicted by the analyses.</w:t>
      </w:r>
    </w:p>
    <w:p w14:paraId="598C1C0F" w14:textId="2EDAA4DD" w:rsidR="00525E52" w:rsidRDefault="00525E52" w:rsidP="007366B8">
      <w:pPr>
        <w:pStyle w:val="NumberedPara"/>
      </w:pPr>
      <w:r>
        <w:t>Depending on the type of application, Part 2 should provide the detailed technical analyses to demonstrate: the containment of radioactivity; the control of radiation levels; the prevention of criticality; and the prevention of damage caused by heat (both to internal components and externally to the design). It may also be appropriate to provide an underpinning structural analysis of the mechanical behaviour of components and features of the design.</w:t>
      </w:r>
    </w:p>
    <w:p w14:paraId="6F1D5492" w14:textId="387FECC8" w:rsidR="00525E52" w:rsidRDefault="00D7685D" w:rsidP="007366B8">
      <w:pPr>
        <w:pStyle w:val="NumberedPara"/>
      </w:pPr>
      <w:r>
        <w:t>E</w:t>
      </w:r>
      <w:r w:rsidR="00525E52">
        <w:t>ach analysis section</w:t>
      </w:r>
      <w:r>
        <w:t>,</w:t>
      </w:r>
      <w:r w:rsidR="00525E52">
        <w:t xml:space="preserve"> or report</w:t>
      </w:r>
      <w:r>
        <w:t>,</w:t>
      </w:r>
      <w:r w:rsidR="00525E52">
        <w:t xml:space="preserve"> should explicitly</w:t>
      </w:r>
      <w:r w:rsidRPr="00D7685D">
        <w:t xml:space="preserve"> </w:t>
      </w:r>
      <w:r w:rsidR="009819CB">
        <w:t xml:space="preserve">state </w:t>
      </w:r>
      <w:r w:rsidR="00285A7D">
        <w:t xml:space="preserve">its </w:t>
      </w:r>
      <w:r>
        <w:t>purpose and conclusion</w:t>
      </w:r>
      <w:r w:rsidR="00525E52">
        <w:t xml:space="preserve">, in terms of what specific aspects of equipment safety it is justifying. This makes it easier to follow the safety justification arguments in the submission as a </w:t>
      </w:r>
      <w:r w:rsidR="007E37FF">
        <w:t>whole and</w:t>
      </w:r>
      <w:r w:rsidR="00525E52">
        <w:t xml:space="preserve"> facilitates consistency between the </w:t>
      </w:r>
      <w:r w:rsidR="00E32613">
        <w:t>higher-level</w:t>
      </w:r>
      <w:r w:rsidR="00525E52">
        <w:t xml:space="preserve"> parts of the submission and their supporting analysis sections. (See also the comment in </w:t>
      </w:r>
      <w:r w:rsidR="00525E52" w:rsidRPr="00956E6D">
        <w:t xml:space="preserve">paragraph </w:t>
      </w:r>
      <w:r w:rsidR="00E108D6">
        <w:fldChar w:fldCharType="begin"/>
      </w:r>
      <w:r w:rsidR="00E108D6">
        <w:instrText xml:space="preserve"> REF _Ref136938294 \r \h </w:instrText>
      </w:r>
      <w:r w:rsidR="00E108D6">
        <w:fldChar w:fldCharType="separate"/>
      </w:r>
      <w:r w:rsidR="00E108D6">
        <w:t>14</w:t>
      </w:r>
      <w:r w:rsidR="00E108D6">
        <w:fldChar w:fldCharType="end"/>
      </w:r>
      <w:r w:rsidR="00525E52">
        <w:t xml:space="preserve"> about informative file / folder names for electronic submissions.)</w:t>
      </w:r>
    </w:p>
    <w:p w14:paraId="6D028BA7" w14:textId="002D2645" w:rsidR="00BC7751" w:rsidRPr="00BC7751" w:rsidRDefault="00525E52" w:rsidP="007366B8">
      <w:pPr>
        <w:pStyle w:val="NumberedPara"/>
      </w:pPr>
      <w:r>
        <w:t>The regulations allow for the substantiation of the design (i</w:t>
      </w:r>
      <w:r w:rsidR="00D54FFF">
        <w:t>.</w:t>
      </w:r>
      <w:r>
        <w:t>e</w:t>
      </w:r>
      <w:r w:rsidR="00D54FFF">
        <w:t>.</w:t>
      </w:r>
      <w:r>
        <w:t xml:space="preserve"> the demonstration that it meets the performance standards in the regulations) by physical testing, calculation or reasoned argument. </w:t>
      </w:r>
      <w:r w:rsidR="00402B30">
        <w:t>Applications often use a</w:t>
      </w:r>
      <w:r>
        <w:t xml:space="preserve"> combination of all three, </w:t>
      </w:r>
      <w:r w:rsidR="00374B91">
        <w:t>interpreting the</w:t>
      </w:r>
      <w:r>
        <w:t xml:space="preserve"> results of physical testing by calculation and reasoned argument. This is especially so for mechanical performance testing</w:t>
      </w:r>
      <w:r w:rsidR="00640782">
        <w:t>. A</w:t>
      </w:r>
      <w:r w:rsidR="0001187C">
        <w:t xml:space="preserve">dequacy of shielding </w:t>
      </w:r>
      <w:r w:rsidR="003F1C21">
        <w:lastRenderedPageBreak/>
        <w:t>often use</w:t>
      </w:r>
      <w:r w:rsidR="00671C9D">
        <w:t>s</w:t>
      </w:r>
      <w:r>
        <w:t xml:space="preserve"> calculation but may also involve or be based on physical measurements</w:t>
      </w:r>
      <w:r w:rsidR="00671C9D">
        <w:t>. C</w:t>
      </w:r>
      <w:r>
        <w:t>riticality safety justifications are more likely to be entirely by calculation. Calculational techniques can</w:t>
      </w:r>
      <w:r w:rsidR="003C1FAC" w:rsidRPr="003C1FAC">
        <w:t xml:space="preserve"> vary from bespoke hand-calculations to the use of powerful computer codes involving mathematical models such as finite element or Monte Carlo. It is important not to overlook the significance of reasoned argument, which often provides the cohesion in design substantiations. The applicant may wish to refer to</w:t>
      </w:r>
      <w:r w:rsidR="00842387">
        <w:t xml:space="preserve"> the</w:t>
      </w:r>
      <w:r w:rsidR="003C1FAC" w:rsidRPr="003C1FAC">
        <w:t xml:space="preserve"> </w:t>
      </w:r>
      <w:r w:rsidR="00027DC2" w:rsidRPr="003C1FAC">
        <w:t>SSG</w:t>
      </w:r>
      <w:r w:rsidR="00A40411">
        <w:t>-</w:t>
      </w:r>
      <w:r w:rsidR="00027DC2" w:rsidRPr="003C1FAC">
        <w:t>26</w:t>
      </w:r>
      <w:r w:rsidR="003C1FAC" w:rsidRPr="003C1FAC">
        <w:t>guidance on Section VII of SSR 6</w:t>
      </w:r>
      <w:r w:rsidR="003C1FAC">
        <w:t>.</w:t>
      </w:r>
    </w:p>
    <w:p w14:paraId="4F1CD0AE" w14:textId="33FBDFF9" w:rsidR="00E707A4" w:rsidRDefault="00E707A4" w:rsidP="00E707A4">
      <w:pPr>
        <w:pStyle w:val="Heading3"/>
      </w:pPr>
      <w:r>
        <w:t>Physical Testing</w:t>
      </w:r>
    </w:p>
    <w:p w14:paraId="2ACAF74F" w14:textId="18BF3A85" w:rsidR="00487923" w:rsidRDefault="007E37FF" w:rsidP="007366B8">
      <w:pPr>
        <w:pStyle w:val="NumberedPara"/>
      </w:pPr>
      <w:r>
        <w:t xml:space="preserve">Physical testing may be on prototypes or scale models (with the test parameters suitably adjusted). </w:t>
      </w:r>
      <w:r w:rsidR="00A67136">
        <w:t xml:space="preserve">The items being tested should be representative of, and simulate as closely as practicable, the materials and </w:t>
      </w:r>
      <w:proofErr w:type="spellStart"/>
      <w:r w:rsidR="00A67136">
        <w:t>packagings</w:t>
      </w:r>
      <w:proofErr w:type="spellEnd"/>
      <w:r w:rsidR="00A67136">
        <w:t xml:space="preserve"> for which the applicant is seeking design approval. </w:t>
      </w:r>
      <w:r>
        <w:t xml:space="preserve">It may be permissible to use the results from previous tests or from tests on similar </w:t>
      </w:r>
      <w:r w:rsidR="00B121FD">
        <w:t>designs if</w:t>
      </w:r>
      <w:r>
        <w:t xml:space="preserve"> </w:t>
      </w:r>
      <w:r w:rsidR="005B4C5C">
        <w:t xml:space="preserve">the application provides </w:t>
      </w:r>
      <w:r>
        <w:t>sufficient justifi</w:t>
      </w:r>
      <w:r w:rsidR="00DE2385">
        <w:t>cation</w:t>
      </w:r>
      <w:r w:rsidR="00B121FD">
        <w:t xml:space="preserve"> for their us</w:t>
      </w:r>
      <w:r w:rsidR="005B4C5C">
        <w:t>e</w:t>
      </w:r>
      <w:r w:rsidR="00B121FD">
        <w:t xml:space="preserve"> </w:t>
      </w:r>
      <w:r>
        <w:t>(</w:t>
      </w:r>
      <w:r w:rsidR="005B4C5C">
        <w:t>i.e.</w:t>
      </w:r>
      <w:r>
        <w:t xml:space="preserve"> shown to be valid for the design in question). </w:t>
      </w:r>
      <w:r w:rsidR="008E3C3C">
        <w:t xml:space="preserve">The applications should explain </w:t>
      </w:r>
      <w:r w:rsidR="002E4356">
        <w:t xml:space="preserve">and justify </w:t>
      </w:r>
      <w:r w:rsidR="008E3C3C">
        <w:t>a</w:t>
      </w:r>
      <w:r>
        <w:t xml:space="preserve">ny differences between the items tested and those described and specified. </w:t>
      </w:r>
      <w:r w:rsidR="00D36F10">
        <w:t>M</w:t>
      </w:r>
      <w:r w:rsidR="00E35DC5">
        <w:t xml:space="preserve">athematical </w:t>
      </w:r>
      <w:r w:rsidR="00487923">
        <w:t xml:space="preserve">models </w:t>
      </w:r>
      <w:r w:rsidR="00C968D0">
        <w:t>substantiating</w:t>
      </w:r>
      <w:r w:rsidR="00780063">
        <w:t xml:space="preserve"> the design </w:t>
      </w:r>
      <w:r w:rsidR="00487923">
        <w:t xml:space="preserve">may also </w:t>
      </w:r>
      <w:r w:rsidR="00393079">
        <w:t xml:space="preserve">require </w:t>
      </w:r>
      <w:r w:rsidR="00C968D0">
        <w:t>validation and verification</w:t>
      </w:r>
      <w:r w:rsidR="000C0D91">
        <w:t xml:space="preserve"> using </w:t>
      </w:r>
      <w:r w:rsidR="00393079">
        <w:t>tests and experiments</w:t>
      </w:r>
      <w:r w:rsidR="000C0D91">
        <w:t>.</w:t>
      </w:r>
    </w:p>
    <w:p w14:paraId="60CC32B0" w14:textId="55F06237" w:rsidR="007E37FF" w:rsidRPr="007E37FF" w:rsidRDefault="00EF1F0B" w:rsidP="007366B8">
      <w:pPr>
        <w:pStyle w:val="NumberedPara"/>
      </w:pPr>
      <w:r>
        <w:t>T</w:t>
      </w:r>
      <w:r w:rsidR="007E37FF">
        <w:t xml:space="preserve">he applicant should notify ONR </w:t>
      </w:r>
      <w:r>
        <w:t xml:space="preserve">prior to physical manufacture and/or testing of </w:t>
      </w:r>
      <w:r w:rsidR="00210CF5">
        <w:t xml:space="preserve">mature </w:t>
      </w:r>
      <w:r>
        <w:t>models or prototypes</w:t>
      </w:r>
      <w:r w:rsidR="007E37FF">
        <w:t xml:space="preserve"> to enable ONR to arrange to witness the manufacture and/or test(s), at its discretion. The notification should </w:t>
      </w:r>
      <w:r w:rsidR="009126C6">
        <w:t>include</w:t>
      </w:r>
      <w:r w:rsidR="007E37FF">
        <w:t xml:space="preserve"> detailed manufacture and/or test procedures and control </w:t>
      </w:r>
      <w:r w:rsidR="00682E1C">
        <w:t>documentation and</w:t>
      </w:r>
      <w:r w:rsidR="007E37FF">
        <w:t xml:space="preserve"> allow sufficient time for ONR to review these documents, prior to manufacture and/or testing. </w:t>
      </w:r>
      <w:r w:rsidR="00160B51">
        <w:t>Applicants should also submit a</w:t>
      </w:r>
      <w:r w:rsidR="007E37FF">
        <w:t xml:space="preserve"> test Quality Plan, identifying responsible persons / organisations for each element of the proposed test. </w:t>
      </w:r>
      <w:r w:rsidR="004558ED">
        <w:t>The applicant should rai</w:t>
      </w:r>
      <w:r w:rsidR="00C85B96">
        <w:t>s</w:t>
      </w:r>
      <w:r w:rsidR="004558ED">
        <w:t>e</w:t>
      </w:r>
      <w:r w:rsidR="00C85B96">
        <w:t xml:space="preserve"> these</w:t>
      </w:r>
      <w:r w:rsidR="007E37FF">
        <w:t xml:space="preserve"> matters with ONR during early engagement (</w:t>
      </w:r>
      <w:r w:rsidR="007E37FF" w:rsidRPr="00F643FF">
        <w:t xml:space="preserve">see paragraph </w:t>
      </w:r>
      <w:r w:rsidR="001968CF">
        <w:fldChar w:fldCharType="begin"/>
      </w:r>
      <w:r w:rsidR="001968CF">
        <w:instrText xml:space="preserve"> REF _Ref136938374 \r \h </w:instrText>
      </w:r>
      <w:r w:rsidR="001968CF">
        <w:fldChar w:fldCharType="separate"/>
      </w:r>
      <w:r w:rsidR="001968CF">
        <w:t>11</w:t>
      </w:r>
      <w:r w:rsidR="001968CF">
        <w:fldChar w:fldCharType="end"/>
      </w:r>
      <w:r w:rsidR="001968CF">
        <w:t>)</w:t>
      </w:r>
      <w:r w:rsidR="007E37FF">
        <w:t>.</w:t>
      </w:r>
    </w:p>
    <w:p w14:paraId="650D00C9" w14:textId="11C358B7" w:rsidR="00E707A4" w:rsidRDefault="007E37FF" w:rsidP="00E707A4">
      <w:pPr>
        <w:pStyle w:val="Heading3"/>
      </w:pPr>
      <w:r>
        <w:t>Mathematical</w:t>
      </w:r>
      <w:r w:rsidR="00E707A4">
        <w:t xml:space="preserve"> Modelling</w:t>
      </w:r>
    </w:p>
    <w:p w14:paraId="1E81A138" w14:textId="08CDE8F1" w:rsidR="00480A5F" w:rsidRDefault="00C356CD" w:rsidP="004D3E19">
      <w:pPr>
        <w:pStyle w:val="NumberedPara"/>
      </w:pPr>
      <w:r>
        <w:t xml:space="preserve">Applicants must ensure that </w:t>
      </w:r>
      <w:r w:rsidR="006178CF" w:rsidRPr="006178CF">
        <w:t xml:space="preserve">mathematical modelling </w:t>
      </w:r>
      <w:r w:rsidR="001A7920">
        <w:t xml:space="preserve">is </w:t>
      </w:r>
      <w:r w:rsidR="006178CF" w:rsidRPr="006178CF">
        <w:t xml:space="preserve">undertaken by </w:t>
      </w:r>
      <w:r w:rsidR="001A7920">
        <w:t xml:space="preserve">analysts that are </w:t>
      </w:r>
      <w:r w:rsidR="006178CF" w:rsidRPr="006178CF">
        <w:t xml:space="preserve">competent </w:t>
      </w:r>
      <w:r w:rsidR="004B2A8C">
        <w:t>with the chosen modelling software</w:t>
      </w:r>
      <w:r w:rsidR="00D07F91">
        <w:t>.</w:t>
      </w:r>
      <w:r w:rsidR="00AD1E9C">
        <w:t xml:space="preserve"> The mathematical modelling section of the analysis report serves, in part, as the confidence test of the competence of the analyst</w:t>
      </w:r>
      <w:r w:rsidR="008825D7">
        <w:t>s</w:t>
      </w:r>
      <w:r w:rsidR="00480A5F">
        <w:t xml:space="preserve">. </w:t>
      </w:r>
    </w:p>
    <w:p w14:paraId="1211BAC3" w14:textId="5993585B" w:rsidR="00860663" w:rsidRDefault="004500FB" w:rsidP="00860663">
      <w:pPr>
        <w:pStyle w:val="NumberedPara"/>
      </w:pPr>
      <w:r>
        <w:t xml:space="preserve">ONR expects applicants </w:t>
      </w:r>
      <w:r w:rsidR="00FA1B68" w:rsidRPr="00FA1B68">
        <w:t xml:space="preserve">to demonstrate that </w:t>
      </w:r>
      <w:r w:rsidR="00480A5F">
        <w:t>mathematical models</w:t>
      </w:r>
      <w:r w:rsidR="00FA1B68" w:rsidRPr="00FA1B68">
        <w:t xml:space="preserve"> </w:t>
      </w:r>
      <w:r w:rsidR="00480A5F">
        <w:t xml:space="preserve">and </w:t>
      </w:r>
      <w:r w:rsidR="00FA1B68" w:rsidRPr="00FA1B68">
        <w:t>computer code</w:t>
      </w:r>
      <w:r w:rsidR="00480A5F">
        <w:t>s</w:t>
      </w:r>
      <w:r w:rsidR="00FA1B68" w:rsidRPr="00FA1B68">
        <w:t xml:space="preserve"> </w:t>
      </w:r>
      <w:r w:rsidR="00480A5F">
        <w:t>are</w:t>
      </w:r>
      <w:r w:rsidR="00FA1B68" w:rsidRPr="00FA1B68">
        <w:t xml:space="preserve"> tested and evaluated to </w:t>
      </w:r>
      <w:r w:rsidR="00B862E9">
        <w:t>ensure</w:t>
      </w:r>
      <w:r w:rsidR="00FA1B68" w:rsidRPr="00FA1B68">
        <w:t xml:space="preserve"> </w:t>
      </w:r>
      <w:r w:rsidR="00480A5F">
        <w:t>fitness</w:t>
      </w:r>
      <w:r w:rsidR="00FA1B68" w:rsidRPr="00FA1B68">
        <w:t xml:space="preserve"> for purpose, and that the code </w:t>
      </w:r>
      <w:r w:rsidR="00B862E9">
        <w:t>suitably</w:t>
      </w:r>
      <w:r w:rsidR="00FA1B68" w:rsidRPr="00FA1B68">
        <w:t xml:space="preserve"> represents the physical model</w:t>
      </w:r>
      <w:r w:rsidR="0033209B">
        <w:t>.</w:t>
      </w:r>
      <w:r w:rsidR="00860663">
        <w:t xml:space="preserve"> </w:t>
      </w:r>
      <w:r w:rsidR="007E37FF">
        <w:t xml:space="preserve">Analysis reports should </w:t>
      </w:r>
      <w:r w:rsidR="00ED15CC">
        <w:t>demonstrate</w:t>
      </w:r>
      <w:r w:rsidR="003B5C6E">
        <w:t xml:space="preserve"> validation and verification</w:t>
      </w:r>
      <w:r w:rsidR="007E37FF">
        <w:t xml:space="preserve"> </w:t>
      </w:r>
      <w:r w:rsidR="00ED15CC">
        <w:t>of</w:t>
      </w:r>
      <w:r w:rsidR="007E37FF">
        <w:t xml:space="preserve"> all mathematical models used. </w:t>
      </w:r>
    </w:p>
    <w:p w14:paraId="766D7EBC" w14:textId="342888B8" w:rsidR="007E37FF" w:rsidRDefault="002405FA" w:rsidP="007366B8">
      <w:pPr>
        <w:pStyle w:val="NumberedPara"/>
      </w:pPr>
      <w:r>
        <w:t xml:space="preserve">The </w:t>
      </w:r>
      <w:r w:rsidR="00CE7C05">
        <w:t>d</w:t>
      </w:r>
      <w:r w:rsidR="007E37FF">
        <w:t xml:space="preserve">efinitions of validation and verification </w:t>
      </w:r>
      <w:r>
        <w:t xml:space="preserve">used by ONR are </w:t>
      </w:r>
      <w:r w:rsidR="003C1316">
        <w:t>as</w:t>
      </w:r>
      <w:r w:rsidR="007E37FF">
        <w:t xml:space="preserve"> follows:</w:t>
      </w:r>
    </w:p>
    <w:p w14:paraId="61A3ED54" w14:textId="1133711F" w:rsidR="007E37FF" w:rsidRDefault="007E37FF" w:rsidP="00C97D14">
      <w:pPr>
        <w:pStyle w:val="Bulletlist1"/>
      </w:pPr>
      <w:r>
        <w:t xml:space="preserve">Validation: </w:t>
      </w:r>
      <w:r w:rsidR="00C97D14" w:rsidRPr="00C97D14">
        <w:t>is the process of testing and evaluation of the whole computer code or calculation method after the completion of its development and prior to its application to ensure compliance with the requirements of the intended application. Validation provides the evidence that the computer code or calculation method is fit for purpose by comparison of their results with data from experiments or other trusted sources.</w:t>
      </w:r>
    </w:p>
    <w:p w14:paraId="68D4933E" w14:textId="69808F55" w:rsidR="007E37FF" w:rsidRDefault="007E37FF" w:rsidP="007E37FF">
      <w:pPr>
        <w:pStyle w:val="Bulletlist1"/>
      </w:pPr>
      <w:r>
        <w:lastRenderedPageBreak/>
        <w:t xml:space="preserve">Verification: </w:t>
      </w:r>
      <w:r w:rsidR="004A7F5F" w:rsidRPr="004A7F5F">
        <w:t>is the process of ensuring that the model specification has been complied with and that controlling physical equations have been correctly translated into the computer code or, in the case of hand calculations, correctly incorporated into the calculation procedures</w:t>
      </w:r>
      <w:r>
        <w:t>.</w:t>
      </w:r>
    </w:p>
    <w:p w14:paraId="3E21A8A9" w14:textId="457E17E6" w:rsidR="007E37FF" w:rsidRDefault="00432B58" w:rsidP="007366B8">
      <w:pPr>
        <w:pStyle w:val="NumberedPara"/>
      </w:pPr>
      <w:r>
        <w:t>V</w:t>
      </w:r>
      <w:r w:rsidR="007E37FF">
        <w:t xml:space="preserve">alidation means explaining why the model used in the analysis is an adequate simulation of the ‘real world’ problem, </w:t>
      </w:r>
      <w:r w:rsidR="006B6FA5">
        <w:t>i.e.</w:t>
      </w:r>
      <w:r w:rsidR="007E37FF">
        <w:t xml:space="preserve"> it should answer the question: ‘why is this model the right one for solving this problem?’ </w:t>
      </w:r>
      <w:r w:rsidR="008774E9">
        <w:t>Consequently,</w:t>
      </w:r>
      <w:r w:rsidR="007E37FF">
        <w:t xml:space="preserve"> this part of the submission should:</w:t>
      </w:r>
    </w:p>
    <w:p w14:paraId="2C502DE4" w14:textId="4C0696A0" w:rsidR="007E37FF" w:rsidRDefault="007E37FF" w:rsidP="007E37FF">
      <w:pPr>
        <w:pStyle w:val="Bulletlist1"/>
      </w:pPr>
      <w:r>
        <w:t>Describe and justify the assumptions and simplifications used to produce the model, for example: why certain features of the design can be excluded from the model, and why the included features are modelled the way they are.</w:t>
      </w:r>
    </w:p>
    <w:p w14:paraId="1AFD5D25" w14:textId="58CCBC11" w:rsidR="007E37FF" w:rsidRDefault="007E37FF" w:rsidP="007E37FF">
      <w:pPr>
        <w:pStyle w:val="Bulletlist1"/>
      </w:pPr>
      <w:r>
        <w:t>Demonstrate that the output of the model accords with reality, for example by benchmarking against test data.</w:t>
      </w:r>
    </w:p>
    <w:p w14:paraId="04EB1BB4" w14:textId="3EAD2AD6" w:rsidR="007E37FF" w:rsidRDefault="00E465A0" w:rsidP="007366B8">
      <w:pPr>
        <w:pStyle w:val="NumberedPara"/>
      </w:pPr>
      <w:r>
        <w:t>ONR may consider</w:t>
      </w:r>
      <w:r w:rsidR="00FB2F1E">
        <w:t xml:space="preserve"> a</w:t>
      </w:r>
      <w:r w:rsidR="007E37FF">
        <w:t xml:space="preserve"> simple, bounding model based on pessimistic assumptions an acceptable simulation, provided the assumptions do not make the implementation of the design impracticable.</w:t>
      </w:r>
    </w:p>
    <w:p w14:paraId="4A9271E7" w14:textId="7B172EE4" w:rsidR="007E37FF" w:rsidRDefault="007E37FF" w:rsidP="007366B8">
      <w:pPr>
        <w:pStyle w:val="NumberedPara"/>
      </w:pPr>
      <w:r>
        <w:t xml:space="preserve">Model verification </w:t>
      </w:r>
      <w:r w:rsidR="00D118C5">
        <w:t xml:space="preserve">should </w:t>
      </w:r>
      <w:r>
        <w:t xml:space="preserve">answer the question ‘is the model error-free?’ </w:t>
      </w:r>
      <w:r w:rsidR="00F6174D">
        <w:t>T</w:t>
      </w:r>
      <w:r>
        <w:t>his part of the analysis report should:</w:t>
      </w:r>
    </w:p>
    <w:p w14:paraId="6F287685" w14:textId="76FD5924" w:rsidR="007E37FF" w:rsidRDefault="007E37FF" w:rsidP="007E37FF">
      <w:pPr>
        <w:pStyle w:val="Bulletlist1"/>
      </w:pPr>
      <w:r>
        <w:t xml:space="preserve">For new, bespoke models, demonstrate that the governing mathematical equations and calculational methods have been correctly formulated and implemented. </w:t>
      </w:r>
    </w:p>
    <w:p w14:paraId="7E57B0B8" w14:textId="0805A91F" w:rsidR="007E37FF" w:rsidRDefault="007E37FF" w:rsidP="007E37FF">
      <w:pPr>
        <w:pStyle w:val="Bulletlist1"/>
      </w:pPr>
      <w:r>
        <w:t>For well-established codes, demonstrate that the code has been correctly installed and tested.</w:t>
      </w:r>
    </w:p>
    <w:p w14:paraId="61353E13" w14:textId="5B841E82" w:rsidR="00F6174D" w:rsidRDefault="005D7BFE" w:rsidP="007E37FF">
      <w:pPr>
        <w:pStyle w:val="Bulletlist1"/>
      </w:pPr>
      <w:r>
        <w:t>Confirm that the analysts are competent and have used the model correctly, this is particulary imp</w:t>
      </w:r>
      <w:r w:rsidR="00FA68C0">
        <w:t>ortant for complex codes.</w:t>
      </w:r>
    </w:p>
    <w:p w14:paraId="525793E9" w14:textId="459981F6" w:rsidR="007E37FF" w:rsidRPr="007E37FF" w:rsidRDefault="007E37FF" w:rsidP="007366B8">
      <w:pPr>
        <w:pStyle w:val="NumberedPara"/>
      </w:pPr>
      <w:r>
        <w:t xml:space="preserve">This part of the analysis report should also demonstrate </w:t>
      </w:r>
      <w:r w:rsidR="00760D3E">
        <w:t>the use of</w:t>
      </w:r>
      <w:r>
        <w:t xml:space="preserve"> accurate and appropriate physical and material property data, especially for novel designs and materials</w:t>
      </w:r>
      <w:r w:rsidR="00AC1FBC">
        <w:t>.</w:t>
      </w:r>
      <w:r>
        <w:t xml:space="preserve"> </w:t>
      </w:r>
      <w:r w:rsidR="00AC1FBC" w:rsidRPr="00AC1FBC">
        <w:t xml:space="preserve">The point of validation is that the package design that is presented to ONR </w:t>
      </w:r>
      <w:r w:rsidR="004924E5">
        <w:t>for</w:t>
      </w:r>
      <w:r w:rsidR="00AC1FBC" w:rsidRPr="00AC1FBC">
        <w:t xml:space="preserve"> approv</w:t>
      </w:r>
      <w:r w:rsidR="004924E5">
        <w:t>al</w:t>
      </w:r>
      <w:r w:rsidR="00AC1FBC" w:rsidRPr="00AC1FBC">
        <w:t xml:space="preserve"> bears a close corelation to the design that is eventually manufactured and used in the public domain. This means that the design data used in the validation model must be for a package design that is in the mature or late part of the design evolution</w:t>
      </w:r>
      <w:r>
        <w:t>.</w:t>
      </w:r>
    </w:p>
    <w:p w14:paraId="43B93B78" w14:textId="5F9B6971" w:rsidR="00E707A4" w:rsidRDefault="00E707A4" w:rsidP="00E707A4">
      <w:pPr>
        <w:pStyle w:val="Heading3"/>
      </w:pPr>
      <w:r>
        <w:t>Test Cases and Results</w:t>
      </w:r>
    </w:p>
    <w:p w14:paraId="5A3E2CAF" w14:textId="3435B896" w:rsidR="007E37FF" w:rsidRDefault="00137223" w:rsidP="007366B8">
      <w:pPr>
        <w:pStyle w:val="NumberedPara"/>
      </w:pPr>
      <w:r>
        <w:t>The application should present s</w:t>
      </w:r>
      <w:r w:rsidR="006037D8">
        <w:t>ufficient</w:t>
      </w:r>
      <w:r w:rsidR="007E37FF">
        <w:t xml:space="preserve"> tests and calculational cases </w:t>
      </w:r>
      <w:r w:rsidR="00226D43">
        <w:t xml:space="preserve">to </w:t>
      </w:r>
      <w:r w:rsidR="00B779C1">
        <w:t>provid</w:t>
      </w:r>
      <w:r w:rsidR="00226D43">
        <w:t>e</w:t>
      </w:r>
      <w:r w:rsidR="00B779C1">
        <w:t xml:space="preserve"> answers to the</w:t>
      </w:r>
      <w:r w:rsidR="007E37FF">
        <w:t xml:space="preserve"> question ‘is it safe?’ and where appropriate ‘how safe is it?’ for the safety-significant design features and components</w:t>
      </w:r>
      <w:r w:rsidR="003C7A56">
        <w:t xml:space="preserve">. </w:t>
      </w:r>
      <w:r w:rsidR="007E37FF">
        <w:t xml:space="preserve">These should be performed for all the prescribed regulatory conditions, including the cases for which the prescribed challenges are to be applied individually as well as for when the challenges are to be </w:t>
      </w:r>
      <w:r w:rsidR="007E37FF">
        <w:lastRenderedPageBreak/>
        <w:t xml:space="preserve">applied successively, </w:t>
      </w:r>
      <w:r w:rsidR="006037D8">
        <w:t>e.g.</w:t>
      </w:r>
      <w:r w:rsidR="007E37FF">
        <w:t xml:space="preserve"> a 9 m drop followed by a 30 minute 800 °C fire</w:t>
      </w:r>
      <w:r w:rsidR="003C7A56">
        <w:t xml:space="preserve">. </w:t>
      </w:r>
      <w:r w:rsidR="007E37FF">
        <w:t xml:space="preserve">In the latter case, </w:t>
      </w:r>
      <w:r w:rsidR="003442F2">
        <w:t xml:space="preserve">tests and calculations </w:t>
      </w:r>
      <w:r w:rsidR="00683076">
        <w:t>s</w:t>
      </w:r>
      <w:r w:rsidR="003442F2">
        <w:t>houl</w:t>
      </w:r>
      <w:r w:rsidR="00683076">
        <w:t>d</w:t>
      </w:r>
      <w:r w:rsidR="003442F2">
        <w:t xml:space="preserve"> address the</w:t>
      </w:r>
      <w:r w:rsidR="007E37FF">
        <w:t xml:space="preserve"> potential for a challenge making the package more vulnerable to a following challenge.</w:t>
      </w:r>
      <w:r w:rsidR="005004BA">
        <w:t xml:space="preserve"> </w:t>
      </w:r>
      <w:r w:rsidR="005004BA" w:rsidRPr="005004BA">
        <w:t>For example paragraph 727 of SSR-6 specifies that mechanical drop test “shall be such that, on completion of the mechanical test, the specimen shall have suffered such damage as will lead to maximum damage in the thermal test that follows</w:t>
      </w:r>
    </w:p>
    <w:p w14:paraId="1E451170" w14:textId="40CD8BF8" w:rsidR="007E37FF" w:rsidRDefault="007E37FF" w:rsidP="007366B8">
      <w:pPr>
        <w:pStyle w:val="NumberedPara"/>
      </w:pPr>
      <w:r>
        <w:t>The</w:t>
      </w:r>
      <w:r w:rsidR="00C356E0">
        <w:t xml:space="preserve"> </w:t>
      </w:r>
      <w:r w:rsidR="000B0246">
        <w:t>application should establish</w:t>
      </w:r>
      <w:r w:rsidR="00C356E0">
        <w:t xml:space="preserve"> the</w:t>
      </w:r>
      <w:r>
        <w:t xml:space="preserve"> validity of presented calculational results by:</w:t>
      </w:r>
    </w:p>
    <w:p w14:paraId="5ABAC3B0" w14:textId="7E35679B" w:rsidR="007E37FF" w:rsidRDefault="003C4EC5" w:rsidP="007E37FF">
      <w:pPr>
        <w:pStyle w:val="Bulletlist1"/>
      </w:pPr>
      <w:r>
        <w:t>D</w:t>
      </w:r>
      <w:r w:rsidR="007E37FF">
        <w:t>emonstrating that the initial results confirm modelling assumptions (e</w:t>
      </w:r>
      <w:r w:rsidR="00C35171">
        <w:t>.</w:t>
      </w:r>
      <w:r w:rsidR="007E37FF">
        <w:t>g</w:t>
      </w:r>
      <w:r w:rsidR="00C35171">
        <w:t>.</w:t>
      </w:r>
      <w:r w:rsidR="007E37FF">
        <w:t xml:space="preserve"> for elastic behaviour, temperature range for material data, meshing refinement etc</w:t>
      </w:r>
      <w:r w:rsidR="00C35171">
        <w:t>.</w:t>
      </w:r>
      <w:r w:rsidR="007E37FF">
        <w:t>);</w:t>
      </w:r>
    </w:p>
    <w:p w14:paraId="49F21426" w14:textId="4525150B" w:rsidR="007E37FF" w:rsidRDefault="003C4EC5" w:rsidP="007E37FF">
      <w:pPr>
        <w:pStyle w:val="Bulletlist1"/>
      </w:pPr>
      <w:r>
        <w:t>P</w:t>
      </w:r>
      <w:r w:rsidR="007E37FF">
        <w:t>erforming enough sensitivity cases to cover uncertainties (e</w:t>
      </w:r>
      <w:r>
        <w:t>.</w:t>
      </w:r>
      <w:r w:rsidR="007E37FF">
        <w:t>g</w:t>
      </w:r>
      <w:r>
        <w:t>.</w:t>
      </w:r>
      <w:r w:rsidR="007E37FF">
        <w:t xml:space="preserve"> range of applied challenges, gaps opening/closing, slap-down angle, directional variations in thicknesses available for shielding or neutron absorption etc</w:t>
      </w:r>
      <w:r w:rsidR="004C289A">
        <w:t>.</w:t>
      </w:r>
      <w:r w:rsidR="007E37FF">
        <w:t>);</w:t>
      </w:r>
    </w:p>
    <w:p w14:paraId="66FBCE25" w14:textId="41D14DAF" w:rsidR="007E37FF" w:rsidRDefault="003C4EC5" w:rsidP="007E37FF">
      <w:pPr>
        <w:pStyle w:val="Bulletlist1"/>
      </w:pPr>
      <w:r>
        <w:t>U</w:t>
      </w:r>
      <w:r w:rsidR="007E37FF">
        <w:t>ndertaking (and presenting evidence of) internal quality assurance checks and independent peer review; and</w:t>
      </w:r>
    </w:p>
    <w:p w14:paraId="68290484" w14:textId="42D4EA90" w:rsidR="007E37FF" w:rsidRPr="007E37FF" w:rsidRDefault="003C4EC5" w:rsidP="007E37FF">
      <w:pPr>
        <w:pStyle w:val="Bulletlist1"/>
      </w:pPr>
      <w:r>
        <w:t>U</w:t>
      </w:r>
      <w:r w:rsidR="007E37FF">
        <w:t>ndertaking ‘sanity checks’ and eliminating ‘loose ends’ by resolving / explaining any aberrant or unexpected behaviour.</w:t>
      </w:r>
    </w:p>
    <w:p w14:paraId="71F9B012" w14:textId="0F54B31C" w:rsidR="00F443AD" w:rsidRDefault="00F443AD" w:rsidP="00E707A4">
      <w:pPr>
        <w:pStyle w:val="Heading3"/>
      </w:pPr>
      <w:r>
        <w:t>Human Factors</w:t>
      </w:r>
    </w:p>
    <w:p w14:paraId="5A7E3258" w14:textId="77777777" w:rsidR="00400E0D" w:rsidRDefault="00400E0D" w:rsidP="00400E0D">
      <w:pPr>
        <w:pStyle w:val="NumberedPara"/>
      </w:pPr>
      <w:r>
        <w:t xml:space="preserve">Human factors analysis seeks to ensure that the human contribution to risk is minimised by accounting for human physiological and psychological capabilities. </w:t>
      </w:r>
    </w:p>
    <w:p w14:paraId="365E4A70" w14:textId="76A43D4F" w:rsidR="00400E0D" w:rsidRDefault="00D87584" w:rsidP="00400E0D">
      <w:pPr>
        <w:pStyle w:val="NumberedPara"/>
      </w:pPr>
      <w:r>
        <w:t>T</w:t>
      </w:r>
      <w:r w:rsidRPr="0034078C">
        <w:t>o understand and reduce the potential for human error</w:t>
      </w:r>
      <w:r>
        <w:t>, t</w:t>
      </w:r>
      <w:r w:rsidR="00F83649">
        <w:t>he application should include</w:t>
      </w:r>
      <w:r w:rsidR="0034078C" w:rsidRPr="0034078C">
        <w:t xml:space="preserve"> </w:t>
      </w:r>
      <w:r w:rsidR="00B81DFB">
        <w:t xml:space="preserve">analysis of </w:t>
      </w:r>
      <w:r w:rsidR="0034078C" w:rsidRPr="0034078C">
        <w:t>transport activities relying on</w:t>
      </w:r>
      <w:r w:rsidR="00684FA1">
        <w:t xml:space="preserve"> human-based safety claims, i.e.</w:t>
      </w:r>
      <w:r w:rsidR="0034078C" w:rsidRPr="0034078C">
        <w:t xml:space="preserve"> human action</w:t>
      </w:r>
      <w:r w:rsidR="00C85576">
        <w:t xml:space="preserve"> and</w:t>
      </w:r>
      <w:r w:rsidR="0034078C" w:rsidRPr="0034078C">
        <w:t xml:space="preserve"> managerial measures</w:t>
      </w:r>
      <w:r w:rsidR="00400E0D">
        <w:t>. This section should seek to answer, “has</w:t>
      </w:r>
      <w:r w:rsidR="00CB76CC" w:rsidRPr="00CB76CC">
        <w:t xml:space="preserve"> the human contribution to risk been reduced </w:t>
      </w:r>
      <w:r w:rsidR="00013821">
        <w:t>to as low as reasonably practicable (ALARP)</w:t>
      </w:r>
      <w:r w:rsidR="00400E0D">
        <w:t>?”. Therefore, this part of the submission should:</w:t>
      </w:r>
    </w:p>
    <w:p w14:paraId="5A5A76D0" w14:textId="77777777" w:rsidR="00400E0D" w:rsidRDefault="00400E0D" w:rsidP="00954144">
      <w:pPr>
        <w:pStyle w:val="Bulletlist1"/>
      </w:pPr>
      <w:r>
        <w:t>Identify all important human actions and managerial controls supporting operations and maintenance;</w:t>
      </w:r>
    </w:p>
    <w:p w14:paraId="5B8CF861" w14:textId="77777777" w:rsidR="00400E0D" w:rsidRDefault="00400E0D" w:rsidP="00954144">
      <w:pPr>
        <w:pStyle w:val="Bulletlist1"/>
      </w:pPr>
      <w:r>
        <w:t>Analyse those human actions and managerial controls to understand the potential for human error and its contribution; and</w:t>
      </w:r>
    </w:p>
    <w:p w14:paraId="3F67F172" w14:textId="639C0756" w:rsidR="00947043" w:rsidRPr="00947043" w:rsidRDefault="00400E0D" w:rsidP="00954144">
      <w:pPr>
        <w:pStyle w:val="Bulletlist1"/>
      </w:pPr>
      <w:r>
        <w:t>Implement appropriate engineered or managerial measures to reduce the potential for human error.</w:t>
      </w:r>
    </w:p>
    <w:p w14:paraId="7307E1B4" w14:textId="08C468EB" w:rsidR="00E707A4" w:rsidRDefault="00E707A4" w:rsidP="00E707A4">
      <w:pPr>
        <w:pStyle w:val="Heading3"/>
      </w:pPr>
      <w:r>
        <w:t>Managing Analysis by Third-party Contractors</w:t>
      </w:r>
    </w:p>
    <w:p w14:paraId="0A08AF0F" w14:textId="219AB902" w:rsidR="007E37FF" w:rsidRDefault="007E37FF" w:rsidP="007366B8">
      <w:pPr>
        <w:pStyle w:val="NumberedPara"/>
      </w:pPr>
      <w:r>
        <w:t xml:space="preserve">When </w:t>
      </w:r>
      <w:r w:rsidR="00AE11DB">
        <w:t>a third-party contractor undertakes</w:t>
      </w:r>
      <w:r>
        <w:t xml:space="preserve"> analysis in a submission, the regulator may have to interact with this contractor as well as the applicant. The GB CA has historically interacted with </w:t>
      </w:r>
      <w:r w:rsidR="000D6772">
        <w:t xml:space="preserve">a </w:t>
      </w:r>
      <w:r>
        <w:t xml:space="preserve">range of applicants’ third-party contractors, including manufacturers, suppliers, material test laboratories, design authorities and analysis </w:t>
      </w:r>
      <w:r>
        <w:lastRenderedPageBreak/>
        <w:t xml:space="preserve">specialists. </w:t>
      </w:r>
      <w:r w:rsidR="003C1FD2">
        <w:t xml:space="preserve">ONR </w:t>
      </w:r>
      <w:r w:rsidR="007D6015">
        <w:t xml:space="preserve">adopts the same principles of </w:t>
      </w:r>
      <w:r w:rsidR="00E03C70">
        <w:t xml:space="preserve">interaction </w:t>
      </w:r>
      <w:r w:rsidR="0007361D">
        <w:t xml:space="preserve">with </w:t>
      </w:r>
      <w:r w:rsidR="007D6015">
        <w:t>third party contractors</w:t>
      </w:r>
      <w:r w:rsidR="0007361D">
        <w:t xml:space="preserve"> as it does with </w:t>
      </w:r>
      <w:r w:rsidR="007401D8">
        <w:t>applicants</w:t>
      </w:r>
      <w:r>
        <w:t>, which include the following:</w:t>
      </w:r>
    </w:p>
    <w:p w14:paraId="0A308E9F" w14:textId="1BA56812" w:rsidR="007E37FF" w:rsidRDefault="007E37FF" w:rsidP="007E37FF">
      <w:pPr>
        <w:pStyle w:val="Bulletlist1"/>
      </w:pPr>
      <w:r>
        <w:t>The liability for the application is on the applicant and they are responsible for ensuring (and assuring the CA) that their contractor is suitably competent for the services being provided, and that the deliverables from the contractor are fit for purpose.</w:t>
      </w:r>
    </w:p>
    <w:p w14:paraId="03DC17C6" w14:textId="25BA86BF" w:rsidR="007E37FF" w:rsidRDefault="007E37FF" w:rsidP="007E37FF">
      <w:pPr>
        <w:pStyle w:val="Bulletlist1"/>
      </w:pPr>
      <w:r>
        <w:t xml:space="preserve">Evidence of the contractor’s competence and compliance with applicable standards should be made available to the CA, as well as the results of any audit carried out by the applicant on the contractor. </w:t>
      </w:r>
    </w:p>
    <w:p w14:paraId="2D88A846" w14:textId="6A2B2B0A" w:rsidR="007E37FF" w:rsidRDefault="007E37FF" w:rsidP="007E37FF">
      <w:pPr>
        <w:pStyle w:val="Bulletlist1"/>
      </w:pPr>
      <w:r>
        <w:t>The CA may require access to the contractor to establish the contractor’s suitability or for technical discussions regarding the deliverable; in this case the applicant’s contract with the contractor must be flexible enough to allow for this.</w:t>
      </w:r>
    </w:p>
    <w:p w14:paraId="47125420" w14:textId="6564CF9F" w:rsidR="007E37FF" w:rsidRPr="007E37FF" w:rsidRDefault="007E37FF" w:rsidP="007E37FF">
      <w:pPr>
        <w:pStyle w:val="Bulletlist1"/>
      </w:pPr>
      <w:r>
        <w:t>CA access to the contractor with regard to the submission will be arranged by and through the applicant.</w:t>
      </w:r>
    </w:p>
    <w:p w14:paraId="49F1FA4B" w14:textId="677DE625" w:rsidR="0008774E" w:rsidRDefault="0008774E" w:rsidP="0008774E">
      <w:pPr>
        <w:pStyle w:val="Heading2"/>
      </w:pPr>
      <w:bookmarkStart w:id="14" w:name="_Toc136940119"/>
      <w:r>
        <w:t>Desirable Qualities of Applications</w:t>
      </w:r>
      <w:bookmarkEnd w:id="14"/>
    </w:p>
    <w:p w14:paraId="2FDAFA19" w14:textId="34A0A958" w:rsidR="007E37FF" w:rsidRDefault="007E37FF" w:rsidP="007366B8">
      <w:pPr>
        <w:pStyle w:val="NumberedPara"/>
      </w:pPr>
      <w:r>
        <w:t>Submissions should:</w:t>
      </w:r>
    </w:p>
    <w:p w14:paraId="7EB9629A" w14:textId="1899C285" w:rsidR="007E37FF" w:rsidRDefault="00695C36" w:rsidP="007E37FF">
      <w:pPr>
        <w:pStyle w:val="Bulletlist1"/>
      </w:pPr>
      <w:r>
        <w:t>D</w:t>
      </w:r>
      <w:r w:rsidR="007E37FF">
        <w:t>escribe the safety-significant design features</w:t>
      </w:r>
      <w:r w:rsidR="00684FA1">
        <w:t>,</w:t>
      </w:r>
      <w:r w:rsidR="007E37FF">
        <w:t xml:space="preserve"> components of the design / consignment (i</w:t>
      </w:r>
      <w:r w:rsidR="00C9259E">
        <w:t>.</w:t>
      </w:r>
      <w:r w:rsidR="007E37FF">
        <w:t>e</w:t>
      </w:r>
      <w:r w:rsidR="00C9259E">
        <w:t>.</w:t>
      </w:r>
      <w:r w:rsidR="007E37FF">
        <w:t xml:space="preserve"> those which have an effect on safety)</w:t>
      </w:r>
      <w:r w:rsidR="00684FA1">
        <w:t>, human-based safety claims,</w:t>
      </w:r>
      <w:r w:rsidR="007E37FF">
        <w:t xml:space="preserve"> and their safety function;</w:t>
      </w:r>
    </w:p>
    <w:p w14:paraId="29089FC3" w14:textId="463470E3" w:rsidR="007E37FF" w:rsidRDefault="00695C36" w:rsidP="007E37FF">
      <w:pPr>
        <w:pStyle w:val="Bulletlist1"/>
      </w:pPr>
      <w:r>
        <w:t>D</w:t>
      </w:r>
      <w:r w:rsidR="007E37FF">
        <w:t>escribe the safety limits or constraints on these safety-significant design features and components, why they are needed and how they are derived;</w:t>
      </w:r>
    </w:p>
    <w:p w14:paraId="4AE5D262" w14:textId="3523D57D" w:rsidR="007E37FF" w:rsidRDefault="00695C36" w:rsidP="007E37FF">
      <w:pPr>
        <w:pStyle w:val="Bulletlist1"/>
      </w:pPr>
      <w:r>
        <w:t>J</w:t>
      </w:r>
      <w:r w:rsidR="007E37FF">
        <w:t>ustify claimed safe performance using appropriate and validated analysis methods;</w:t>
      </w:r>
    </w:p>
    <w:p w14:paraId="6DC4CB92" w14:textId="51ADF2A1" w:rsidR="007E37FF" w:rsidRDefault="00695C36" w:rsidP="007E37FF">
      <w:pPr>
        <w:pStyle w:val="Bulletlist1"/>
      </w:pPr>
      <w:r>
        <w:t>K</w:t>
      </w:r>
      <w:r w:rsidR="007E37FF">
        <w:t>eep the arguments simple – even if analysis is complex; and</w:t>
      </w:r>
    </w:p>
    <w:p w14:paraId="31C2954E" w14:textId="000D3417" w:rsidR="007E37FF" w:rsidRDefault="00695C36" w:rsidP="007E37FF">
      <w:pPr>
        <w:pStyle w:val="Bulletlist1"/>
      </w:pPr>
      <w:r>
        <w:t>P</w:t>
      </w:r>
      <w:r w:rsidR="007E37FF">
        <w:t>rovide consistency between the higher level safety report (e</w:t>
      </w:r>
      <w:r w:rsidR="00095B7E">
        <w:t>.</w:t>
      </w:r>
      <w:r w:rsidR="007E37FF">
        <w:t>g</w:t>
      </w:r>
      <w:r w:rsidR="00095B7E">
        <w:t>.</w:t>
      </w:r>
      <w:r w:rsidR="007E37FF">
        <w:t xml:space="preserve"> Part 1) and the supporting documentation / evidence.</w:t>
      </w:r>
    </w:p>
    <w:p w14:paraId="10E68F28" w14:textId="3D82AFD2" w:rsidR="007E37FF" w:rsidRDefault="007E37FF" w:rsidP="007366B8">
      <w:pPr>
        <w:pStyle w:val="NumberedPara"/>
      </w:pPr>
      <w:r>
        <w:t>Submissions should avoid:</w:t>
      </w:r>
    </w:p>
    <w:p w14:paraId="780E9F62" w14:textId="4FEB9E5C" w:rsidR="007E37FF" w:rsidRDefault="00695C36" w:rsidP="007E37FF">
      <w:pPr>
        <w:pStyle w:val="Bulletlist1"/>
      </w:pPr>
      <w:r>
        <w:t>P</w:t>
      </w:r>
      <w:r w:rsidR="007E37FF">
        <w:t>resenting unnecessary information, but be focussed on quality and clarity, not quantity;</w:t>
      </w:r>
    </w:p>
    <w:p w14:paraId="64057919" w14:textId="319C3450" w:rsidR="007E37FF" w:rsidRDefault="00695C36" w:rsidP="007E37FF">
      <w:pPr>
        <w:pStyle w:val="Bulletlist1"/>
      </w:pPr>
      <w:r>
        <w:t>L</w:t>
      </w:r>
      <w:r w:rsidR="007E37FF">
        <w:t>eaving ‘loose ends’ / gaps in arguments – this casts doubt on the applicant’s quality assurance and makes the regulator ask: ‘what else is wrong?’;</w:t>
      </w:r>
    </w:p>
    <w:p w14:paraId="41038FB8" w14:textId="183DBD55" w:rsidR="007E37FF" w:rsidRDefault="00695C36" w:rsidP="007E37FF">
      <w:pPr>
        <w:pStyle w:val="Bulletlist1"/>
      </w:pPr>
      <w:r>
        <w:t>U</w:t>
      </w:r>
      <w:r w:rsidR="007E37FF">
        <w:t>sing the CA as a peer reviewer – applicants should do their own internal quality checks and independent reviews; and</w:t>
      </w:r>
    </w:p>
    <w:p w14:paraId="40AD654D" w14:textId="65E8D063" w:rsidR="007E37FF" w:rsidRDefault="00695C36" w:rsidP="007E37FF">
      <w:pPr>
        <w:pStyle w:val="Bulletlist1"/>
      </w:pPr>
      <w:r>
        <w:lastRenderedPageBreak/>
        <w:t>B</w:t>
      </w:r>
      <w:r w:rsidR="007E37FF">
        <w:t>eing incomplete or having unresolved issues – any analysis and contractual conflicts should be resolved before formal submission to the regulator (notwithstanding any early engagement).</w:t>
      </w:r>
    </w:p>
    <w:p w14:paraId="5714248C" w14:textId="35962CD0" w:rsidR="007E37FF" w:rsidRDefault="007E37FF" w:rsidP="007366B8">
      <w:pPr>
        <w:pStyle w:val="NumberedPara"/>
      </w:pPr>
      <w:r>
        <w:t xml:space="preserve">The </w:t>
      </w:r>
      <w:r w:rsidR="00E26A66">
        <w:t xml:space="preserve">following sub-sections provide details of the </w:t>
      </w:r>
      <w:r>
        <w:t>desirable qualities of safety cases.</w:t>
      </w:r>
    </w:p>
    <w:p w14:paraId="3ACAE614" w14:textId="77777777" w:rsidR="007E37FF" w:rsidRPr="007E37FF" w:rsidRDefault="007E37FF" w:rsidP="00CC79F4">
      <w:pPr>
        <w:pStyle w:val="Heading3"/>
      </w:pPr>
      <w:r w:rsidRPr="007E37FF">
        <w:t>Intelligible</w:t>
      </w:r>
    </w:p>
    <w:p w14:paraId="14E9513B" w14:textId="71AC2BB7" w:rsidR="007E37FF" w:rsidRDefault="007E37FF" w:rsidP="00C60B43">
      <w:pPr>
        <w:pStyle w:val="NumberedPara"/>
      </w:pPr>
      <w:r>
        <w:t>The application, and safety case it contains, should be intelligible and structured logically to meet the needs of those who will use it. There should be a sufficient description of the design and/or operation, and all descriptions and terms should be easy to understand by the key users. All arguments should be cogent and be developed coherently. All references and supporting information should be identified and be easily accessible. There should be a clear trail from claims through the arguments to the evidence that fully supports the conclusions, together with commitments to any future actions. Operational requirements, including maintenance, etc</w:t>
      </w:r>
      <w:r w:rsidR="004C289A">
        <w:t>.</w:t>
      </w:r>
      <w:r>
        <w:t xml:space="preserve"> should be clearly defined.</w:t>
      </w:r>
    </w:p>
    <w:p w14:paraId="55DDEE3E" w14:textId="77777777" w:rsidR="007E37FF" w:rsidRDefault="007E37FF" w:rsidP="00CC79F4">
      <w:pPr>
        <w:pStyle w:val="Heading3"/>
      </w:pPr>
      <w:r w:rsidRPr="007E37FF">
        <w:t>Valid</w:t>
      </w:r>
      <w:r>
        <w:t xml:space="preserve"> </w:t>
      </w:r>
    </w:p>
    <w:p w14:paraId="3E09A800" w14:textId="37F85CE2" w:rsidR="007E37FF" w:rsidRDefault="007E37FF" w:rsidP="00C60B43">
      <w:pPr>
        <w:pStyle w:val="NumberedPara"/>
      </w:pPr>
      <w:r>
        <w:t>The application should be valid. It should accurately represent the intended design and manufacture, and the operational and managerial aspects. It should reflect changes that have arisen from previous modifications, revised operating methods, operating experience, examination and test results, different analytical methods, renewal reviews and any other appropriate trigger.</w:t>
      </w:r>
    </w:p>
    <w:p w14:paraId="137EDBEC" w14:textId="77777777" w:rsidR="007E37FF" w:rsidRDefault="007E37FF" w:rsidP="00CC79F4">
      <w:pPr>
        <w:pStyle w:val="Heading3"/>
      </w:pPr>
      <w:r w:rsidRPr="007E37FF">
        <w:t>Complete</w:t>
      </w:r>
      <w:r>
        <w:t xml:space="preserve"> </w:t>
      </w:r>
    </w:p>
    <w:p w14:paraId="04C7B0FF" w14:textId="1B5061CA" w:rsidR="007E37FF" w:rsidRDefault="007E37FF" w:rsidP="00C60B43">
      <w:pPr>
        <w:pStyle w:val="NumberedPara"/>
      </w:pPr>
      <w:r>
        <w:t xml:space="preserve">The safety case should be complete and contain the information necessary to show that the design, shipment and associated operations will be adequately safe and will be so over the period for which the safety case is valid, </w:t>
      </w:r>
      <w:r w:rsidR="008031FF">
        <w:t>i.e.</w:t>
      </w:r>
      <w:r>
        <w:t xml:space="preserve"> they will continue to meet all the applicable regulations (explaining why any regulations </w:t>
      </w:r>
      <w:r w:rsidR="00C33883">
        <w:t>are</w:t>
      </w:r>
      <w:r>
        <w:t xml:space="preserve"> not applicable). There should be reference out from the safety case to important supporting work. For package designs, the safety case should substantiate the design of the packaging for the authorized radioactive contents, including the internal components, materials, furniture</w:t>
      </w:r>
      <w:r w:rsidR="008031FF">
        <w:t>,</w:t>
      </w:r>
      <w:r>
        <w:t xml:space="preserve"> etc</w:t>
      </w:r>
      <w:r w:rsidR="0088166B">
        <w:t>.</w:t>
      </w:r>
      <w:r w:rsidR="008031FF">
        <w:t>.,</w:t>
      </w:r>
      <w:r>
        <w:t xml:space="preserve"> that are necessary for the packaging to perform the safety functions.</w:t>
      </w:r>
    </w:p>
    <w:p w14:paraId="7BDDEC51" w14:textId="77777777" w:rsidR="007E37FF" w:rsidRDefault="007E37FF" w:rsidP="00CC79F4">
      <w:pPr>
        <w:pStyle w:val="Heading3"/>
      </w:pPr>
      <w:r w:rsidRPr="007E37FF">
        <w:t>Evidential</w:t>
      </w:r>
    </w:p>
    <w:p w14:paraId="0BBFDCC9" w14:textId="09462B16" w:rsidR="007E37FF" w:rsidRDefault="007E37FF" w:rsidP="00C60B43">
      <w:pPr>
        <w:pStyle w:val="NumberedPara"/>
      </w:pPr>
      <w:r>
        <w:t xml:space="preserve">The safety case should be evidential. </w:t>
      </w:r>
      <w:r w:rsidR="007702F6">
        <w:t xml:space="preserve">The safety case should include verifiable and relevant evidence </w:t>
      </w:r>
      <w:r w:rsidR="00623BEA">
        <w:t xml:space="preserve">supporting the arguments </w:t>
      </w:r>
      <w:r>
        <w:t>developed (</w:t>
      </w:r>
      <w:r w:rsidR="008E562F">
        <w:t>i.e.</w:t>
      </w:r>
      <w:r>
        <w:t xml:space="preserve"> documented, measurable, etc</w:t>
      </w:r>
      <w:r w:rsidR="0088166B">
        <w:t>.</w:t>
      </w:r>
      <w:r>
        <w:t>). This should encompass the following:</w:t>
      </w:r>
    </w:p>
    <w:p w14:paraId="5A85BA26" w14:textId="74E4E8CD" w:rsidR="007E37FF" w:rsidRDefault="007E37FF" w:rsidP="007E37FF">
      <w:pPr>
        <w:pStyle w:val="Bulletlist1"/>
      </w:pPr>
      <w:r>
        <w:t>Identification of key assumptions and the basis for these.</w:t>
      </w:r>
    </w:p>
    <w:p w14:paraId="5743274F" w14:textId="218A7D7C" w:rsidR="007E37FF" w:rsidRDefault="007E37FF" w:rsidP="007E37FF">
      <w:pPr>
        <w:pStyle w:val="Bulletlist1"/>
      </w:pPr>
      <w:r>
        <w:t>The degree of sensitivity to key assumptions (sensitivity studies may be needed for key data assumptions).</w:t>
      </w:r>
    </w:p>
    <w:p w14:paraId="4647E3EE" w14:textId="0BC310CE" w:rsidR="007E37FF" w:rsidRDefault="007E37FF" w:rsidP="007E37FF">
      <w:pPr>
        <w:pStyle w:val="Bulletlist1"/>
      </w:pPr>
      <w:r>
        <w:lastRenderedPageBreak/>
        <w:t>The link between engineering and safety provisions should be demonstrated.</w:t>
      </w:r>
    </w:p>
    <w:p w14:paraId="4F000052" w14:textId="6B5E9FDA" w:rsidR="007E37FF" w:rsidRDefault="007E37FF" w:rsidP="007E37FF">
      <w:pPr>
        <w:pStyle w:val="Bulletlist1"/>
      </w:pPr>
      <w:r>
        <w:t>Claims relating to the integrity or performance of engineered components should be justified in the engineering substantiation part of the application. The necessary understanding of the behaviour of novel aspects of the design should be established from appropriate research and development.</w:t>
      </w:r>
    </w:p>
    <w:p w14:paraId="4E1921FB" w14:textId="46870339" w:rsidR="007E37FF" w:rsidRDefault="007E37FF" w:rsidP="007E37FF">
      <w:pPr>
        <w:pStyle w:val="Bulletlist1"/>
      </w:pPr>
      <w:r>
        <w:t>The analytical methods used to substantiate safety, including any computer code analyses, should be shown to be fit for purpose with adequate verification and validation. If a limit on the validity of an approach exists, evidence should be provided to show that the approach is used within the valid region; the use of inferred or extrapolated information needs to be carefully substantiated.</w:t>
      </w:r>
    </w:p>
    <w:p w14:paraId="35396C02" w14:textId="0C995609" w:rsidR="007E37FF" w:rsidRDefault="007E37FF" w:rsidP="007E37FF">
      <w:pPr>
        <w:pStyle w:val="Bulletlist1"/>
      </w:pPr>
      <w:r>
        <w:t>Where safety is demonstrated using claims based on previous experience, sufficient evidence should be presented to show that it is relevant to the current application.</w:t>
      </w:r>
    </w:p>
    <w:p w14:paraId="76F149B0" w14:textId="77777777" w:rsidR="007E37FF" w:rsidRDefault="007E37FF" w:rsidP="00CC79F4">
      <w:pPr>
        <w:pStyle w:val="Heading3"/>
      </w:pPr>
      <w:r w:rsidRPr="007E37FF">
        <w:t>Robust</w:t>
      </w:r>
    </w:p>
    <w:p w14:paraId="21A4D149" w14:textId="5E0ACEFB" w:rsidR="007E37FF" w:rsidRDefault="007E37FF" w:rsidP="00C60B43">
      <w:pPr>
        <w:pStyle w:val="NumberedPara"/>
      </w:pPr>
      <w:r>
        <w:t xml:space="preserve">The safety case should be robust. It should demonstrate that the design conforms to good engineering practice, sound safety principles and the requirements of the regulations, including appropriate conservatism where there is uncertainty, and adequate safety margins. </w:t>
      </w:r>
    </w:p>
    <w:p w14:paraId="4AFDAA2C" w14:textId="77777777" w:rsidR="007E37FF" w:rsidRDefault="007E37FF" w:rsidP="00CC79F4">
      <w:pPr>
        <w:pStyle w:val="Heading3"/>
      </w:pPr>
      <w:r w:rsidRPr="007E37FF">
        <w:t>Integrated</w:t>
      </w:r>
    </w:p>
    <w:p w14:paraId="00762CDC" w14:textId="02EA131F" w:rsidR="007E37FF" w:rsidRDefault="007E37FF" w:rsidP="00C60B43">
      <w:pPr>
        <w:pStyle w:val="NumberedPara"/>
      </w:pPr>
      <w:r>
        <w:t>The safety case should be integrated. The various parts of the application should be internally consistent. Operational assumptions and controls, and those needed for shipment, should be identified and substantiated.</w:t>
      </w:r>
    </w:p>
    <w:p w14:paraId="50A3A35A" w14:textId="77777777" w:rsidR="007E37FF" w:rsidRDefault="007E37FF" w:rsidP="00CC79F4">
      <w:pPr>
        <w:pStyle w:val="Heading3"/>
      </w:pPr>
      <w:r w:rsidRPr="007E37FF">
        <w:t>Balanced</w:t>
      </w:r>
      <w:r>
        <w:t xml:space="preserve"> </w:t>
      </w:r>
    </w:p>
    <w:p w14:paraId="30BE8CB6" w14:textId="202EA7EC" w:rsidR="007E37FF" w:rsidRDefault="007E37FF" w:rsidP="00C60B43">
      <w:pPr>
        <w:pStyle w:val="NumberedPara"/>
      </w:pPr>
      <w:r>
        <w:t>The safety case should present a balanced account, taking into consideration the level of knowledge and understanding.</w:t>
      </w:r>
      <w:r w:rsidR="00436752">
        <w:t xml:space="preserve"> It should identify a</w:t>
      </w:r>
      <w:r>
        <w:t xml:space="preserve">reas of relative uncertainty, not just strengths and claimed conservatisms. </w:t>
      </w:r>
      <w:r w:rsidR="002D5EC3">
        <w:t>It should clearly and openly explain the l</w:t>
      </w:r>
      <w:r>
        <w:t>imitations or potential areas for improvement in the design or operation (</w:t>
      </w:r>
      <w:r w:rsidR="002D5EC3">
        <w:t>e.g.</w:t>
      </w:r>
      <w:r>
        <w:t xml:space="preserve"> in the summary or main conclusions of the safety case).</w:t>
      </w:r>
    </w:p>
    <w:p w14:paraId="1928FF55" w14:textId="77777777" w:rsidR="007E37FF" w:rsidRDefault="007E37FF" w:rsidP="00CC79F4">
      <w:pPr>
        <w:pStyle w:val="Heading3"/>
      </w:pPr>
      <w:r w:rsidRPr="00CC79F4">
        <w:t>Forward</w:t>
      </w:r>
      <w:r>
        <w:t xml:space="preserve"> </w:t>
      </w:r>
      <w:r w:rsidRPr="007E37FF">
        <w:t>looking</w:t>
      </w:r>
      <w:r>
        <w:t xml:space="preserve"> </w:t>
      </w:r>
    </w:p>
    <w:p w14:paraId="63F2FC0C" w14:textId="0FD5FD51" w:rsidR="007E37FF" w:rsidRPr="007E37FF" w:rsidRDefault="007E37FF" w:rsidP="00C60B43">
      <w:pPr>
        <w:pStyle w:val="NumberedPara"/>
      </w:pPr>
      <w:r>
        <w:t xml:space="preserve">The safety case should be forward looking and demonstrate that the proposed design will remain safe throughout a defined </w:t>
      </w:r>
      <w:r w:rsidR="00C809A4">
        <w:t>lifetime</w:t>
      </w:r>
      <w:r>
        <w:t xml:space="preserve">, taking account of the effects of ageing and degradation. It should identify the important aspects of operation and management that maintain safety, including maintenance, inspection and testing regimes, and operational limits and conditions. It should identify any potential modifications / improvements along with the timescale for their implementation. It </w:t>
      </w:r>
      <w:r w:rsidR="00CB6C35">
        <w:t>is also</w:t>
      </w:r>
      <w:r>
        <w:t xml:space="preserve"> desirable to consider the impact of known, future changes to the regulations.</w:t>
      </w:r>
    </w:p>
    <w:p w14:paraId="0DA6D273" w14:textId="5D06A529" w:rsidR="0008774E" w:rsidRDefault="0008774E" w:rsidP="00E707A4">
      <w:pPr>
        <w:pStyle w:val="Heading1"/>
      </w:pPr>
      <w:bookmarkStart w:id="15" w:name="_Toc136940120"/>
      <w:r>
        <w:lastRenderedPageBreak/>
        <w:t>Validations</w:t>
      </w:r>
      <w:bookmarkEnd w:id="15"/>
    </w:p>
    <w:p w14:paraId="131DF5B3" w14:textId="5E94F2DA" w:rsidR="00CC79F4" w:rsidRDefault="00CB6C35" w:rsidP="00C60B43">
      <w:pPr>
        <w:pStyle w:val="NumberedPara"/>
      </w:pPr>
      <w:r>
        <w:t>C</w:t>
      </w:r>
      <w:r w:rsidR="00CC79F4">
        <w:t>ertain designs and shipments</w:t>
      </w:r>
      <w:r w:rsidRPr="00CB6C35">
        <w:t xml:space="preserve"> </w:t>
      </w:r>
      <w:r>
        <w:t>require multilateral approval</w:t>
      </w:r>
      <w:r w:rsidR="00CC79F4">
        <w:t xml:space="preserve">. The first approval is by the CA of the country of origin and then subsequent approvals are issued by the CAs of the countries through or into which the shipment is made. </w:t>
      </w:r>
      <w:r w:rsidR="00845A0E">
        <w:t>These subsequent countries may grant m</w:t>
      </w:r>
      <w:r w:rsidR="00CC79F4">
        <w:t>ultilateral approvals either by a new CoA or</w:t>
      </w:r>
      <w:r w:rsidR="005A4A8D">
        <w:t xml:space="preserve">, if the relevant CA does </w:t>
      </w:r>
      <w:r w:rsidR="0041229D">
        <w:t>not apply any additional controls or restrictions,</w:t>
      </w:r>
      <w:r w:rsidR="00CC79F4">
        <w:t xml:space="preserve"> by the validation of the original CoA.</w:t>
      </w:r>
    </w:p>
    <w:p w14:paraId="7F6783D4" w14:textId="5887C29C" w:rsidR="00CC79F4" w:rsidRDefault="002F7175" w:rsidP="00C60B43">
      <w:pPr>
        <w:pStyle w:val="NumberedPara"/>
      </w:pPr>
      <w:r>
        <w:t>T</w:t>
      </w:r>
      <w:r w:rsidR="00CC79F4">
        <w:t>he regulations state that validation may take the form of an endorsement on the original certificate or the issuance of a separate endorsement, annex, supplement, etc. ONR takes advantage of this flexibility and uses a number of formats for the different types of validation. However if ONR finds that it needs to impose additional controls or restrictions to those stated on the original certificate, then ONR will issue a GB CoA.</w:t>
      </w:r>
    </w:p>
    <w:p w14:paraId="413957DF" w14:textId="11D7DCBD" w:rsidR="00CC79F4" w:rsidRDefault="00CC79F4" w:rsidP="00C60B43">
      <w:pPr>
        <w:pStyle w:val="NumberedPara"/>
      </w:pPr>
      <w:r>
        <w:t xml:space="preserve">For validations of </w:t>
      </w:r>
      <w:proofErr w:type="spellStart"/>
      <w:r>
        <w:t>CoAs</w:t>
      </w:r>
      <w:proofErr w:type="spellEnd"/>
      <w:r>
        <w:t>,</w:t>
      </w:r>
      <w:r w:rsidR="00862883">
        <w:t xml:space="preserve"> ONR </w:t>
      </w:r>
      <w:r w:rsidR="005A09C9">
        <w:t>uses</w:t>
      </w:r>
      <w:r>
        <w:t xml:space="preserve"> a format </w:t>
      </w:r>
      <w:r w:rsidR="00423946">
        <w:t>like</w:t>
      </w:r>
      <w:r>
        <w:t xml:space="preserve"> a CoA</w:t>
      </w:r>
      <w:r w:rsidR="005A09C9">
        <w:t xml:space="preserve">, </w:t>
      </w:r>
      <w:r>
        <w:t xml:space="preserve">except the original CA identification mark is retained rather than assigning a GB mark. These are referred to as Validations rather than </w:t>
      </w:r>
      <w:proofErr w:type="spellStart"/>
      <w:r>
        <w:t>CoAs</w:t>
      </w:r>
      <w:proofErr w:type="spellEnd"/>
      <w:r>
        <w:t xml:space="preserve">, to avoid confusion. </w:t>
      </w:r>
    </w:p>
    <w:p w14:paraId="4FECE997" w14:textId="6EA9F58E" w:rsidR="00CC79F4" w:rsidRDefault="00CC79F4" w:rsidP="00C60B43">
      <w:pPr>
        <w:pStyle w:val="NumberedPara"/>
      </w:pPr>
      <w:r>
        <w:t xml:space="preserve">For the situation where a </w:t>
      </w:r>
      <w:r w:rsidR="00E41F15">
        <w:t>ship transport</w:t>
      </w:r>
      <w:r w:rsidR="00182604">
        <w:t>ing</w:t>
      </w:r>
      <w:r w:rsidR="00E41F15">
        <w:t xml:space="preserve"> a </w:t>
      </w:r>
      <w:r w:rsidR="00400AD4">
        <w:t xml:space="preserve">CA approved package containing </w:t>
      </w:r>
      <w:r>
        <w:t xml:space="preserve">fissile </w:t>
      </w:r>
      <w:r w:rsidR="00400AD4">
        <w:t>material</w:t>
      </w:r>
      <w:r>
        <w:t xml:space="preserve"> enters a UK </w:t>
      </w:r>
      <w:r w:rsidR="00BF10D7">
        <w:t>port,</w:t>
      </w:r>
      <w:r>
        <w:t xml:space="preserve"> but the package does not come ashore, ONR issues a validation that it refers to as a Transit Approval. This document is in the form of a letter from ONR.</w:t>
      </w:r>
    </w:p>
    <w:p w14:paraId="4ECA2F0E" w14:textId="395E7E0C" w:rsidR="00CC79F4" w:rsidRDefault="00CC79F4" w:rsidP="00C60B43">
      <w:pPr>
        <w:pStyle w:val="NumberedPara"/>
      </w:pPr>
      <w:r>
        <w:t xml:space="preserve">Designs requiring only unilateral approval but originating outside the contracting parties to ADR and RID require further endorsement or approval by a contracting party. ONR may validate these by countersigning the original certificate, following a proportionate degree of assessment. </w:t>
      </w:r>
    </w:p>
    <w:p w14:paraId="62FAF37A" w14:textId="33C9335B" w:rsidR="00CC79F4" w:rsidRPr="00CC79F4" w:rsidRDefault="00CC79F4" w:rsidP="00C60B43">
      <w:pPr>
        <w:pStyle w:val="NumberedPara"/>
      </w:pPr>
      <w:r>
        <w:t xml:space="preserve">Applications to ONR for CA validation should include the information described in ‘Application Part 1’ </w:t>
      </w:r>
      <w:r w:rsidR="00B530FF">
        <w:t>above and</w:t>
      </w:r>
      <w:r>
        <w:t xml:space="preserve"> should include an English </w:t>
      </w:r>
      <w:r w:rsidR="00126E8B">
        <w:t>translation,</w:t>
      </w:r>
      <w:r>
        <w:t xml:space="preserve"> as necessary. For a renewal of a validation previously </w:t>
      </w:r>
      <w:r w:rsidR="00FC5350">
        <w:t>issued</w:t>
      </w:r>
      <w:r>
        <w:t xml:space="preserve"> in the UK </w:t>
      </w:r>
      <w:r w:rsidR="002307FD">
        <w:t xml:space="preserve">the applicant should provide </w:t>
      </w:r>
      <w:r>
        <w:t xml:space="preserve">a design review in accordance with </w:t>
      </w:r>
      <w:r w:rsidRPr="00BE50D5">
        <w:t xml:space="preserve">section </w:t>
      </w:r>
      <w:r w:rsidR="00BE50D5">
        <w:t>5</w:t>
      </w:r>
      <w:r>
        <w:t xml:space="preserve"> below. </w:t>
      </w:r>
      <w:r w:rsidR="00F17649">
        <w:t>The applicant must provide a</w:t>
      </w:r>
      <w:r>
        <w:t xml:space="preserve"> copy of the overseas Approval Certificate. It is particularly useful to provide a route map (</w:t>
      </w:r>
      <w:r w:rsidRPr="00EA03F3">
        <w:t xml:space="preserve">paragraph </w:t>
      </w:r>
      <w:r w:rsidR="007034EF">
        <w:fldChar w:fldCharType="begin"/>
      </w:r>
      <w:r w:rsidR="007034EF">
        <w:instrText xml:space="preserve"> REF _Ref136938874 \r \h </w:instrText>
      </w:r>
      <w:r w:rsidR="007034EF">
        <w:fldChar w:fldCharType="separate"/>
      </w:r>
      <w:r w:rsidR="007034EF">
        <w:t>18</w:t>
      </w:r>
      <w:r w:rsidR="007034EF">
        <w:fldChar w:fldCharType="end"/>
      </w:r>
      <w:r w:rsidR="007034EF">
        <w:t>)</w:t>
      </w:r>
      <w:r>
        <w:t xml:space="preserve"> cross-referencing the submission to the regulations if the format of the overseas safety case is different to </w:t>
      </w:r>
      <w:r w:rsidR="00D47A61">
        <w:t>that specified in SSG-66</w:t>
      </w:r>
      <w:r>
        <w:t xml:space="preserve">. Where appropriate </w:t>
      </w:r>
      <w:r w:rsidR="00B66AEB">
        <w:t xml:space="preserve">the applicant should also provide </w:t>
      </w:r>
      <w:r>
        <w:t>the design substantiation (as described under Application Part 2)</w:t>
      </w:r>
      <w:r w:rsidR="00B66AEB">
        <w:t xml:space="preserve">, </w:t>
      </w:r>
      <w:r>
        <w:t>especially if this is available in electronic form.</w:t>
      </w:r>
    </w:p>
    <w:p w14:paraId="2EB85432" w14:textId="656ADF50" w:rsidR="0008774E" w:rsidRDefault="0008774E" w:rsidP="00E707A4">
      <w:pPr>
        <w:pStyle w:val="Heading1"/>
      </w:pPr>
      <w:bookmarkStart w:id="16" w:name="_Toc136940121"/>
      <w:r>
        <w:t>Renewals and Extensions</w:t>
      </w:r>
      <w:bookmarkEnd w:id="16"/>
    </w:p>
    <w:p w14:paraId="5005F433" w14:textId="41ABDFA9" w:rsidR="00E707A4" w:rsidRDefault="00E707A4" w:rsidP="00E707A4">
      <w:pPr>
        <w:pStyle w:val="Heading2"/>
      </w:pPr>
      <w:bookmarkStart w:id="17" w:name="_Toc136940122"/>
      <w:r>
        <w:t>Renewals</w:t>
      </w:r>
      <w:bookmarkEnd w:id="17"/>
    </w:p>
    <w:p w14:paraId="59A38577" w14:textId="6D3FD4DA" w:rsidR="00CC79F4" w:rsidRDefault="00126E8B" w:rsidP="00C60B43">
      <w:pPr>
        <w:pStyle w:val="NumberedPara"/>
      </w:pPr>
      <w:r>
        <w:t xml:space="preserve">ONR grants, at its discretion, </w:t>
      </w:r>
      <w:proofErr w:type="spellStart"/>
      <w:r w:rsidR="00CC79F4">
        <w:t>CoAs</w:t>
      </w:r>
      <w:proofErr w:type="spellEnd"/>
      <w:r w:rsidR="00CC79F4">
        <w:t xml:space="preserve"> for a period of up to five years. If </w:t>
      </w:r>
      <w:r w:rsidR="00627B72">
        <w:t xml:space="preserve">the applicant intends </w:t>
      </w:r>
      <w:r w:rsidR="006924C6">
        <w:t xml:space="preserve">to use </w:t>
      </w:r>
      <w:r w:rsidR="00CC79F4">
        <w:t xml:space="preserve">the design, or </w:t>
      </w:r>
      <w:r w:rsidR="006924C6">
        <w:t xml:space="preserve">make </w:t>
      </w:r>
      <w:r w:rsidR="00CC79F4">
        <w:t xml:space="preserve">shipments, after the certificate expiry date, </w:t>
      </w:r>
      <w:r w:rsidR="002B2862">
        <w:t>it must</w:t>
      </w:r>
      <w:r w:rsidR="001B13A9">
        <w:t xml:space="preserve"> </w:t>
      </w:r>
      <w:r w:rsidR="002B2862">
        <w:t xml:space="preserve">make </w:t>
      </w:r>
      <w:r w:rsidR="00CC79F4">
        <w:t>an application for renewal.</w:t>
      </w:r>
    </w:p>
    <w:p w14:paraId="7143FCC5" w14:textId="669E6760" w:rsidR="00CC79F4" w:rsidRDefault="00CC79F4" w:rsidP="00C60B43">
      <w:pPr>
        <w:pStyle w:val="NumberedPara"/>
      </w:pPr>
      <w:r>
        <w:lastRenderedPageBreak/>
        <w:t>Applications for renewal should include the documentation to justify safety (</w:t>
      </w:r>
      <w:r w:rsidR="00191E64">
        <w:t>i.e.</w:t>
      </w:r>
      <w:r>
        <w:t xml:space="preserve"> the safety case) over the renewal period, and a periodic design review report</w:t>
      </w:r>
      <w:r w:rsidR="001B13A9">
        <w:t xml:space="preserve"> (</w:t>
      </w:r>
      <w:r w:rsidR="00916958">
        <w:t>paragraph</w:t>
      </w:r>
      <w:r w:rsidR="00912AFE">
        <w:t xml:space="preserve"> </w:t>
      </w:r>
      <w:r w:rsidR="00912AFE">
        <w:fldChar w:fldCharType="begin"/>
      </w:r>
      <w:r w:rsidR="00912AFE">
        <w:instrText xml:space="preserve"> REF _Ref136939079 \r \h </w:instrText>
      </w:r>
      <w:r w:rsidR="00912AFE">
        <w:fldChar w:fldCharType="separate"/>
      </w:r>
      <w:r w:rsidR="00912AFE">
        <w:t>69</w:t>
      </w:r>
      <w:r w:rsidR="00912AFE">
        <w:fldChar w:fldCharType="end"/>
      </w:r>
      <w:r w:rsidR="001B13A9">
        <w:t>)</w:t>
      </w:r>
      <w:r>
        <w:t xml:space="preserve">. Where there have been </w:t>
      </w:r>
      <w:r w:rsidR="007D5E98">
        <w:t>few</w:t>
      </w:r>
      <w:r>
        <w:t xml:space="preserve"> or only minor changes, the periodic design review report may in effect become part of the safety case for the renewal period, with the existing safety documentation. In this case the revisions to the existing safety case documentation will be mostly administrative, and </w:t>
      </w:r>
      <w:r w:rsidR="00282CD7">
        <w:t xml:space="preserve">the periodic design review </w:t>
      </w:r>
      <w:r w:rsidR="00CF4DEC">
        <w:t xml:space="preserve">report will present the </w:t>
      </w:r>
      <w:r>
        <w:t xml:space="preserve">justification of any changes. </w:t>
      </w:r>
    </w:p>
    <w:p w14:paraId="584509E6" w14:textId="6E7026FD" w:rsidR="00CC79F4" w:rsidRDefault="004B5BE8" w:rsidP="00C60B43">
      <w:pPr>
        <w:pStyle w:val="NumberedPara"/>
      </w:pPr>
      <w:r>
        <w:t xml:space="preserve">A new revision of the safety case may be </w:t>
      </w:r>
      <w:r w:rsidR="0000184F">
        <w:t xml:space="preserve">appropriate </w:t>
      </w:r>
      <w:r w:rsidR="00423946">
        <w:t>where</w:t>
      </w:r>
      <w:r w:rsidR="00CC79F4">
        <w:t xml:space="preserve"> significant changes to the safety case are necessary, or to consolidate the accumulated effects of changes over </w:t>
      </w:r>
      <w:r w:rsidR="00423946">
        <w:t>several</w:t>
      </w:r>
      <w:r w:rsidR="00CC79F4">
        <w:t xml:space="preserve"> renewals</w:t>
      </w:r>
      <w:r w:rsidR="00137BAC">
        <w:t xml:space="preserve">. A separate </w:t>
      </w:r>
      <w:r w:rsidR="00CC79F4">
        <w:t xml:space="preserve">periodic design review report </w:t>
      </w:r>
      <w:r w:rsidR="00C337CB">
        <w:t>should explain</w:t>
      </w:r>
      <w:r w:rsidR="00CC79F4">
        <w:t xml:space="preserve"> the changes that have been made. </w:t>
      </w:r>
    </w:p>
    <w:p w14:paraId="6B99B1F7" w14:textId="00F4E5EB" w:rsidR="00CC79F4" w:rsidRDefault="00ED0245" w:rsidP="00C60B43">
      <w:pPr>
        <w:pStyle w:val="NumberedPara"/>
      </w:pPr>
      <w:r>
        <w:t>A</w:t>
      </w:r>
      <w:r w:rsidR="00CC79F4">
        <w:t>ll modifications that have been appended to the previous certificate of approval must be consolidated within the renewal safety case</w:t>
      </w:r>
      <w:r w:rsidR="00855300">
        <w:t>. T</w:t>
      </w:r>
      <w:r w:rsidR="00CC79F4">
        <w:t>his includes any modifications that did not originally require competent authority approval.</w:t>
      </w:r>
    </w:p>
    <w:p w14:paraId="024D42C7" w14:textId="02449FF2" w:rsidR="00CC79F4" w:rsidRDefault="00855300" w:rsidP="00C60B43">
      <w:pPr>
        <w:pStyle w:val="NumberedPara"/>
      </w:pPr>
      <w:r>
        <w:t>T</w:t>
      </w:r>
      <w:r w:rsidR="00CC79F4">
        <w:t xml:space="preserve">he periodic design review report will be an important focus of the ONR assessment. It </w:t>
      </w:r>
      <w:r w:rsidR="00FA5BA5">
        <w:t xml:space="preserve">can </w:t>
      </w:r>
      <w:r w:rsidR="00CC79F4">
        <w:t>lead to an earlier response and lower charges, if applicable. Renewal applications should also include a route map (</w:t>
      </w:r>
      <w:r w:rsidR="00801DD3">
        <w:t>paragraph 18</w:t>
      </w:r>
      <w:r w:rsidR="00CC79F4">
        <w:t>). The periodic design review should be systematic and comprehensive, proportionate in depth taking account of the potential hazards</w:t>
      </w:r>
      <w:r w:rsidR="00DA22D2">
        <w:t>,</w:t>
      </w:r>
      <w:r w:rsidR="00CC79F4">
        <w:t xml:space="preserve"> conducted by a competent person(s</w:t>
      </w:r>
      <w:r w:rsidR="00C01008">
        <w:t>) and</w:t>
      </w:r>
      <w:r w:rsidR="00CC79F4">
        <w:t xml:space="preserve"> subjected to an independent peer review. </w:t>
      </w:r>
    </w:p>
    <w:p w14:paraId="69076B16" w14:textId="562C8BA0" w:rsidR="00CC79F4" w:rsidRDefault="00CC79F4" w:rsidP="00C60B43">
      <w:pPr>
        <w:pStyle w:val="NumberedPara"/>
      </w:pPr>
      <w:bookmarkStart w:id="18" w:name="_Ref136939079"/>
      <w:r>
        <w:t xml:space="preserve">The periodic design review should </w:t>
      </w:r>
      <w:r w:rsidR="006B1C3B">
        <w:t>consider</w:t>
      </w:r>
      <w:r>
        <w:t xml:space="preserve"> the impact of the following on the safety of the design and its operation:</w:t>
      </w:r>
      <w:bookmarkEnd w:id="18"/>
      <w:r>
        <w:t xml:space="preserve"> </w:t>
      </w:r>
    </w:p>
    <w:p w14:paraId="5CA41DEF" w14:textId="1DB20CD5" w:rsidR="00CC79F4" w:rsidRDefault="004658B4" w:rsidP="00CC79F4">
      <w:pPr>
        <w:pStyle w:val="Bulletlist1"/>
      </w:pPr>
      <w:r>
        <w:t>C</w:t>
      </w:r>
      <w:r w:rsidR="00CC79F4">
        <w:t xml:space="preserve">hanges in relevant standards, regulations, criteria and methodologies (including possible changes in the circumstances or ranges for which they are valid); </w:t>
      </w:r>
    </w:p>
    <w:p w14:paraId="1F1D3CBB" w14:textId="4864FC90" w:rsidR="00CC79F4" w:rsidRDefault="004658B4" w:rsidP="00CC79F4">
      <w:pPr>
        <w:pStyle w:val="Bulletlist1"/>
      </w:pPr>
      <w:r>
        <w:t>C</w:t>
      </w:r>
      <w:r w:rsidR="00CC79F4">
        <w:t>hanges in technology (e</w:t>
      </w:r>
      <w:r>
        <w:t>.</w:t>
      </w:r>
      <w:r w:rsidR="00CC79F4">
        <w:t>g</w:t>
      </w:r>
      <w:r>
        <w:t>.</w:t>
      </w:r>
      <w:r w:rsidR="00CC79F4">
        <w:t xml:space="preserve"> research findings, inspection techniques</w:t>
      </w:r>
      <w:r>
        <w:t>, etc.</w:t>
      </w:r>
      <w:r w:rsidR="00CC79F4">
        <w:t>) or in knowledge (e</w:t>
      </w:r>
      <w:r>
        <w:t>.</w:t>
      </w:r>
      <w:r w:rsidR="00CC79F4">
        <w:t>g</w:t>
      </w:r>
      <w:r>
        <w:t>.</w:t>
      </w:r>
      <w:r w:rsidR="00CC79F4">
        <w:t xml:space="preserve"> operational experience, physical property data</w:t>
      </w:r>
      <w:r>
        <w:t>, etc.</w:t>
      </w:r>
      <w:r w:rsidR="00CC79F4">
        <w:t xml:space="preserve">); </w:t>
      </w:r>
    </w:p>
    <w:p w14:paraId="3FAFA2C8" w14:textId="0959CD54" w:rsidR="00CC79F4" w:rsidRDefault="004658B4" w:rsidP="00CC79F4">
      <w:pPr>
        <w:pStyle w:val="Bulletlist1"/>
      </w:pPr>
      <w:r>
        <w:t>T</w:t>
      </w:r>
      <w:r w:rsidR="00CC79F4">
        <w:t>he continuing adequacy of the management system for design, manufacture, maintenance and repair of packaging, and the preparation, consigning, loading, carriage including in-transit storage, unloading and receipt;</w:t>
      </w:r>
    </w:p>
    <w:p w14:paraId="5004AC1F" w14:textId="08DFABD1" w:rsidR="00CC79F4" w:rsidRDefault="004658B4" w:rsidP="00CC79F4">
      <w:pPr>
        <w:pStyle w:val="Bulletlist1"/>
      </w:pPr>
      <w:r>
        <w:t>C</w:t>
      </w:r>
      <w:r w:rsidR="00CC79F4">
        <w:t xml:space="preserve">hanges in design safety parameters due to modifications; </w:t>
      </w:r>
    </w:p>
    <w:p w14:paraId="5E4BF674" w14:textId="507CA58C" w:rsidR="00CC79F4" w:rsidRDefault="004658B4" w:rsidP="00CC79F4">
      <w:pPr>
        <w:pStyle w:val="Bulletlist1"/>
      </w:pPr>
      <w:r>
        <w:t>R</w:t>
      </w:r>
      <w:r w:rsidR="00CC79F4">
        <w:t xml:space="preserve">evised operating methods; </w:t>
      </w:r>
    </w:p>
    <w:p w14:paraId="233AAE23" w14:textId="6A76FBA9" w:rsidR="00CC79F4" w:rsidRDefault="004658B4" w:rsidP="00CC79F4">
      <w:pPr>
        <w:pStyle w:val="Bulletlist1"/>
      </w:pPr>
      <w:r>
        <w:t>C</w:t>
      </w:r>
      <w:r w:rsidR="00CC79F4">
        <w:t xml:space="preserve">hanges in use of the design; </w:t>
      </w:r>
    </w:p>
    <w:p w14:paraId="1D374112" w14:textId="4AF54340" w:rsidR="00CC79F4" w:rsidRDefault="004658B4" w:rsidP="00CC79F4">
      <w:pPr>
        <w:pStyle w:val="Bulletlist1"/>
      </w:pPr>
      <w:r>
        <w:t>O</w:t>
      </w:r>
      <w:r w:rsidR="00CC79F4">
        <w:t xml:space="preserve">perational experience, including any incidents; </w:t>
      </w:r>
    </w:p>
    <w:p w14:paraId="6BC80689" w14:textId="4EF43857" w:rsidR="00CC79F4" w:rsidRDefault="004658B4" w:rsidP="00CC79F4">
      <w:pPr>
        <w:pStyle w:val="Bulletlist1"/>
      </w:pPr>
      <w:r>
        <w:t>M</w:t>
      </w:r>
      <w:r w:rsidR="00CC79F4">
        <w:t xml:space="preserve">aintenance and inspection arrangements and history; </w:t>
      </w:r>
    </w:p>
    <w:p w14:paraId="73AF9C0B" w14:textId="346F1B65" w:rsidR="00CC79F4" w:rsidRDefault="004658B4" w:rsidP="00CC79F4">
      <w:pPr>
        <w:pStyle w:val="Bulletlist1"/>
      </w:pPr>
      <w:r>
        <w:lastRenderedPageBreak/>
        <w:t>T</w:t>
      </w:r>
      <w:r w:rsidR="00CC79F4">
        <w:t xml:space="preserve">he effects of ageing, degradation and obsolescence on components’ ability to deliver their safety function; </w:t>
      </w:r>
    </w:p>
    <w:p w14:paraId="33024FF4" w14:textId="4C2BD3C0" w:rsidR="00CC79F4" w:rsidRDefault="004658B4" w:rsidP="00CC79F4">
      <w:pPr>
        <w:pStyle w:val="Bulletlist1"/>
      </w:pPr>
      <w:r>
        <w:t>T</w:t>
      </w:r>
      <w:r w:rsidR="00CC79F4">
        <w:t xml:space="preserve">he erosion of safety margins, and confirmation they will remain adequate for the renewal period; </w:t>
      </w:r>
    </w:p>
    <w:p w14:paraId="7AC20427" w14:textId="6A3A77EF" w:rsidR="00CC79F4" w:rsidRDefault="004658B4" w:rsidP="00CC79F4">
      <w:pPr>
        <w:pStyle w:val="Bulletlist1"/>
      </w:pPr>
      <w:r>
        <w:t>T</w:t>
      </w:r>
      <w:r w:rsidR="00CC79F4">
        <w:t>he continuing accessibility of information underpinning the safety case e</w:t>
      </w:r>
      <w:r w:rsidR="006369CB">
        <w:t>.</w:t>
      </w:r>
      <w:r w:rsidR="00CC79F4">
        <w:t>g</w:t>
      </w:r>
      <w:r w:rsidR="006369CB">
        <w:t>.</w:t>
      </w:r>
      <w:r w:rsidR="00CC79F4">
        <w:t xml:space="preserve"> in relation to test data, manufacturing records and operational information;</w:t>
      </w:r>
    </w:p>
    <w:p w14:paraId="00263512" w14:textId="65B66186" w:rsidR="00CC79F4" w:rsidRDefault="004658B4" w:rsidP="00CC79F4">
      <w:pPr>
        <w:pStyle w:val="Bulletlist1"/>
      </w:pPr>
      <w:r>
        <w:t>T</w:t>
      </w:r>
      <w:r w:rsidR="00CC79F4">
        <w:t>he continuing availability of appropriate spare parts via the supply chain;</w:t>
      </w:r>
    </w:p>
    <w:p w14:paraId="54CEB267" w14:textId="2E03D1B7" w:rsidR="00CC79F4" w:rsidRDefault="004658B4" w:rsidP="00CC79F4">
      <w:pPr>
        <w:pStyle w:val="Bulletlist1"/>
      </w:pPr>
      <w:r>
        <w:t>T</w:t>
      </w:r>
      <w:r w:rsidR="00CC79F4">
        <w:t xml:space="preserve">he status of any issues remaining from previous design reviews; and </w:t>
      </w:r>
    </w:p>
    <w:p w14:paraId="189F0279" w14:textId="27D1D499" w:rsidR="00CC79F4" w:rsidRDefault="004658B4" w:rsidP="00CC79F4">
      <w:pPr>
        <w:pStyle w:val="Bulletlist1"/>
      </w:pPr>
      <w:r>
        <w:t>A</w:t>
      </w:r>
      <w:r w:rsidR="00CC79F4">
        <w:t>ny other aspects considered relevant by the reviewer(s).</w:t>
      </w:r>
    </w:p>
    <w:p w14:paraId="272E90C9" w14:textId="2A428447" w:rsidR="00CC79F4" w:rsidRDefault="00CC79F4" w:rsidP="00C60B43">
      <w:pPr>
        <w:pStyle w:val="NumberedPara"/>
      </w:pPr>
      <w:r>
        <w:t xml:space="preserve">The periodic design review should be forward looking, </w:t>
      </w:r>
      <w:r w:rsidR="008F1B71">
        <w:t>considering</w:t>
      </w:r>
      <w:r>
        <w:t xml:space="preserve"> life-limiting aspects of the design, and </w:t>
      </w:r>
      <w:r w:rsidR="00A34CBE">
        <w:t>identifying</w:t>
      </w:r>
      <w:r>
        <w:t xml:space="preserve"> any ageing and ‘cliff-edge’ effects. It should also identify any desirable modifications or improvements to the design or operation, and the timescale for their implementation. It should </w:t>
      </w:r>
      <w:r w:rsidR="008F1B71">
        <w:t>consider</w:t>
      </w:r>
      <w:r>
        <w:t xml:space="preserve"> known, future changes to the regulations.</w:t>
      </w:r>
    </w:p>
    <w:p w14:paraId="79B03926" w14:textId="4720CBBE" w:rsidR="00CC79F4" w:rsidRPr="00CC79F4" w:rsidRDefault="00CC79F4" w:rsidP="00C60B43">
      <w:pPr>
        <w:pStyle w:val="NumberedPara"/>
      </w:pPr>
      <w:r>
        <w:t xml:space="preserve">The </w:t>
      </w:r>
      <w:r w:rsidR="00837A5F">
        <w:t xml:space="preserve">applicant should supply the </w:t>
      </w:r>
      <w:r>
        <w:t xml:space="preserve">serial numbers of packaging, manufactured against the </w:t>
      </w:r>
      <w:r w:rsidR="008F1B71">
        <w:t>CoA</w:t>
      </w:r>
      <w:r>
        <w:t xml:space="preserve"> and meeting the criteria specified in SSR-6 </w:t>
      </w:r>
      <w:r w:rsidR="008C3898">
        <w:t>para</w:t>
      </w:r>
      <w:r w:rsidR="006E663D">
        <w:t>graph</w:t>
      </w:r>
      <w:r w:rsidR="008C3898">
        <w:t xml:space="preserve"> </w:t>
      </w:r>
      <w:r>
        <w:t>824. This should include any new packages manufactured since the last approval was issued</w:t>
      </w:r>
      <w:r w:rsidR="00837A5F">
        <w:t xml:space="preserve">. </w:t>
      </w:r>
      <w:r>
        <w:t xml:space="preserve">The </w:t>
      </w:r>
      <w:r w:rsidR="00C60541">
        <w:t xml:space="preserve">applicant should also supply </w:t>
      </w:r>
      <w:r w:rsidR="00D31570">
        <w:t xml:space="preserve">details of the </w:t>
      </w:r>
      <w:r>
        <w:t>use</w:t>
      </w:r>
      <w:r w:rsidR="00DC07EE">
        <w:t>r</w:t>
      </w:r>
      <w:r w:rsidR="00D37564">
        <w:t>(s)</w:t>
      </w:r>
      <w:r>
        <w:t xml:space="preserve"> of the packaging (where known).</w:t>
      </w:r>
    </w:p>
    <w:p w14:paraId="0F3B7E8E" w14:textId="788D5013" w:rsidR="00E707A4" w:rsidRDefault="00E707A4" w:rsidP="00E707A4">
      <w:pPr>
        <w:pStyle w:val="Heading2"/>
      </w:pPr>
      <w:bookmarkStart w:id="19" w:name="_Toc136940123"/>
      <w:r>
        <w:t>Extensions</w:t>
      </w:r>
      <w:bookmarkEnd w:id="19"/>
    </w:p>
    <w:p w14:paraId="6BB89227" w14:textId="391A350B" w:rsidR="00CC79F4" w:rsidRDefault="00CC79F4" w:rsidP="00617AF3">
      <w:pPr>
        <w:pStyle w:val="NumberedPara"/>
      </w:pPr>
      <w:r>
        <w:t xml:space="preserve">ONR may </w:t>
      </w:r>
      <w:r w:rsidR="00E03E3C">
        <w:t>grant</w:t>
      </w:r>
      <w:r>
        <w:t xml:space="preserve"> an extension to an existing approval</w:t>
      </w:r>
      <w:r w:rsidR="003F7BCA">
        <w:t xml:space="preserve"> </w:t>
      </w:r>
      <w:r>
        <w:t xml:space="preserve">as an interim measure to enable </w:t>
      </w:r>
      <w:r w:rsidR="00783918">
        <w:t>continue</w:t>
      </w:r>
      <w:r w:rsidR="007F429D">
        <w:t>d</w:t>
      </w:r>
      <w:r w:rsidR="00783918">
        <w:t xml:space="preserve"> use </w:t>
      </w:r>
      <w:r w:rsidR="007F429D">
        <w:t xml:space="preserve">of </w:t>
      </w:r>
      <w:r>
        <w:t>a transport package / material design for strategic safety and security reasons</w:t>
      </w:r>
      <w:r w:rsidR="00F5123A">
        <w:t>. This is based on</w:t>
      </w:r>
      <w:r>
        <w:t xml:space="preserve"> ONR </w:t>
      </w:r>
      <w:r w:rsidR="00F5123A">
        <w:t xml:space="preserve">being </w:t>
      </w:r>
      <w:r>
        <w:t xml:space="preserve">satisfied with </w:t>
      </w:r>
      <w:r w:rsidR="00F5123A">
        <w:t xml:space="preserve">the package’s </w:t>
      </w:r>
      <w:r>
        <w:t xml:space="preserve">continuing safety. </w:t>
      </w:r>
      <w:r w:rsidR="006067AB">
        <w:t>ONR</w:t>
      </w:r>
      <w:r w:rsidR="00EC3594">
        <w:t xml:space="preserve"> w</w:t>
      </w:r>
      <w:r w:rsidR="000C1F0C">
        <w:t>ill not grant</w:t>
      </w:r>
      <w:r w:rsidR="00520648">
        <w:t xml:space="preserve"> </w:t>
      </w:r>
      <w:r w:rsidR="000C1F0C">
        <w:t xml:space="preserve">an </w:t>
      </w:r>
      <w:r w:rsidR="00520648">
        <w:t>extension</w:t>
      </w:r>
      <w:r>
        <w:t xml:space="preserve"> </w:t>
      </w:r>
      <w:r w:rsidR="004638DD">
        <w:t xml:space="preserve">for </w:t>
      </w:r>
      <w:r w:rsidR="00306C5C">
        <w:t xml:space="preserve">situations where the </w:t>
      </w:r>
      <w:r w:rsidR="003A429F">
        <w:t xml:space="preserve">applicant </w:t>
      </w:r>
      <w:r w:rsidR="00FD5FBB">
        <w:t xml:space="preserve">has </w:t>
      </w:r>
      <w:r w:rsidR="004638DD">
        <w:t>appli</w:t>
      </w:r>
      <w:r w:rsidR="00FD5FBB">
        <w:t>ed</w:t>
      </w:r>
      <w:r w:rsidR="004638DD">
        <w:t xml:space="preserve"> </w:t>
      </w:r>
      <w:r w:rsidR="00EC3594">
        <w:t xml:space="preserve">for a renewal </w:t>
      </w:r>
      <w:r>
        <w:t xml:space="preserve">with insufficient time before the certificate expiry date. </w:t>
      </w:r>
      <w:r w:rsidR="00162C52">
        <w:t>The granting of an e</w:t>
      </w:r>
      <w:r>
        <w:t xml:space="preserve">xtension </w:t>
      </w:r>
      <w:r w:rsidR="00162C52">
        <w:t xml:space="preserve">by ONR </w:t>
      </w:r>
      <w:r w:rsidR="007F20F5">
        <w:t>is justifi</w:t>
      </w:r>
      <w:r w:rsidR="00BB380A">
        <w:t>able on the basis that</w:t>
      </w:r>
      <w:r>
        <w:t xml:space="preserve"> the normal </w:t>
      </w:r>
      <w:r w:rsidR="0066747D">
        <w:t>five-year</w:t>
      </w:r>
      <w:r>
        <w:t xml:space="preserve"> life of an Approval is not a statutory requirement but is at the discretion of the CA.</w:t>
      </w:r>
    </w:p>
    <w:p w14:paraId="22CBC9F2" w14:textId="0EF5EE33" w:rsidR="00CC79F4" w:rsidRDefault="00132D9A" w:rsidP="00C60B43">
      <w:pPr>
        <w:pStyle w:val="NumberedPara"/>
      </w:pPr>
      <w:r>
        <w:t>In certain circumstances</w:t>
      </w:r>
      <w:r w:rsidR="00CC79F4">
        <w:t xml:space="preserve">, ONR may consider </w:t>
      </w:r>
      <w:r w:rsidR="004079C0">
        <w:t>granting</w:t>
      </w:r>
      <w:r w:rsidR="00CC79F4">
        <w:t xml:space="preserve"> an extension without </w:t>
      </w:r>
      <w:r w:rsidR="00050914">
        <w:t xml:space="preserve">receiving </w:t>
      </w:r>
      <w:r w:rsidR="00CC79F4">
        <w:t xml:space="preserve">an application for a full renewal, although there must still be a valid </w:t>
      </w:r>
      <w:r w:rsidR="00050914">
        <w:t>PDSR</w:t>
      </w:r>
      <w:r w:rsidR="00CC79F4">
        <w:t xml:space="preserve">. </w:t>
      </w:r>
      <w:r w:rsidR="00677478">
        <w:t xml:space="preserve">An example might be </w:t>
      </w:r>
      <w:r w:rsidR="00CC79F4">
        <w:t xml:space="preserve"> when a</w:t>
      </w:r>
      <w:r w:rsidR="00921222">
        <w:t xml:space="preserve">n </w:t>
      </w:r>
      <w:r w:rsidR="003A429F">
        <w:t xml:space="preserve">applicant </w:t>
      </w:r>
      <w:r w:rsidR="00921222">
        <w:t>needs</w:t>
      </w:r>
      <w:r w:rsidR="00BF3DC1">
        <w:t xml:space="preserve"> to use a</w:t>
      </w:r>
      <w:r w:rsidR="00CC79F4">
        <w:t xml:space="preserve"> package / material design beyond the current expiry date of the approval, to ensure strategic safety / security benefits, before </w:t>
      </w:r>
      <w:r w:rsidR="00E312D2">
        <w:t xml:space="preserve">permanently </w:t>
      </w:r>
      <w:r w:rsidR="00933082">
        <w:t>removing the package from</w:t>
      </w:r>
      <w:r w:rsidR="00CC79F4">
        <w:t xml:space="preserve"> service. </w:t>
      </w:r>
    </w:p>
    <w:p w14:paraId="7F0F126A" w14:textId="7C77EACC" w:rsidR="00CC79F4" w:rsidRDefault="00CC79F4" w:rsidP="00C60B43">
      <w:pPr>
        <w:pStyle w:val="NumberedPara"/>
      </w:pPr>
      <w:r>
        <w:t>The reissue of the existing Approval document with a revised expiry date (of no more than 12 months) is the normal means by which ONR will grant an extension.</w:t>
      </w:r>
    </w:p>
    <w:p w14:paraId="05C683F3" w14:textId="3AD571A8" w:rsidR="0008774E" w:rsidRDefault="0008774E" w:rsidP="00E707A4">
      <w:pPr>
        <w:pStyle w:val="Heading1"/>
      </w:pPr>
      <w:bookmarkStart w:id="20" w:name="_Toc136940124"/>
      <w:r>
        <w:lastRenderedPageBreak/>
        <w:t>Modifications</w:t>
      </w:r>
      <w:bookmarkEnd w:id="20"/>
    </w:p>
    <w:p w14:paraId="29761AB1" w14:textId="3F0507C6" w:rsidR="00526CAF" w:rsidRPr="00FF3F39" w:rsidRDefault="00526CAF" w:rsidP="00C60B43">
      <w:pPr>
        <w:pStyle w:val="NumberedPara"/>
      </w:pPr>
      <w:r w:rsidRPr="00FF3F39">
        <w:t>Any proposed changes (</w:t>
      </w:r>
      <w:r w:rsidR="00D41325">
        <w:t>e.g.</w:t>
      </w:r>
      <w:r w:rsidRPr="00FF3F39">
        <w:t xml:space="preserve"> modification</w:t>
      </w:r>
      <w:r w:rsidR="00D41325">
        <w:t>, etc.</w:t>
      </w:r>
      <w:r w:rsidRPr="00FF3F39">
        <w:t>) to information in an application that has received CA approval, or that</w:t>
      </w:r>
      <w:r w:rsidR="002D202D">
        <w:t>:</w:t>
      </w:r>
      <w:r w:rsidRPr="00FF3F39">
        <w:t xml:space="preserve"> could affect the safety of a design</w:t>
      </w:r>
      <w:r w:rsidR="002D202D">
        <w:t>;</w:t>
      </w:r>
      <w:r w:rsidRPr="00FF3F39">
        <w:t xml:space="preserve"> its compliance with the regulations</w:t>
      </w:r>
      <w:r w:rsidR="002D202D">
        <w:t>;</w:t>
      </w:r>
      <w:r w:rsidRPr="00FF3F39">
        <w:t xml:space="preserve"> the safety of its operation or the relevant management systems</w:t>
      </w:r>
      <w:r w:rsidR="002D202D">
        <w:t>;</w:t>
      </w:r>
      <w:r w:rsidRPr="00FF3F39">
        <w:t xml:space="preserve"> need</w:t>
      </w:r>
      <w:r w:rsidR="003A0CB5">
        <w:t>s</w:t>
      </w:r>
      <w:r w:rsidRPr="00FF3F39">
        <w:t xml:space="preserve"> to be done in a controlled manner, and the modification is likely to need prior CA approval. For a modification process to be efficient and effective, it needs to include a system for categorising proposed modifications by their safety significance.</w:t>
      </w:r>
    </w:p>
    <w:p w14:paraId="67138C15" w14:textId="47A3C271" w:rsidR="00E707A4" w:rsidRDefault="00E707A4" w:rsidP="00E707A4">
      <w:pPr>
        <w:pStyle w:val="Heading2"/>
      </w:pPr>
      <w:bookmarkStart w:id="21" w:name="_Toc136940125"/>
      <w:r>
        <w:t>Modification Categories</w:t>
      </w:r>
      <w:bookmarkEnd w:id="21"/>
    </w:p>
    <w:p w14:paraId="5608FC48" w14:textId="6E07D06F" w:rsidR="00526CAF" w:rsidRDefault="00526CAF" w:rsidP="00C60B43">
      <w:pPr>
        <w:pStyle w:val="NumberedPara"/>
      </w:pPr>
      <w:r>
        <w:t xml:space="preserve">Proposed modifications should be categorised by the impact on safety provisions and how significant the impact would be if the modification </w:t>
      </w:r>
      <w:r w:rsidR="00D22F0D">
        <w:t>is</w:t>
      </w:r>
      <w:r>
        <w:t xml:space="preserve"> inadequately conceived or executed.</w:t>
      </w:r>
    </w:p>
    <w:p w14:paraId="31C329DA" w14:textId="12D1DDEB" w:rsidR="00526CAF" w:rsidRDefault="00526CAF" w:rsidP="00C60B43">
      <w:pPr>
        <w:pStyle w:val="NumberedPara"/>
      </w:pPr>
      <w:r>
        <w:t>A proposed modification impact</w:t>
      </w:r>
      <w:r w:rsidR="003E211C">
        <w:t>s</w:t>
      </w:r>
      <w:r>
        <w:t xml:space="preserve"> on safety provisions if it affects any aspect of the design, operation, maintenance or relevant aspects of the management system, which are necessary to ensure delivery of a safety function (</w:t>
      </w:r>
      <w:r w:rsidR="003418CE">
        <w:t>e.g.</w:t>
      </w:r>
      <w:r>
        <w:t xml:space="preserve"> relating to structural integrity, containment, external contamination, shielding, heat transfer, criticality etc</w:t>
      </w:r>
      <w:r w:rsidR="0088166B">
        <w:t>.</w:t>
      </w:r>
      <w:r>
        <w:t xml:space="preserve">). </w:t>
      </w:r>
      <w:r w:rsidR="00F03A67">
        <w:t xml:space="preserve">An </w:t>
      </w:r>
      <w:r w:rsidR="00BB0C03">
        <w:t>applicant</w:t>
      </w:r>
      <w:r w:rsidR="00F03A67">
        <w:t xml:space="preserve"> </w:t>
      </w:r>
      <w:r w:rsidR="00046723">
        <w:t>may amend</w:t>
      </w:r>
      <w:r>
        <w:t xml:space="preserve"> management systems previously assessed as adequate by ONR in relation to the design without further ONR approval provided the alteration falls within the change control procedures set out in the </w:t>
      </w:r>
      <w:r w:rsidR="003470C3">
        <w:t xml:space="preserve">applicant’s </w:t>
      </w:r>
      <w:r>
        <w:t>management system.</w:t>
      </w:r>
    </w:p>
    <w:p w14:paraId="272965EA" w14:textId="05B20177" w:rsidR="00526CAF" w:rsidRDefault="00526CAF" w:rsidP="00BD1D9E">
      <w:pPr>
        <w:pStyle w:val="NumberedPara"/>
      </w:pPr>
      <w:r>
        <w:t>The modification is significant if, should it be inadequately conceived or executed, it could lead to the design or operation etc</w:t>
      </w:r>
      <w:r w:rsidR="002C5684">
        <w:t>.</w:t>
      </w:r>
      <w:r>
        <w:t xml:space="preserve"> becoming non-compliant with the regulations.</w:t>
      </w:r>
    </w:p>
    <w:p w14:paraId="70673C4B" w14:textId="76DC8FEB" w:rsidR="00526CAF" w:rsidRDefault="00526CAF" w:rsidP="00C60B43">
      <w:pPr>
        <w:pStyle w:val="NumberedPara"/>
      </w:pPr>
      <w:r>
        <w:t>Modifications should be categorised A, B or C according to the above and as shown in the following table.</w:t>
      </w:r>
    </w:p>
    <w:tbl>
      <w:tblPr>
        <w:tblStyle w:val="ONRTable1"/>
        <w:tblW w:w="9752" w:type="dxa"/>
        <w:tblInd w:w="0" w:type="dxa"/>
        <w:tblLook w:val="04A0" w:firstRow="1" w:lastRow="0" w:firstColumn="1" w:lastColumn="0" w:noHBand="0" w:noVBand="1"/>
      </w:tblPr>
      <w:tblGrid>
        <w:gridCol w:w="3248"/>
        <w:gridCol w:w="3252"/>
        <w:gridCol w:w="3252"/>
      </w:tblGrid>
      <w:tr w:rsidR="00526CAF" w:rsidRPr="00733C45" w14:paraId="3E4419A0" w14:textId="77777777" w:rsidTr="00526CAF">
        <w:trPr>
          <w:cnfStyle w:val="100000000000" w:firstRow="1" w:lastRow="0" w:firstColumn="0" w:lastColumn="0" w:oddVBand="0" w:evenVBand="0" w:oddHBand="0" w:evenHBand="0" w:firstRowFirstColumn="0" w:firstRowLastColumn="0" w:lastRowFirstColumn="0" w:lastRowLastColumn="0"/>
        </w:trPr>
        <w:tc>
          <w:tcPr>
            <w:tcW w:w="3248" w:type="dxa"/>
            <w:hideMark/>
          </w:tcPr>
          <w:p w14:paraId="783CD0DA" w14:textId="2B0B8DE7" w:rsidR="00526CAF" w:rsidRPr="00733C45" w:rsidRDefault="00526CAF" w:rsidP="00526CAF">
            <w:pPr>
              <w:pStyle w:val="TableText"/>
              <w:jc w:val="center"/>
              <w:rPr>
                <w:b w:val="0"/>
                <w:bCs/>
              </w:rPr>
            </w:pPr>
            <w:r w:rsidRPr="00943AB0">
              <w:t>Impact on Safety Provisions</w:t>
            </w:r>
          </w:p>
        </w:tc>
        <w:tc>
          <w:tcPr>
            <w:tcW w:w="3252" w:type="dxa"/>
          </w:tcPr>
          <w:p w14:paraId="50253CD2" w14:textId="754F9A47" w:rsidR="00526CAF" w:rsidRPr="00733C45" w:rsidRDefault="00526CAF" w:rsidP="00526CAF">
            <w:pPr>
              <w:pStyle w:val="TableText"/>
              <w:jc w:val="center"/>
              <w:rPr>
                <w:b w:val="0"/>
                <w:bCs/>
              </w:rPr>
            </w:pPr>
            <w:r w:rsidRPr="00943AB0">
              <w:t>Significant</w:t>
            </w:r>
          </w:p>
        </w:tc>
        <w:tc>
          <w:tcPr>
            <w:tcW w:w="3252" w:type="dxa"/>
          </w:tcPr>
          <w:p w14:paraId="3F9B276B" w14:textId="09DE7AF3" w:rsidR="00526CAF" w:rsidRPr="00733C45" w:rsidRDefault="00526CAF" w:rsidP="00526CAF">
            <w:pPr>
              <w:pStyle w:val="TableText"/>
              <w:jc w:val="center"/>
              <w:rPr>
                <w:b w:val="0"/>
                <w:bCs/>
              </w:rPr>
            </w:pPr>
            <w:r w:rsidRPr="00943AB0">
              <w:t>Category of Modification</w:t>
            </w:r>
          </w:p>
        </w:tc>
      </w:tr>
      <w:tr w:rsidR="00526CAF" w14:paraId="170D7DF5" w14:textId="77777777" w:rsidTr="00526CAF">
        <w:tc>
          <w:tcPr>
            <w:tcW w:w="3248" w:type="dxa"/>
            <w:hideMark/>
          </w:tcPr>
          <w:p w14:paraId="5597DC3A" w14:textId="53B7375E" w:rsidR="00526CAF" w:rsidRDefault="00526CAF" w:rsidP="00526CAF">
            <w:pPr>
              <w:pStyle w:val="TableText"/>
              <w:jc w:val="center"/>
            </w:pPr>
            <w:r w:rsidRPr="007F67D0">
              <w:t>YES</w:t>
            </w:r>
          </w:p>
        </w:tc>
        <w:tc>
          <w:tcPr>
            <w:tcW w:w="3252" w:type="dxa"/>
          </w:tcPr>
          <w:p w14:paraId="3DE87363" w14:textId="36D3F195" w:rsidR="00526CAF" w:rsidRDefault="00526CAF" w:rsidP="00526CAF">
            <w:pPr>
              <w:pStyle w:val="TableText"/>
              <w:jc w:val="center"/>
            </w:pPr>
            <w:r w:rsidRPr="007F67D0">
              <w:t>YES</w:t>
            </w:r>
          </w:p>
        </w:tc>
        <w:tc>
          <w:tcPr>
            <w:tcW w:w="3252" w:type="dxa"/>
          </w:tcPr>
          <w:p w14:paraId="199F8066" w14:textId="7BE7B233" w:rsidR="00526CAF" w:rsidRDefault="00526CAF" w:rsidP="00526CAF">
            <w:pPr>
              <w:pStyle w:val="TableText"/>
              <w:jc w:val="center"/>
            </w:pPr>
            <w:r w:rsidRPr="007F67D0">
              <w:t>A</w:t>
            </w:r>
          </w:p>
        </w:tc>
      </w:tr>
      <w:tr w:rsidR="00526CAF" w14:paraId="7261ADBD" w14:textId="77777777" w:rsidTr="00526CAF">
        <w:tc>
          <w:tcPr>
            <w:tcW w:w="3248" w:type="dxa"/>
          </w:tcPr>
          <w:p w14:paraId="7BA5DC9E" w14:textId="02AC3CE7" w:rsidR="00526CAF" w:rsidRDefault="00526CAF" w:rsidP="00526CAF">
            <w:pPr>
              <w:pStyle w:val="TableText"/>
              <w:jc w:val="center"/>
            </w:pPr>
            <w:r w:rsidRPr="007F67D0">
              <w:t>YES</w:t>
            </w:r>
          </w:p>
        </w:tc>
        <w:tc>
          <w:tcPr>
            <w:tcW w:w="3252" w:type="dxa"/>
          </w:tcPr>
          <w:p w14:paraId="250D9794" w14:textId="24A90C76" w:rsidR="00526CAF" w:rsidRDefault="00526CAF" w:rsidP="00526CAF">
            <w:pPr>
              <w:pStyle w:val="TableText"/>
              <w:jc w:val="center"/>
            </w:pPr>
            <w:r w:rsidRPr="007F67D0">
              <w:t>NO</w:t>
            </w:r>
          </w:p>
        </w:tc>
        <w:tc>
          <w:tcPr>
            <w:tcW w:w="3252" w:type="dxa"/>
          </w:tcPr>
          <w:p w14:paraId="157CDE1D" w14:textId="044FDA99" w:rsidR="00526CAF" w:rsidRDefault="00526CAF" w:rsidP="00526CAF">
            <w:pPr>
              <w:pStyle w:val="TableText"/>
              <w:jc w:val="center"/>
            </w:pPr>
            <w:r w:rsidRPr="007F67D0">
              <w:t>B</w:t>
            </w:r>
          </w:p>
        </w:tc>
      </w:tr>
      <w:tr w:rsidR="00526CAF" w14:paraId="4F0C4E01" w14:textId="77777777" w:rsidTr="00526CAF">
        <w:tc>
          <w:tcPr>
            <w:tcW w:w="3248" w:type="dxa"/>
          </w:tcPr>
          <w:p w14:paraId="28531623" w14:textId="0681CDE4" w:rsidR="00526CAF" w:rsidRDefault="00526CAF" w:rsidP="00526CAF">
            <w:pPr>
              <w:pStyle w:val="TableText"/>
              <w:jc w:val="center"/>
            </w:pPr>
            <w:r w:rsidRPr="007F67D0">
              <w:t>NO</w:t>
            </w:r>
          </w:p>
        </w:tc>
        <w:tc>
          <w:tcPr>
            <w:tcW w:w="3252" w:type="dxa"/>
          </w:tcPr>
          <w:p w14:paraId="1684F48A" w14:textId="3CC4610C" w:rsidR="00526CAF" w:rsidRDefault="00526CAF" w:rsidP="00526CAF">
            <w:pPr>
              <w:pStyle w:val="TableText"/>
              <w:jc w:val="center"/>
            </w:pPr>
            <w:r w:rsidRPr="007F67D0">
              <w:t>YES</w:t>
            </w:r>
          </w:p>
        </w:tc>
        <w:tc>
          <w:tcPr>
            <w:tcW w:w="3252" w:type="dxa"/>
          </w:tcPr>
          <w:p w14:paraId="05A611FA" w14:textId="54CBCC32" w:rsidR="00526CAF" w:rsidRDefault="00526CAF" w:rsidP="00526CAF">
            <w:pPr>
              <w:pStyle w:val="TableText"/>
              <w:jc w:val="center"/>
            </w:pPr>
            <w:r w:rsidRPr="007F67D0">
              <w:t>B</w:t>
            </w:r>
          </w:p>
        </w:tc>
      </w:tr>
      <w:tr w:rsidR="00526CAF" w14:paraId="09927212" w14:textId="77777777" w:rsidTr="00526CAF">
        <w:tc>
          <w:tcPr>
            <w:tcW w:w="3248" w:type="dxa"/>
          </w:tcPr>
          <w:p w14:paraId="1A1ED5FE" w14:textId="296574E7" w:rsidR="00526CAF" w:rsidRDefault="00526CAF" w:rsidP="00526CAF">
            <w:pPr>
              <w:pStyle w:val="TableText"/>
              <w:jc w:val="center"/>
            </w:pPr>
            <w:r w:rsidRPr="007F67D0">
              <w:t>NO</w:t>
            </w:r>
          </w:p>
        </w:tc>
        <w:tc>
          <w:tcPr>
            <w:tcW w:w="3252" w:type="dxa"/>
          </w:tcPr>
          <w:p w14:paraId="2C042E0B" w14:textId="34429A7C" w:rsidR="00526CAF" w:rsidRDefault="00526CAF" w:rsidP="00526CAF">
            <w:pPr>
              <w:pStyle w:val="TableText"/>
              <w:jc w:val="center"/>
            </w:pPr>
            <w:r w:rsidRPr="007F67D0">
              <w:t>NO</w:t>
            </w:r>
          </w:p>
        </w:tc>
        <w:tc>
          <w:tcPr>
            <w:tcW w:w="3252" w:type="dxa"/>
          </w:tcPr>
          <w:p w14:paraId="37671B63" w14:textId="7A2D5558" w:rsidR="00526CAF" w:rsidRDefault="00526CAF" w:rsidP="00526CAF">
            <w:pPr>
              <w:pStyle w:val="TableText"/>
              <w:jc w:val="center"/>
            </w:pPr>
            <w:r w:rsidRPr="007F67D0">
              <w:t>C</w:t>
            </w:r>
          </w:p>
        </w:tc>
      </w:tr>
    </w:tbl>
    <w:p w14:paraId="068A14EC" w14:textId="77777777" w:rsidR="00526CAF" w:rsidRDefault="00526CAF" w:rsidP="00526CAF"/>
    <w:p w14:paraId="29416625" w14:textId="46A588DA" w:rsidR="00526CAF" w:rsidRDefault="00526CAF" w:rsidP="00C60B43">
      <w:pPr>
        <w:pStyle w:val="NumberedPara"/>
      </w:pPr>
      <w:r>
        <w:t xml:space="preserve">Category A and Category B modifications could impact on safety provisions and/or compliance with the regulations, and therefore require CA approval by ONR before the </w:t>
      </w:r>
      <w:r w:rsidR="00BB0C03">
        <w:t xml:space="preserve">applicant </w:t>
      </w:r>
      <w:r w:rsidR="00F41DA0">
        <w:t xml:space="preserve">can </w:t>
      </w:r>
      <w:r w:rsidR="00761AEF">
        <w:t xml:space="preserve">put the </w:t>
      </w:r>
      <w:r>
        <w:t xml:space="preserve">modification into effect. Category C modifications could not impact on safety provisions or compliance with the regulations and so these can be self-assessed and authorised by the </w:t>
      </w:r>
      <w:r w:rsidR="00BB0C03">
        <w:t xml:space="preserve">applicant </w:t>
      </w:r>
      <w:r>
        <w:t>/ design authority.</w:t>
      </w:r>
    </w:p>
    <w:p w14:paraId="4CF87095" w14:textId="1248B2CE" w:rsidR="00526CAF" w:rsidRDefault="00A947F4" w:rsidP="00C60B43">
      <w:pPr>
        <w:pStyle w:val="NumberedPara"/>
      </w:pPr>
      <w:r>
        <w:lastRenderedPageBreak/>
        <w:t xml:space="preserve">ONR approves </w:t>
      </w:r>
      <w:r w:rsidR="00526CAF">
        <w:t xml:space="preserve">Category A and Category B modifications either by the issuing of a revised CoA, (particularly if a change in information on the CoA is </w:t>
      </w:r>
      <w:r>
        <w:t>necessary</w:t>
      </w:r>
      <w:r w:rsidR="00526CAF">
        <w:t xml:space="preserve">) or by endorsement of the Modification Sheet (see </w:t>
      </w:r>
      <w:r w:rsidR="00526CAF" w:rsidRPr="00976BA6">
        <w:t xml:space="preserve">paragraph </w:t>
      </w:r>
      <w:r w:rsidR="00976BA6">
        <w:t>9</w:t>
      </w:r>
      <w:r w:rsidR="00E4729B">
        <w:t>2</w:t>
      </w:r>
      <w:r w:rsidR="00526CAF">
        <w:t xml:space="preserve">). </w:t>
      </w:r>
      <w:r w:rsidR="00A675DA">
        <w:t xml:space="preserve">Where ONR endorses the </w:t>
      </w:r>
      <w:r w:rsidR="00D3524B">
        <w:t>Modification Sheet</w:t>
      </w:r>
      <w:r w:rsidR="00526CAF">
        <w:t xml:space="preserve">, </w:t>
      </w:r>
      <w:r w:rsidR="00A378C4">
        <w:t xml:space="preserve">the </w:t>
      </w:r>
      <w:r w:rsidR="00BB0C03">
        <w:t xml:space="preserve">applicant </w:t>
      </w:r>
      <w:r w:rsidR="00526CAF">
        <w:t>should attach</w:t>
      </w:r>
      <w:r w:rsidR="00A378C4">
        <w:t xml:space="preserve"> it</w:t>
      </w:r>
      <w:r w:rsidR="00526CAF">
        <w:t xml:space="preserve"> to the existing CoA</w:t>
      </w:r>
      <w:r w:rsidR="00D3524B">
        <w:t>. Following</w:t>
      </w:r>
      <w:r w:rsidR="00981387">
        <w:t xml:space="preserve"> ONR approval</w:t>
      </w:r>
      <w:r w:rsidR="00526CAF">
        <w:t xml:space="preserve"> of the modification</w:t>
      </w:r>
      <w:r w:rsidR="00452708">
        <w:t xml:space="preserve"> the </w:t>
      </w:r>
      <w:r w:rsidR="00D37D22">
        <w:t xml:space="preserve">applicant </w:t>
      </w:r>
      <w:r w:rsidR="00526CAF">
        <w:t>should consolidate</w:t>
      </w:r>
      <w:r w:rsidR="00452708">
        <w:t xml:space="preserve"> it</w:t>
      </w:r>
      <w:r w:rsidR="00526CAF">
        <w:t xml:space="preserve"> within the safety documentation prior to the next renewal of the CoA or as specified by ONR.</w:t>
      </w:r>
    </w:p>
    <w:p w14:paraId="7203E77B" w14:textId="018AC49B" w:rsidR="00526CAF" w:rsidRDefault="00EA5A53" w:rsidP="00C60B43">
      <w:pPr>
        <w:pStyle w:val="NumberedPara"/>
      </w:pPr>
      <w:r>
        <w:t>ONR expects</w:t>
      </w:r>
      <w:r w:rsidR="00526CAF">
        <w:t xml:space="preserve"> </w:t>
      </w:r>
      <w:r w:rsidR="004B4AD5">
        <w:t xml:space="preserve">the </w:t>
      </w:r>
      <w:r w:rsidR="00BB0C03">
        <w:t xml:space="preserve">applicant </w:t>
      </w:r>
      <w:r w:rsidR="004B4AD5">
        <w:t>to review</w:t>
      </w:r>
      <w:r w:rsidR="00526CAF">
        <w:t xml:space="preserve"> the cumulative impact of all modifications (A to C) on the safety of a design and its operation at each renewal (</w:t>
      </w:r>
      <w:r w:rsidR="00745C2D">
        <w:t>i.e.</w:t>
      </w:r>
      <w:r w:rsidR="00526CAF">
        <w:t xml:space="preserve"> considered in the periodic design review report) and reflected in the revised </w:t>
      </w:r>
      <w:r w:rsidR="004B4AD5">
        <w:t>PDSR</w:t>
      </w:r>
      <w:r w:rsidR="00526CAF">
        <w:t xml:space="preserve"> covering the renewal period.</w:t>
      </w:r>
    </w:p>
    <w:p w14:paraId="1AD45458" w14:textId="4E7B7838" w:rsidR="00526CAF" w:rsidRDefault="00526CAF" w:rsidP="00C60B43">
      <w:pPr>
        <w:pStyle w:val="NumberedPara"/>
      </w:pPr>
      <w:r>
        <w:t>For modifications requiring CA approval, if an applicant has a robust, independent safety assessment process as part of its modification procedure, ONR is willing to consider requests to take this into consideration when determining the extent of the ONR assessment. This should expedite the modification approval process and may shorten timescales for approval.</w:t>
      </w:r>
    </w:p>
    <w:p w14:paraId="5EB474C8" w14:textId="798C13DA" w:rsidR="00526CAF" w:rsidRDefault="00526CAF" w:rsidP="00C60B43">
      <w:pPr>
        <w:pStyle w:val="NumberedPara"/>
      </w:pPr>
      <w:r>
        <w:t xml:space="preserve">Although Category C modifications do not require prior approval by the CA, </w:t>
      </w:r>
      <w:r w:rsidR="00E427E0">
        <w:t xml:space="preserve">the </w:t>
      </w:r>
      <w:r w:rsidR="003761FA">
        <w:t>d</w:t>
      </w:r>
      <w:r w:rsidR="00320BAA">
        <w:t xml:space="preserve">esign </w:t>
      </w:r>
      <w:r w:rsidR="003761FA">
        <w:t>a</w:t>
      </w:r>
      <w:r w:rsidR="00320BAA">
        <w:t xml:space="preserve">uthority should supply </w:t>
      </w:r>
      <w:r>
        <w:t xml:space="preserve">copies of documents detailing the modification and its internal authorisation to ONR as soon as practicable following this authorisation, ideally within one month. </w:t>
      </w:r>
      <w:r w:rsidR="006A5B90">
        <w:t>A</w:t>
      </w:r>
      <w:r>
        <w:t xml:space="preserve">pplicants may wish to discuss the </w:t>
      </w:r>
      <w:r w:rsidR="00305F30">
        <w:t xml:space="preserve">Category C </w:t>
      </w:r>
      <w:r w:rsidR="00954E4D">
        <w:t>modifications</w:t>
      </w:r>
      <w:r>
        <w:t xml:space="preserve"> with ONR if there is any uncertainty over a particular proposal, to reduce </w:t>
      </w:r>
      <w:r w:rsidR="00954E4D">
        <w:t>the</w:t>
      </w:r>
      <w:r>
        <w:t xml:space="preserve"> risk of becoming non-compliant and </w:t>
      </w:r>
      <w:r w:rsidR="00223789">
        <w:t>attracting</w:t>
      </w:r>
      <w:r>
        <w:t xml:space="preserve"> enforcement action.</w:t>
      </w:r>
    </w:p>
    <w:p w14:paraId="4A6F5EA2" w14:textId="4BD35EBE" w:rsidR="00526CAF" w:rsidRPr="00526CAF" w:rsidRDefault="00526CAF" w:rsidP="00C60B43">
      <w:pPr>
        <w:pStyle w:val="NumberedPara"/>
      </w:pPr>
      <w:r>
        <w:t xml:space="preserve">On receipt of a Category C modification ONR may choose to review it against the process above. If ONR determines that a modification </w:t>
      </w:r>
      <w:r w:rsidR="00B833CC">
        <w:t>is</w:t>
      </w:r>
      <w:r>
        <w:t xml:space="preserve"> incorrectly categorised as Category C</w:t>
      </w:r>
      <w:r w:rsidR="003831EE">
        <w:t>,</w:t>
      </w:r>
      <w:r>
        <w:t xml:space="preserve"> </w:t>
      </w:r>
      <w:r w:rsidR="003831EE">
        <w:t>t</w:t>
      </w:r>
      <w:r>
        <w:t xml:space="preserve">his may invalidate the </w:t>
      </w:r>
      <w:r w:rsidR="00990717">
        <w:t xml:space="preserve">extant CoA </w:t>
      </w:r>
      <w:r w:rsidR="004E0E1F">
        <w:t>resulting in</w:t>
      </w:r>
      <w:r>
        <w:t xml:space="preserve"> restrict</w:t>
      </w:r>
      <w:r w:rsidR="004E0E1F">
        <w:t>ions</w:t>
      </w:r>
      <w:r>
        <w:t xml:space="preserve"> </w:t>
      </w:r>
      <w:r w:rsidR="004E0E1F">
        <w:t>to</w:t>
      </w:r>
      <w:r>
        <w:t xml:space="preserve"> transport activities until </w:t>
      </w:r>
      <w:r w:rsidR="009C5A13">
        <w:t xml:space="preserve">ONR </w:t>
      </w:r>
      <w:r w:rsidR="003B111C">
        <w:t xml:space="preserve">has assessed the modification and </w:t>
      </w:r>
      <w:r w:rsidR="009C5A13">
        <w:t>grant</w:t>
      </w:r>
      <w:r w:rsidR="003B111C">
        <w:t>ed</w:t>
      </w:r>
      <w:r>
        <w:t xml:space="preserve"> </w:t>
      </w:r>
      <w:r w:rsidR="009C5A13">
        <w:t>approval</w:t>
      </w:r>
      <w:r>
        <w:t>.</w:t>
      </w:r>
    </w:p>
    <w:p w14:paraId="7C274157" w14:textId="438101E1" w:rsidR="00E707A4" w:rsidRDefault="00E707A4" w:rsidP="00E707A4">
      <w:pPr>
        <w:pStyle w:val="Heading2"/>
      </w:pPr>
      <w:bookmarkStart w:id="22" w:name="_Toc136940126"/>
      <w:r>
        <w:t>Amendments and Concessions</w:t>
      </w:r>
      <w:bookmarkEnd w:id="22"/>
    </w:p>
    <w:p w14:paraId="09F5D604" w14:textId="5EF7B630" w:rsidR="00526CAF" w:rsidRDefault="00526CAF" w:rsidP="00C60B43">
      <w:pPr>
        <w:pStyle w:val="NumberedPara"/>
      </w:pPr>
      <w:r>
        <w:t xml:space="preserve">Previous versions of the Applicants Guide considered ‘amendments’ and ‘concessions’. These types of changes should be categorised according to the </w:t>
      </w:r>
      <w:r w:rsidR="002019FA">
        <w:t xml:space="preserve">modification </w:t>
      </w:r>
      <w:r>
        <w:t xml:space="preserve">principles discussed </w:t>
      </w:r>
      <w:r w:rsidR="00EC638E">
        <w:t>above and</w:t>
      </w:r>
      <w:r>
        <w:t xml:space="preserve"> managed in the same manner as other modifications.</w:t>
      </w:r>
    </w:p>
    <w:p w14:paraId="372016FE" w14:textId="3AB9D084" w:rsidR="00526CAF" w:rsidRDefault="00526CAF" w:rsidP="00C60B43">
      <w:pPr>
        <w:pStyle w:val="NumberedPara"/>
      </w:pPr>
      <w:r>
        <w:t xml:space="preserve">For example, amendments are changes to documentation relating to the applicant’s existing approval. If an amendment could not affect safety or compliance with the </w:t>
      </w:r>
      <w:r w:rsidR="0033351E">
        <w:t>regulations,</w:t>
      </w:r>
      <w:r>
        <w:t xml:space="preserve"> it would be a Category C modification. Category C amendments may be as follows:</w:t>
      </w:r>
    </w:p>
    <w:p w14:paraId="651EE94F" w14:textId="4B40FD90" w:rsidR="00526CAF" w:rsidRDefault="00526CAF" w:rsidP="00526CAF">
      <w:pPr>
        <w:pStyle w:val="Bulletlist1"/>
      </w:pPr>
      <w:r>
        <w:t>Changes in document reference numbering systems (provided they do not change the scope of the reference).</w:t>
      </w:r>
    </w:p>
    <w:p w14:paraId="6DE97023" w14:textId="69CEC146" w:rsidR="00526CAF" w:rsidRDefault="00526CAF" w:rsidP="00526CAF">
      <w:pPr>
        <w:pStyle w:val="Bulletlist1"/>
      </w:pPr>
      <w:r>
        <w:t>Changes in drawing numbers resulting from the applicant’s own internal organisational requirements (provided they do not change the detail of the drawing(s)).</w:t>
      </w:r>
    </w:p>
    <w:p w14:paraId="2F7FD2E5" w14:textId="22E08F20" w:rsidR="00526CAF" w:rsidRDefault="00526CAF" w:rsidP="00526CAF">
      <w:pPr>
        <w:pStyle w:val="Bulletlist1"/>
      </w:pPr>
      <w:r>
        <w:lastRenderedPageBreak/>
        <w:t xml:space="preserve">A correction to a drawing or safety document which is required in order to rectify an indisputable error and for which the required amendment is obvious from the error. </w:t>
      </w:r>
    </w:p>
    <w:p w14:paraId="55CA6F7C" w14:textId="21251DA8" w:rsidR="00526CAF" w:rsidRDefault="006449D2" w:rsidP="00C60B43">
      <w:pPr>
        <w:pStyle w:val="NumberedPara"/>
      </w:pPr>
      <w:r>
        <w:t>A</w:t>
      </w:r>
      <w:r w:rsidR="00526CAF">
        <w:t xml:space="preserve"> concession </w:t>
      </w:r>
      <w:r>
        <w:t>is</w:t>
      </w:r>
      <w:r w:rsidR="00526CAF">
        <w:t xml:space="preserve"> the authorisation of the continued use of a package / material which has deviated from the design specification, and where there is no intention to introduce the change systematically. </w:t>
      </w:r>
      <w:r w:rsidR="00A54FF5">
        <w:t>Applicants</w:t>
      </w:r>
      <w:r w:rsidR="00A759AA">
        <w:t xml:space="preserve"> should treat</w:t>
      </w:r>
      <w:r w:rsidR="00526CAF">
        <w:t xml:space="preserve"> concessions </w:t>
      </w:r>
      <w:r w:rsidR="00A759AA">
        <w:t>as</w:t>
      </w:r>
      <w:r w:rsidR="00526CAF">
        <w:t xml:space="preserve"> modifications</w:t>
      </w:r>
      <w:r w:rsidR="003607DD">
        <w:t>.</w:t>
      </w:r>
      <w:r w:rsidR="00526CAF">
        <w:t xml:space="preserve"> </w:t>
      </w:r>
    </w:p>
    <w:p w14:paraId="4731FFA9" w14:textId="237603C9" w:rsidR="00526CAF" w:rsidRPr="00526CAF" w:rsidRDefault="00526CAF" w:rsidP="00C60B43">
      <w:pPr>
        <w:pStyle w:val="NumberedPara"/>
      </w:pPr>
      <w:r>
        <w:t xml:space="preserve">The requirement for concessions may arise during </w:t>
      </w:r>
      <w:r w:rsidR="003607DD">
        <w:t>manufacture if</w:t>
      </w:r>
      <w:r>
        <w:t xml:space="preserve"> </w:t>
      </w:r>
      <w:r w:rsidR="0064069F">
        <w:t>components</w:t>
      </w:r>
      <w:r>
        <w:t xml:space="preserve"> are out of tolerance. The design authority will need to decide whether to grant a concession to allow </w:t>
      </w:r>
      <w:r w:rsidR="003607DD">
        <w:t xml:space="preserve">retention of </w:t>
      </w:r>
      <w:r>
        <w:t xml:space="preserve">the items for eventual use and for manufacturing to continue, at commercial risk and in accordance with the management system. </w:t>
      </w:r>
      <w:r w:rsidR="00D621EB">
        <w:t xml:space="preserve">The design authority will need to assess the cumulative effect of concessions against the modification categorisation scheme described above </w:t>
      </w:r>
      <w:r w:rsidR="000B1A46">
        <w:t>b</w:t>
      </w:r>
      <w:r>
        <w:t xml:space="preserve">efore </w:t>
      </w:r>
      <w:r w:rsidR="000B1A46">
        <w:t xml:space="preserve">using </w:t>
      </w:r>
      <w:r>
        <w:t>the manufactured package / material. Unless the design authority is satisfied that the cumulative effect could not impact on safety provisions or compliance with the regulations (</w:t>
      </w:r>
      <w:r w:rsidR="00C23D8C">
        <w:t>i.e.</w:t>
      </w:r>
      <w:r>
        <w:t xml:space="preserve"> is equivalent to a Category C modification) it would be necessary to aggregate the concessions into a </w:t>
      </w:r>
      <w:r w:rsidR="003B4AC3">
        <w:t>modification and</w:t>
      </w:r>
      <w:r>
        <w:t xml:space="preserve"> submit it to the CA for approval in line with the normal modification process.</w:t>
      </w:r>
    </w:p>
    <w:p w14:paraId="2358D48E" w14:textId="6429D7F3" w:rsidR="00E707A4" w:rsidRDefault="00E707A4" w:rsidP="00E707A4">
      <w:pPr>
        <w:pStyle w:val="Heading2"/>
      </w:pPr>
      <w:bookmarkStart w:id="23" w:name="_Toc136940127"/>
      <w:r>
        <w:t>Application for the Approval of a Modification</w:t>
      </w:r>
      <w:bookmarkEnd w:id="23"/>
    </w:p>
    <w:p w14:paraId="38C53630" w14:textId="47080026" w:rsidR="00526CAF" w:rsidRDefault="00526CAF" w:rsidP="00C60B43">
      <w:pPr>
        <w:pStyle w:val="NumberedPara"/>
      </w:pPr>
      <w:bookmarkStart w:id="24" w:name="_Ref146533721"/>
      <w:r>
        <w:t>Applications to ONR for approval of Category A and Category B modifications should:</w:t>
      </w:r>
      <w:bookmarkEnd w:id="24"/>
    </w:p>
    <w:p w14:paraId="00BCA8FB" w14:textId="319A7CDC" w:rsidR="00526CAF" w:rsidRDefault="00A35633" w:rsidP="00526CAF">
      <w:pPr>
        <w:pStyle w:val="Bulletlist1"/>
      </w:pPr>
      <w:r>
        <w:t>C</w:t>
      </w:r>
      <w:r w:rsidR="00526CAF">
        <w:t>ontain general and administrative information, including as appropriate</w:t>
      </w:r>
    </w:p>
    <w:p w14:paraId="60AB5AFB" w14:textId="385050B2" w:rsidR="00526CAF" w:rsidRDefault="00526CAF" w:rsidP="004D7CD0">
      <w:pPr>
        <w:pStyle w:val="Bulletlist2"/>
      </w:pPr>
      <w:r>
        <w:t xml:space="preserve">name of design of package / material </w:t>
      </w:r>
    </w:p>
    <w:p w14:paraId="28CE390F" w14:textId="05A48563" w:rsidR="00526CAF" w:rsidRDefault="00526CAF" w:rsidP="004D7CD0">
      <w:pPr>
        <w:pStyle w:val="Bulletlist2"/>
      </w:pPr>
      <w:r>
        <w:t>contact details of applicant, design authority etc</w:t>
      </w:r>
      <w:r w:rsidR="004C289A">
        <w:t>.</w:t>
      </w:r>
    </w:p>
    <w:p w14:paraId="0A6FCCA5" w14:textId="2B64609E" w:rsidR="00526CAF" w:rsidRDefault="00526CAF" w:rsidP="004D7CD0">
      <w:pPr>
        <w:pStyle w:val="Bulletlist2"/>
      </w:pPr>
      <w:r>
        <w:t>the CA identification mark, and expiry date of current approval</w:t>
      </w:r>
    </w:p>
    <w:p w14:paraId="7E0A8165" w14:textId="2FC9A432" w:rsidR="00526CAF" w:rsidRDefault="00526CAF" w:rsidP="004D7CD0">
      <w:pPr>
        <w:pStyle w:val="Bulletlist2"/>
      </w:pPr>
      <w:r>
        <w:t>the category of the proposed modification</w:t>
      </w:r>
    </w:p>
    <w:p w14:paraId="74130D61" w14:textId="34A4C285" w:rsidR="00526CAF" w:rsidRDefault="00526CAF" w:rsidP="00382061">
      <w:pPr>
        <w:pStyle w:val="Bulletlist2"/>
        <w:ind w:left="2160" w:hanging="720"/>
      </w:pPr>
      <w:r>
        <w:t>information on where the modification will be undertaken, should the CA wish to observe</w:t>
      </w:r>
    </w:p>
    <w:p w14:paraId="624121A7" w14:textId="77777777" w:rsidR="0098273D" w:rsidRDefault="00526CAF" w:rsidP="0098273D">
      <w:pPr>
        <w:pStyle w:val="Bulletlist2"/>
      </w:pPr>
      <w:r>
        <w:t xml:space="preserve">information relating to packaging serial numbers  </w:t>
      </w:r>
    </w:p>
    <w:p w14:paraId="6E0BDCF0" w14:textId="6F531B09" w:rsidR="00526CAF" w:rsidRDefault="00526CAF" w:rsidP="0098273D">
      <w:pPr>
        <w:pStyle w:val="Bulletlist2"/>
      </w:pPr>
      <w:r>
        <w:t>the requested date for the approval;</w:t>
      </w:r>
    </w:p>
    <w:p w14:paraId="5827D155" w14:textId="39A62786" w:rsidR="00526CAF" w:rsidRDefault="00D5003D" w:rsidP="008416BC">
      <w:pPr>
        <w:pStyle w:val="Bulletlist1"/>
      </w:pPr>
      <w:r>
        <w:t>D</w:t>
      </w:r>
      <w:r w:rsidR="00526CAF">
        <w:t>escribe the proposed modification and the reasons for the change;</w:t>
      </w:r>
    </w:p>
    <w:p w14:paraId="0A968452" w14:textId="52002CC3" w:rsidR="00526CAF" w:rsidRDefault="00D5003D" w:rsidP="008416BC">
      <w:pPr>
        <w:pStyle w:val="Bulletlist1"/>
      </w:pPr>
      <w:r>
        <w:t>I</w:t>
      </w:r>
      <w:r w:rsidR="00526CAF">
        <w:t xml:space="preserve">dentify the parts of the original application </w:t>
      </w:r>
      <w:r w:rsidR="00AC4ED9">
        <w:t xml:space="preserve">and CoA </w:t>
      </w:r>
      <w:r w:rsidR="00526CAF">
        <w:t xml:space="preserve">affected, </w:t>
      </w:r>
      <w:r>
        <w:t>i.e</w:t>
      </w:r>
      <w:r w:rsidR="00D7041D">
        <w:t>.</w:t>
      </w:r>
      <w:r w:rsidR="00526CAF">
        <w:t xml:space="preserve"> state paragraph references;</w:t>
      </w:r>
    </w:p>
    <w:p w14:paraId="4B5EFA7B" w14:textId="64138D09" w:rsidR="00526CAF" w:rsidRDefault="00D5003D" w:rsidP="008416BC">
      <w:pPr>
        <w:pStyle w:val="Bulletlist1"/>
      </w:pPr>
      <w:r>
        <w:t>J</w:t>
      </w:r>
      <w:r w:rsidR="00526CAF">
        <w:t>ustify the categorisation of the modification;</w:t>
      </w:r>
    </w:p>
    <w:p w14:paraId="15BC1F79" w14:textId="5B13C619" w:rsidR="00526CAF" w:rsidRDefault="00D5003D" w:rsidP="008416BC">
      <w:pPr>
        <w:pStyle w:val="Bulletlist1"/>
      </w:pPr>
      <w:r>
        <w:lastRenderedPageBreak/>
        <w:t>D</w:t>
      </w:r>
      <w:r w:rsidR="00526CAF">
        <w:t>escribe the arrangements for ensuring the likelihood of inadequately conceiving or executing the modification will be minimised;</w:t>
      </w:r>
      <w:r>
        <w:t xml:space="preserve"> and</w:t>
      </w:r>
    </w:p>
    <w:p w14:paraId="6D100FD0" w14:textId="29B0C7D6" w:rsidR="00526CAF" w:rsidRDefault="00D5003D" w:rsidP="008416BC">
      <w:pPr>
        <w:pStyle w:val="Bulletlist1"/>
      </w:pPr>
      <w:r>
        <w:t>D</w:t>
      </w:r>
      <w:r w:rsidR="00526CAF">
        <w:t>emonstrate that the modified design / operation / management system will be compliant with the regulations, properly implemented, and remain safe.</w:t>
      </w:r>
    </w:p>
    <w:p w14:paraId="1C3B9ADF" w14:textId="67AC2AC4" w:rsidR="00526CAF" w:rsidRDefault="00526CAF" w:rsidP="00C60B43">
      <w:pPr>
        <w:pStyle w:val="NumberedPara"/>
      </w:pPr>
      <w:r>
        <w:t xml:space="preserve">Applications should include a Modification Sheet, which should summarise the information required in </w:t>
      </w:r>
      <w:r w:rsidRPr="00EF5AC6">
        <w:t xml:space="preserve">paragraph </w:t>
      </w:r>
      <w:r w:rsidR="008C2B5E">
        <w:fldChar w:fldCharType="begin"/>
      </w:r>
      <w:r w:rsidR="008C2B5E">
        <w:instrText xml:space="preserve"> REF _Ref146533721 \r \h </w:instrText>
      </w:r>
      <w:r w:rsidR="008C2B5E">
        <w:fldChar w:fldCharType="separate"/>
      </w:r>
      <w:r w:rsidR="008C2B5E">
        <w:t>92</w:t>
      </w:r>
      <w:r w:rsidR="008C2B5E">
        <w:fldChar w:fldCharType="end"/>
      </w:r>
      <w:r>
        <w:t xml:space="preserve">. For complex modifications, the Modification Sheet will need </w:t>
      </w:r>
      <w:r w:rsidR="00DD724E">
        <w:t xml:space="preserve">supporting by </w:t>
      </w:r>
      <w:r>
        <w:t xml:space="preserve">either a revised safety case or reports </w:t>
      </w:r>
      <w:r w:rsidR="00DD724E">
        <w:t xml:space="preserve">justifying </w:t>
      </w:r>
      <w:r>
        <w:t>amend</w:t>
      </w:r>
      <w:r w:rsidR="00DD724E">
        <w:t>ments to</w:t>
      </w:r>
      <w:r>
        <w:t xml:space="preserve"> the existing safety case.</w:t>
      </w:r>
    </w:p>
    <w:p w14:paraId="35B11DAD" w14:textId="07CCE129" w:rsidR="00526CAF" w:rsidRDefault="00526CAF" w:rsidP="00C60B43">
      <w:pPr>
        <w:pStyle w:val="NumberedPara"/>
      </w:pPr>
      <w:r>
        <w:t>The Modification Sheet should include the following information:</w:t>
      </w:r>
    </w:p>
    <w:p w14:paraId="66CC4652" w14:textId="001C76BF" w:rsidR="00526CAF" w:rsidRDefault="00526CAF" w:rsidP="008416BC">
      <w:pPr>
        <w:pStyle w:val="Bulletlist1"/>
      </w:pPr>
      <w:r>
        <w:t>applicant’s name;</w:t>
      </w:r>
    </w:p>
    <w:p w14:paraId="45B294C6" w14:textId="3D0494C8" w:rsidR="00526CAF" w:rsidRDefault="00526CAF" w:rsidP="008416BC">
      <w:pPr>
        <w:pStyle w:val="Bulletlist1"/>
      </w:pPr>
      <w:r>
        <w:t>reference number and title / subject of the modification;</w:t>
      </w:r>
    </w:p>
    <w:p w14:paraId="6F0259BA" w14:textId="08BF4E72" w:rsidR="00526CAF" w:rsidRDefault="00526CAF" w:rsidP="008416BC">
      <w:pPr>
        <w:pStyle w:val="Bulletlist1"/>
      </w:pPr>
      <w:r>
        <w:t>the CA identification mark;</w:t>
      </w:r>
    </w:p>
    <w:p w14:paraId="483920B1" w14:textId="2C447078" w:rsidR="00526CAF" w:rsidRDefault="00526CAF" w:rsidP="008416BC">
      <w:pPr>
        <w:pStyle w:val="Bulletlist1"/>
      </w:pPr>
      <w:r>
        <w:t>existing safety documentation title / reference numbers;</w:t>
      </w:r>
    </w:p>
    <w:p w14:paraId="52A80456" w14:textId="5EFF2027" w:rsidR="00526CAF" w:rsidRDefault="00526CAF" w:rsidP="008416BC">
      <w:pPr>
        <w:pStyle w:val="Bulletlist1"/>
      </w:pPr>
      <w:r>
        <w:t>existing drawing(s) title / reference numbers;</w:t>
      </w:r>
    </w:p>
    <w:p w14:paraId="12BB2F83" w14:textId="0B58C431" w:rsidR="00526CAF" w:rsidRDefault="00526CAF" w:rsidP="008416BC">
      <w:pPr>
        <w:pStyle w:val="Bulletlist1"/>
      </w:pPr>
      <w:r>
        <w:t>proposed category of modification;</w:t>
      </w:r>
    </w:p>
    <w:p w14:paraId="321A6705" w14:textId="17E8DE28" w:rsidR="00526CAF" w:rsidRDefault="00526CAF" w:rsidP="008416BC">
      <w:pPr>
        <w:pStyle w:val="Bulletlist1"/>
      </w:pPr>
      <w:r>
        <w:t>justification of the modification category;</w:t>
      </w:r>
    </w:p>
    <w:p w14:paraId="39EEE7A9" w14:textId="0F1C2712" w:rsidR="00526CAF" w:rsidRDefault="00526CAF" w:rsidP="008416BC">
      <w:pPr>
        <w:pStyle w:val="Bulletlist1"/>
      </w:pPr>
      <w:r>
        <w:t>details of the proposed modification;</w:t>
      </w:r>
    </w:p>
    <w:p w14:paraId="1D3A04C1" w14:textId="75CC2DD9" w:rsidR="00526CAF" w:rsidRDefault="00526CAF" w:rsidP="008416BC">
      <w:pPr>
        <w:pStyle w:val="Bulletlist1"/>
      </w:pPr>
      <w:r>
        <w:t>compliance / safety justification of the modification or reference to revised safety case / justification reports;</w:t>
      </w:r>
      <w:r w:rsidR="00802A90">
        <w:t xml:space="preserve"> and</w:t>
      </w:r>
    </w:p>
    <w:p w14:paraId="55D52918" w14:textId="2085DEA2" w:rsidR="00526CAF" w:rsidRDefault="00526CAF" w:rsidP="008416BC">
      <w:pPr>
        <w:pStyle w:val="Bulletlist1"/>
      </w:pPr>
      <w:r>
        <w:t xml:space="preserve">signature of </w:t>
      </w:r>
      <w:r w:rsidR="00463551">
        <w:t xml:space="preserve">the </w:t>
      </w:r>
      <w:r w:rsidR="00476F27">
        <w:t xml:space="preserve">applicant’s </w:t>
      </w:r>
      <w:r>
        <w:t>responsible officer(s) and date.</w:t>
      </w:r>
    </w:p>
    <w:p w14:paraId="344E7226" w14:textId="1A4E2E5D" w:rsidR="00526CAF" w:rsidRPr="00526CAF" w:rsidRDefault="00526CAF" w:rsidP="00C60B43">
      <w:pPr>
        <w:pStyle w:val="NumberedPara"/>
      </w:pPr>
      <w:r>
        <w:t xml:space="preserve">The Modification Sheet should include </w:t>
      </w:r>
      <w:r w:rsidR="00EB0AE7">
        <w:t>a section</w:t>
      </w:r>
      <w:r>
        <w:t xml:space="preserve"> for ONR comments and </w:t>
      </w:r>
      <w:r w:rsidR="00EB0AE7">
        <w:t>endorsement</w:t>
      </w:r>
      <w:r>
        <w:t>.</w:t>
      </w:r>
    </w:p>
    <w:p w14:paraId="33D7CDA8" w14:textId="58C913EA" w:rsidR="0008774E" w:rsidRDefault="0008774E" w:rsidP="00E707A4">
      <w:pPr>
        <w:pStyle w:val="Heading1"/>
      </w:pPr>
      <w:bookmarkStart w:id="25" w:name="_Toc136940128"/>
      <w:r>
        <w:t>Special Arrangements</w:t>
      </w:r>
      <w:bookmarkEnd w:id="25"/>
    </w:p>
    <w:p w14:paraId="350DD55F" w14:textId="4F342E15" w:rsidR="008416BC" w:rsidRDefault="00D54915" w:rsidP="00D54915">
      <w:pPr>
        <w:pStyle w:val="Heading2"/>
      </w:pPr>
      <w:bookmarkStart w:id="26" w:name="_Toc136940129"/>
      <w:r>
        <w:t>Background</w:t>
      </w:r>
      <w:bookmarkEnd w:id="26"/>
    </w:p>
    <w:p w14:paraId="0C5740D6" w14:textId="50C30C1D" w:rsidR="00766F02" w:rsidRDefault="00E73C78" w:rsidP="00766F02">
      <w:pPr>
        <w:pStyle w:val="NumberedPara"/>
      </w:pPr>
      <w:r>
        <w:t xml:space="preserve">Requirements for </w:t>
      </w:r>
      <w:r w:rsidR="008D4D00">
        <w:t xml:space="preserve">transporting radioactive material </w:t>
      </w:r>
      <w:r w:rsidR="008A02DB">
        <w:t>are</w:t>
      </w:r>
      <w:r w:rsidR="008D4D00">
        <w:t xml:space="preserve"> constantly evolving</w:t>
      </w:r>
      <w:r w:rsidR="00290EF8">
        <w:t xml:space="preserve">. </w:t>
      </w:r>
      <w:r w:rsidR="00766F02">
        <w:t>There are:</w:t>
      </w:r>
    </w:p>
    <w:p w14:paraId="0A5F0D77" w14:textId="4E18BFD6" w:rsidR="00766F02" w:rsidRDefault="002C5684" w:rsidP="00766F02">
      <w:pPr>
        <w:pStyle w:val="Bulletlist1"/>
      </w:pPr>
      <w:r>
        <w:t>D</w:t>
      </w:r>
      <w:r w:rsidR="00766F02">
        <w:t>ecommissioning activities and uncertainty associated with the nature of some legacy radioactive materials;</w:t>
      </w:r>
    </w:p>
    <w:p w14:paraId="7B9438C9" w14:textId="2A86D22F" w:rsidR="00766F02" w:rsidRDefault="002C5684" w:rsidP="00766F02">
      <w:pPr>
        <w:pStyle w:val="Bulletlist1"/>
      </w:pPr>
      <w:r>
        <w:t>S</w:t>
      </w:r>
      <w:r w:rsidR="00766F02">
        <w:t>trategic safety and security imperatives that require movement of radioactive materials; and</w:t>
      </w:r>
    </w:p>
    <w:p w14:paraId="00537DD2" w14:textId="25E87AF7" w:rsidR="00766F02" w:rsidRDefault="002C5684" w:rsidP="00766F02">
      <w:pPr>
        <w:pStyle w:val="Bulletlist1"/>
      </w:pPr>
      <w:r>
        <w:lastRenderedPageBreak/>
        <w:t>N</w:t>
      </w:r>
      <w:r w:rsidR="00766F02">
        <w:t>ovel nuclear materials / components, which will need to be transported now or in the near future.</w:t>
      </w:r>
    </w:p>
    <w:p w14:paraId="37ACFD1C" w14:textId="36032C94" w:rsidR="00D54915" w:rsidRDefault="00766F02" w:rsidP="00047B38">
      <w:pPr>
        <w:pStyle w:val="NumberedPara"/>
      </w:pPr>
      <w:r>
        <w:t xml:space="preserve">Given the uncertainties associated with these areas, circumstances may arise where it may be difficult to design (or modify) a package so that it meets all the standard package design features prescribed in the regulations with sufficient certainty. Therefore, to enable the use of such package designs for unique radioactive material shipments </w:t>
      </w:r>
      <w:r w:rsidR="00047B38">
        <w:t>t</w:t>
      </w:r>
      <w:r w:rsidR="00C22EF3">
        <w:t>he regulations permit for s</w:t>
      </w:r>
      <w:r w:rsidR="00D54915">
        <w:t>hipments in these situations under a provision known as a Special Arrangement.</w:t>
      </w:r>
    </w:p>
    <w:p w14:paraId="376EAB7A" w14:textId="1FDF7E89" w:rsidR="00D54915" w:rsidRDefault="00EF71F2" w:rsidP="00C60B43">
      <w:pPr>
        <w:pStyle w:val="NumberedPara"/>
      </w:pPr>
      <w:r>
        <w:t>Paragraph 310 of SSR-6</w:t>
      </w:r>
      <w:r w:rsidR="003E5F7A">
        <w:t xml:space="preserve"> describes the </w:t>
      </w:r>
      <w:r w:rsidR="00D54915">
        <w:t>Special Arrangement approval.</w:t>
      </w:r>
    </w:p>
    <w:p w14:paraId="02D9B67B" w14:textId="09CEED15" w:rsidR="00D54915" w:rsidRPr="00150828" w:rsidRDefault="00D54915" w:rsidP="00150828">
      <w:pPr>
        <w:ind w:left="720"/>
        <w:rPr>
          <w:i/>
          <w:iCs/>
        </w:rPr>
      </w:pPr>
      <w:r w:rsidRPr="00D54915">
        <w:rPr>
          <w:i/>
          <w:iCs/>
        </w:rPr>
        <w:t>Consignments for which conformity with the other provisions of these Regulations is impracticable shall not be transported except under special arrangement. Provided the competent authority is satisfied that conformity with the other provisions of these Regulations is impracticable and that the requisite standards of safety established by these Regulations have been demonstrated through means alternative to the other provisions, the competent authority may approve special arrangement transport operations for single or a planned series of multiple consignments. The overall level of safety in transport shall be at least equivalent to that which would be provided if all the applicable requirements had been met. For consignments of this type, multilateral approval shall be required.</w:t>
      </w:r>
      <w:r>
        <w:t xml:space="preserve"> </w:t>
      </w:r>
    </w:p>
    <w:p w14:paraId="44EB60F4" w14:textId="22B04552" w:rsidR="001F007E" w:rsidRDefault="00533925" w:rsidP="00C60B43">
      <w:pPr>
        <w:pStyle w:val="NumberedPara"/>
      </w:pPr>
      <w:r>
        <w:t>S</w:t>
      </w:r>
      <w:r w:rsidR="00D54915">
        <w:t>pecial Arrangemen</w:t>
      </w:r>
      <w:r w:rsidR="000C18D0">
        <w:t>t</w:t>
      </w:r>
      <w:r>
        <w:t>s</w:t>
      </w:r>
      <w:r w:rsidR="00AD6DD7">
        <w:t xml:space="preserve"> provide applicants with</w:t>
      </w:r>
      <w:r w:rsidR="00D54915">
        <w:t xml:space="preserve"> flexibility to propose alternative safety measures</w:t>
      </w:r>
      <w:r w:rsidR="00AD6DD7">
        <w:t xml:space="preserve">. These measures must still </w:t>
      </w:r>
      <w:r w:rsidR="00D54915">
        <w:t xml:space="preserve">deliver an overall level of transport safety that is at least equivalent to those measures required by the regulations. </w:t>
      </w:r>
    </w:p>
    <w:p w14:paraId="1FD8B372" w14:textId="36F9908C" w:rsidR="00D54915" w:rsidRDefault="008A6774" w:rsidP="00C60B43">
      <w:pPr>
        <w:pStyle w:val="NumberedPara"/>
      </w:pPr>
      <w:r>
        <w:t xml:space="preserve">Regulation 12 of CDG - Authorisation offers an alternative </w:t>
      </w:r>
      <w:r w:rsidR="00D54915">
        <w:t>flexible approach, for road and rail transport</w:t>
      </w:r>
      <w:r w:rsidR="0037198D">
        <w:t xml:space="preserve">.  This enables </w:t>
      </w:r>
      <w:r w:rsidR="00D54915">
        <w:t xml:space="preserve">the CA to authorise the domestic transport of radioactive materials for unusual and exceptional </w:t>
      </w:r>
      <w:r w:rsidR="003876C0">
        <w:t>situations,</w:t>
      </w:r>
      <w:r w:rsidR="00D54915">
        <w:t xml:space="preserve"> which are contrary to the provisions and requirements of the prescriptive international regulatory framework, provided safety is not compromised (</w:t>
      </w:r>
      <w:r w:rsidR="003876C0">
        <w:t>i.e.</w:t>
      </w:r>
      <w:r w:rsidR="00D54915">
        <w:t xml:space="preserve"> it is demonstrated that risks are ALARP). </w:t>
      </w:r>
      <w:r w:rsidR="00431CB7">
        <w:t xml:space="preserve">For example, </w:t>
      </w:r>
      <w:r w:rsidR="00272526">
        <w:t xml:space="preserve">a </w:t>
      </w:r>
      <w:r w:rsidR="00D54915">
        <w:t>Regulation 12 Authorisation might be used to permit the transport of very low levels of radioactive material if there are administrative compatibility issues between different regulation</w:t>
      </w:r>
      <w:r w:rsidR="000558BF">
        <w:t>s</w:t>
      </w:r>
      <w:r w:rsidR="00D54915">
        <w:t xml:space="preserve"> governing radiological risk.</w:t>
      </w:r>
    </w:p>
    <w:p w14:paraId="5D6C6D46" w14:textId="77777777" w:rsidR="006209B4" w:rsidRDefault="006209B4" w:rsidP="006209B4">
      <w:pPr>
        <w:pStyle w:val="NumberedPara"/>
      </w:pPr>
      <w:r>
        <w:t>The regulations also require, in certain circumstances, a Special Arrangement approval for sea transport and for air transport if the surface radiation levels of the package exceed 2 mSv/h (see SSR-6 paragraphs 575 and 579).</w:t>
      </w:r>
    </w:p>
    <w:p w14:paraId="63F69AFC" w14:textId="5768F1C2" w:rsidR="00D54915" w:rsidRDefault="00D54915" w:rsidP="00D54915">
      <w:pPr>
        <w:pStyle w:val="Heading2"/>
      </w:pPr>
      <w:bookmarkStart w:id="27" w:name="_Toc136940130"/>
      <w:r>
        <w:t>Application Requirements</w:t>
      </w:r>
      <w:bookmarkEnd w:id="27"/>
    </w:p>
    <w:p w14:paraId="52ACBEAF" w14:textId="3AE37BD4" w:rsidR="00D54915" w:rsidRDefault="00D54915" w:rsidP="00C60B43">
      <w:pPr>
        <w:pStyle w:val="NumberedPara"/>
      </w:pPr>
      <w:r>
        <w:t>Special Arrangement</w:t>
      </w:r>
      <w:r w:rsidR="002B37BD">
        <w:t xml:space="preserve">s are </w:t>
      </w:r>
      <w:r>
        <w:t xml:space="preserve">not a package design option for routine transport operations. </w:t>
      </w:r>
      <w:r w:rsidR="009A33C8">
        <w:t xml:space="preserve">ONR only considers and </w:t>
      </w:r>
      <w:r w:rsidR="00D62A06">
        <w:t>approves</w:t>
      </w:r>
      <w:r w:rsidR="009A33C8">
        <w:t xml:space="preserve"> </w:t>
      </w:r>
      <w:r>
        <w:t>Special Arrangements in exceptional circumstances and therefore consider</w:t>
      </w:r>
      <w:r w:rsidR="005D1DA4">
        <w:t>s them</w:t>
      </w:r>
      <w:r>
        <w:t xml:space="preserve"> on a </w:t>
      </w:r>
      <w:r w:rsidR="009A33C8">
        <w:t>case-by-case</w:t>
      </w:r>
      <w:r>
        <w:t xml:space="preserve"> basis. </w:t>
      </w:r>
      <w:r w:rsidR="0007504B">
        <w:t>Applicants must</w:t>
      </w:r>
      <w:r>
        <w:t xml:space="preserve"> contact and engage with ONR at an early stage in their deliberations.</w:t>
      </w:r>
    </w:p>
    <w:p w14:paraId="481C1538" w14:textId="2D31FB73" w:rsidR="00D54915" w:rsidRDefault="005D1DA4" w:rsidP="00C60B43">
      <w:pPr>
        <w:pStyle w:val="NumberedPara"/>
      </w:pPr>
      <w:r>
        <w:t>Primarily</w:t>
      </w:r>
      <w:r w:rsidR="00D54915">
        <w:t xml:space="preserve">, </w:t>
      </w:r>
      <w:r w:rsidR="00581E28">
        <w:t xml:space="preserve">ONR expects </w:t>
      </w:r>
      <w:r w:rsidR="00F22563">
        <w:t>applicants</w:t>
      </w:r>
      <w:r w:rsidR="00D54915">
        <w:t xml:space="preserve"> to design and manufacture (or modify) a transport package to be fully compliant </w:t>
      </w:r>
      <w:r w:rsidR="000F342D">
        <w:t xml:space="preserve">with </w:t>
      </w:r>
      <w:r w:rsidR="00D54915">
        <w:t xml:space="preserve">Type A, B or C (or other relevant) requirements. </w:t>
      </w:r>
      <w:r w:rsidR="00D54915">
        <w:lastRenderedPageBreak/>
        <w:t xml:space="preserve">ONR will only consider a Special Arrangement in circumstances where a package complies with the majority of the specific </w:t>
      </w:r>
      <w:r w:rsidR="007F3C14">
        <w:t>package design requirements,</w:t>
      </w:r>
      <w:r w:rsidR="00F26E98">
        <w:t xml:space="preserve"> and the </w:t>
      </w:r>
      <w:r w:rsidR="00476F27">
        <w:t xml:space="preserve">applicant </w:t>
      </w:r>
      <w:r w:rsidR="00F26E98">
        <w:t>can show that</w:t>
      </w:r>
      <w:r w:rsidR="0037403F">
        <w:t xml:space="preserve"> </w:t>
      </w:r>
      <w:r w:rsidR="00D54915">
        <w:t>compl</w:t>
      </w:r>
      <w:r w:rsidR="0037403F">
        <w:t>iance</w:t>
      </w:r>
      <w:r w:rsidR="00D54915">
        <w:t xml:space="preserve"> with a certain provision or related set of provisions of the regulations</w:t>
      </w:r>
      <w:r w:rsidR="0037403F">
        <w:t xml:space="preserve"> is impracticable</w:t>
      </w:r>
      <w:r w:rsidR="00D54915">
        <w:t>.</w:t>
      </w:r>
    </w:p>
    <w:p w14:paraId="7866D06B" w14:textId="217CE24E" w:rsidR="00D54915" w:rsidRDefault="00D54915" w:rsidP="00C60B43">
      <w:pPr>
        <w:pStyle w:val="NumberedPara"/>
      </w:pPr>
      <w:bookmarkStart w:id="28" w:name="_Ref136939533"/>
      <w:r>
        <w:t>The regulations require that an application for approval of shipments under Special Arrangement shall include all the information necessary to satisfy the CA that the overall level of safety in transport is at least equivalent to that which would be provided if all the applicable requirements of the Regulations had been met. Moreover, the regulations ask for a statement of the respects in which, and reasons why, the shipment cannot be made in full accordance with the applicable requirements. They also ask for a statement of any special precautions or special administrative or operational controls (compensatory measures) that are to be employed during transport to compensate for the failure to meet the applicable requirements.</w:t>
      </w:r>
      <w:bookmarkEnd w:id="28"/>
    </w:p>
    <w:p w14:paraId="1B56993A" w14:textId="59A9D208" w:rsidR="00D54915" w:rsidRDefault="000A2A5C" w:rsidP="00C60B43">
      <w:pPr>
        <w:pStyle w:val="NumberedPara"/>
      </w:pPr>
      <w:r>
        <w:t>To</w:t>
      </w:r>
      <w:r w:rsidR="00D54915">
        <w:t xml:space="preserve"> satisfy </w:t>
      </w:r>
      <w:r w:rsidR="00BE459B">
        <w:t xml:space="preserve">paragraph </w:t>
      </w:r>
      <w:r w:rsidR="005C36A5">
        <w:fldChar w:fldCharType="begin"/>
      </w:r>
      <w:r w:rsidR="005C36A5">
        <w:instrText xml:space="preserve"> REF _Ref136939533 \r \p \h </w:instrText>
      </w:r>
      <w:r w:rsidR="005C36A5">
        <w:fldChar w:fldCharType="separate"/>
      </w:r>
      <w:r w:rsidR="005C36A5">
        <w:t>102 above</w:t>
      </w:r>
      <w:r w:rsidR="005C36A5">
        <w:fldChar w:fldCharType="end"/>
      </w:r>
      <w:r w:rsidR="00D54915">
        <w:t xml:space="preserve">, the </w:t>
      </w:r>
      <w:r w:rsidR="00476F27">
        <w:t>applicant</w:t>
      </w:r>
      <w:r w:rsidR="00D54915">
        <w:t xml:space="preserve"> will need to develop and submit an adequate transport safety case to ONR. The safety case should clearly demonstrate which requirements of the regulations the package cannot meet and why it is impracticable to do so. It should provide a clearly substantiated demonstration and conclusion that the proposed compensatory measures will reduce the overall risk from the transport operation to ALARP and will ensure compliance with relevant provisions of the Ionising Radiations Regulations including prior risk assessment, restriction of exposure and dose limitation. Hence a safety outcome will be achieved at least equivalent to that if the package met all the applicable requirements of the regulations.</w:t>
      </w:r>
    </w:p>
    <w:p w14:paraId="6440FF63" w14:textId="6DE948E0" w:rsidR="00D54915" w:rsidRDefault="00D54915" w:rsidP="00C60B43">
      <w:pPr>
        <w:pStyle w:val="NumberedPara"/>
      </w:pPr>
      <w:r>
        <w:t>The Special Arrangement safety case should include as a minimum the following:</w:t>
      </w:r>
    </w:p>
    <w:p w14:paraId="2C927772" w14:textId="3672C94E" w:rsidR="00D54915" w:rsidRDefault="00D54915" w:rsidP="005C36A5">
      <w:pPr>
        <w:pStyle w:val="ListParagraph"/>
        <w:numPr>
          <w:ilvl w:val="0"/>
          <w:numId w:val="26"/>
        </w:numPr>
        <w:ind w:left="1259" w:hanging="539"/>
        <w:contextualSpacing w:val="0"/>
      </w:pPr>
      <w:r>
        <w:t>Demonstration that the design is compliant with the regulations apart from those provisions for which a Special Arrangement is requested.</w:t>
      </w:r>
    </w:p>
    <w:p w14:paraId="09FD1B45" w14:textId="7DB3249A" w:rsidR="00D54915" w:rsidRDefault="00D54915" w:rsidP="005C36A5">
      <w:pPr>
        <w:pStyle w:val="ListParagraph"/>
        <w:numPr>
          <w:ilvl w:val="0"/>
          <w:numId w:val="26"/>
        </w:numPr>
        <w:ind w:left="1259" w:hanging="539"/>
        <w:contextualSpacing w:val="0"/>
      </w:pPr>
      <w:r>
        <w:t>Justification of the reason for the need for a Special Arrangement. This should demonstrate that a suitably robust optioneering process has been conducted in relation to achieving compliance of the package design with relevant Type-requirements. This should consider aspects such as a new design, use of alternative packages, modifications etc.</w:t>
      </w:r>
    </w:p>
    <w:p w14:paraId="4E0BEB26" w14:textId="65C31970" w:rsidR="00D54915" w:rsidRDefault="00D54915" w:rsidP="005C36A5">
      <w:pPr>
        <w:pStyle w:val="ListParagraph"/>
        <w:numPr>
          <w:ilvl w:val="0"/>
          <w:numId w:val="26"/>
        </w:numPr>
        <w:ind w:left="1259" w:hanging="539"/>
        <w:contextualSpacing w:val="0"/>
      </w:pPr>
      <w:r>
        <w:t>Justification, with suitable evidence, of why it is impracticable for the package design being proposed to be used for the shipment(s) to meet all the applicable requirements.</w:t>
      </w:r>
    </w:p>
    <w:p w14:paraId="3A48FCC7" w14:textId="1DCE2D48" w:rsidR="00D54915" w:rsidRDefault="00D54915" w:rsidP="005C36A5">
      <w:pPr>
        <w:pStyle w:val="ListParagraph"/>
        <w:numPr>
          <w:ilvl w:val="0"/>
          <w:numId w:val="26"/>
        </w:numPr>
        <w:ind w:left="1259" w:hanging="539"/>
        <w:contextualSpacing w:val="0"/>
      </w:pPr>
      <w:r>
        <w:t xml:space="preserve">Description of the additional safety measures (compensatory measures): </w:t>
      </w:r>
      <w:r w:rsidR="00451B6D">
        <w:t>i.e.</w:t>
      </w:r>
      <w:r>
        <w:t xml:space="preserve"> special precautions or special administrative / operational controls that are to be employed to provide at least an equivalent level of safety to that if all the applicable requirements had been met. This part of the safety case will need to contain much more than a statement of such controls. The </w:t>
      </w:r>
      <w:r w:rsidR="00476F27">
        <w:t>applicant</w:t>
      </w:r>
      <w:r w:rsidR="008C4975">
        <w:t xml:space="preserve"> should present the </w:t>
      </w:r>
      <w:r>
        <w:t>safety case in a claims, arguments and evidence format for each of the compensatory measures to be employed, and clearly justify how and why</w:t>
      </w:r>
      <w:r w:rsidR="008E4A97">
        <w:t>,</w:t>
      </w:r>
      <w:r>
        <w:t xml:space="preserve"> </w:t>
      </w:r>
      <w:r>
        <w:lastRenderedPageBreak/>
        <w:t>they will deliver at least an equivalent level of safety to that if all the applicable requirements had been met.</w:t>
      </w:r>
    </w:p>
    <w:p w14:paraId="1D162E52" w14:textId="11F02B86" w:rsidR="00D54915" w:rsidRDefault="00D54915" w:rsidP="005C36A5">
      <w:pPr>
        <w:pStyle w:val="ListParagraph"/>
        <w:numPr>
          <w:ilvl w:val="0"/>
          <w:numId w:val="26"/>
        </w:numPr>
        <w:ind w:left="1259" w:hanging="539"/>
        <w:contextualSpacing w:val="0"/>
      </w:pPr>
      <w:r>
        <w:t xml:space="preserve">The safety case should include a suitably comprehensive and appropriate hazard identification study for all stages of the transport operation </w:t>
      </w:r>
      <w:r w:rsidR="00806B32">
        <w:t>to</w:t>
      </w:r>
      <w:r>
        <w:t xml:space="preserve"> </w:t>
      </w:r>
      <w:r w:rsidR="005B0339">
        <w:t>determine</w:t>
      </w:r>
      <w:r>
        <w:t xml:space="preserve"> the nature and magnitude of the hazards and associated risks that will need to be controlled by compensatory measures.</w:t>
      </w:r>
    </w:p>
    <w:p w14:paraId="76FBB2F6" w14:textId="61F1FAFF" w:rsidR="00D54915" w:rsidRDefault="00D54915" w:rsidP="005C36A5">
      <w:pPr>
        <w:pStyle w:val="ListParagraph"/>
        <w:numPr>
          <w:ilvl w:val="0"/>
          <w:numId w:val="26"/>
        </w:numPr>
        <w:ind w:left="1259" w:hanging="539"/>
        <w:contextualSpacing w:val="0"/>
      </w:pPr>
      <w:r>
        <w:t>An analysis of the hazards and associated risks and of the suitability of the proposed compensatory measures against each of these</w:t>
      </w:r>
      <w:r w:rsidR="001C5593">
        <w:t>,</w:t>
      </w:r>
      <w:r>
        <w:t xml:space="preserve"> to deliver at least an equivalent level of safety / risk reduction</w:t>
      </w:r>
      <w:r w:rsidR="001C5593">
        <w:t>,</w:t>
      </w:r>
      <w:r>
        <w:t xml:space="preserve"> should be carried out and recorded. Depending on the circumstances and complexity, this part of the safety case (or supporting documentation) may also require formal fault analysis such as design basis / deterministic safety analysis and/or probabilistic safety analysis.</w:t>
      </w:r>
    </w:p>
    <w:p w14:paraId="310D89E5" w14:textId="58D96A57" w:rsidR="00D54915" w:rsidRDefault="00D54915" w:rsidP="005C36A5">
      <w:pPr>
        <w:pStyle w:val="ListParagraph"/>
        <w:numPr>
          <w:ilvl w:val="0"/>
          <w:numId w:val="26"/>
        </w:numPr>
        <w:ind w:left="1259" w:hanging="539"/>
        <w:contextualSpacing w:val="0"/>
      </w:pPr>
      <w:r>
        <w:t>The safety case should include suitably robust engineering, management system and where appropriate human factors substantiation of the adequacy of the compensatory measures and feasibility of their implementation during all stages of transport.</w:t>
      </w:r>
    </w:p>
    <w:p w14:paraId="700F750B" w14:textId="296B40CB" w:rsidR="00D54915" w:rsidRPr="00D54915" w:rsidRDefault="00D54915" w:rsidP="00C60B43">
      <w:pPr>
        <w:pStyle w:val="NumberedPara"/>
      </w:pPr>
      <w:r>
        <w:t>ONR also acts on behalf of the UK CAs for sea and air transport with respect to the issuing of transport approvals. ONR may therefore consult these organisations before granting a Special Arrangement approval that covers these modes of transport. ONR is likely to carry out inspections during the assessment process and/or prior to commencement of shipments under a Special Arrangement, to confirm the feasibility and adequacy of implementation of the compensatory measures</w:t>
      </w:r>
      <w:r w:rsidR="00375339">
        <w:t>.</w:t>
      </w:r>
    </w:p>
    <w:p w14:paraId="54CAE375" w14:textId="68A8FE4C" w:rsidR="00E707A4" w:rsidRDefault="00E707A4" w:rsidP="00E707A4">
      <w:pPr>
        <w:pStyle w:val="Heading1"/>
      </w:pPr>
      <w:bookmarkStart w:id="29" w:name="_Toc136940131"/>
      <w:r>
        <w:t>Approval Process</w:t>
      </w:r>
      <w:bookmarkEnd w:id="29"/>
    </w:p>
    <w:p w14:paraId="3630AAB6" w14:textId="6EBF5D6C" w:rsidR="00E707A4" w:rsidRDefault="00E707A4" w:rsidP="00E707A4">
      <w:pPr>
        <w:pStyle w:val="Heading2"/>
      </w:pPr>
      <w:bookmarkStart w:id="30" w:name="_Toc136940132"/>
      <w:r>
        <w:t>Management</w:t>
      </w:r>
      <w:bookmarkEnd w:id="30"/>
    </w:p>
    <w:p w14:paraId="6819D269" w14:textId="216CB074" w:rsidR="008416BC" w:rsidRDefault="008416BC" w:rsidP="00C60B43">
      <w:pPr>
        <w:pStyle w:val="NumberedPara"/>
      </w:pPr>
      <w:r>
        <w:t xml:space="preserve">On receipt of an application, ONR will </w:t>
      </w:r>
      <w:r w:rsidR="00194E4B">
        <w:t>conduct</w:t>
      </w:r>
      <w:r>
        <w:t xml:space="preserve"> a preliminary check (a Q0 check) on the submission to confirm that it is complete and as expected. The assessment team of ONR inspectors (a Project Inspector and appropriate technical assessors) for the work will be assigned and the assessment work programmed. </w:t>
      </w:r>
    </w:p>
    <w:p w14:paraId="41A9F8B6" w14:textId="23F57E39" w:rsidR="008416BC" w:rsidRDefault="008416BC" w:rsidP="00C60B43">
      <w:pPr>
        <w:pStyle w:val="NumberedPara"/>
      </w:pPr>
      <w:r>
        <w:t xml:space="preserve">If the Q0 check reveals that the submitted application does not include the required information or is in a format that does not meet the expectations of this guidance ONR may reject the application and request that it is resubmitted when complete and in good order. </w:t>
      </w:r>
      <w:r w:rsidR="009D525F">
        <w:t>ONR may recover t</w:t>
      </w:r>
      <w:r>
        <w:t>he cost of this process.</w:t>
      </w:r>
    </w:p>
    <w:p w14:paraId="30B72D8B" w14:textId="39D527CC" w:rsidR="008416BC" w:rsidRDefault="008416BC" w:rsidP="00C60B43">
      <w:pPr>
        <w:pStyle w:val="NumberedPara"/>
      </w:pPr>
      <w:r>
        <w:t>On confirmation that the application is complete, the assessment team will hold an initial meeting (the ‘pre-job brief’</w:t>
      </w:r>
      <w:r w:rsidR="00CA2767">
        <w:t>) and</w:t>
      </w:r>
      <w:r>
        <w:t xml:space="preserve"> following this meeting ONR will contact the applicant to inform them of the planned ‘Q1’ date. This is the date when ONR will send a consolidated list of questions to the applicant. These questions may be subdivided into Tier 1 and 2 (not to be confused with any tiers or parts of the safety case). </w:t>
      </w:r>
    </w:p>
    <w:p w14:paraId="7E5AF5A6" w14:textId="04DC6807" w:rsidR="008416BC" w:rsidRDefault="007C5611" w:rsidP="00C60B43">
      <w:pPr>
        <w:pStyle w:val="NumberedPara"/>
      </w:pPr>
      <w:r>
        <w:lastRenderedPageBreak/>
        <w:t xml:space="preserve">ONR will require resolution </w:t>
      </w:r>
      <w:r w:rsidR="007E5EFB">
        <w:t xml:space="preserve">of the </w:t>
      </w:r>
      <w:r w:rsidR="008416BC">
        <w:t xml:space="preserve">Tier 1 questions </w:t>
      </w:r>
      <w:r w:rsidR="007E5EFB">
        <w:t xml:space="preserve">by the </w:t>
      </w:r>
      <w:r w:rsidR="00476F27">
        <w:t xml:space="preserve">applicant </w:t>
      </w:r>
      <w:r w:rsidR="008416BC">
        <w:t xml:space="preserve">before </w:t>
      </w:r>
      <w:r w:rsidR="007E5EFB">
        <w:t xml:space="preserve">granting </w:t>
      </w:r>
      <w:r w:rsidR="008416BC">
        <w:t xml:space="preserve">an approval. </w:t>
      </w:r>
      <w:r w:rsidR="00E24E22">
        <w:t>W</w:t>
      </w:r>
      <w:r w:rsidR="008416BC">
        <w:t xml:space="preserve">hilst being </w:t>
      </w:r>
      <w:r w:rsidR="00E24E22">
        <w:t>safety related</w:t>
      </w:r>
      <w:r w:rsidR="008416BC">
        <w:t xml:space="preserve">, </w:t>
      </w:r>
      <w:r w:rsidR="005977A2">
        <w:t>ONR does not</w:t>
      </w:r>
      <w:r w:rsidR="008416BC">
        <w:t xml:space="preserve"> consider </w:t>
      </w:r>
      <w:r w:rsidR="00E24E22">
        <w:t xml:space="preserve">Tier 2 questions </w:t>
      </w:r>
      <w:r w:rsidR="008416BC">
        <w:t xml:space="preserve">essential to the safety case, and it would be disproportionate to withhold the permissioning on these alone. </w:t>
      </w:r>
      <w:r w:rsidR="00676223">
        <w:t>T</w:t>
      </w:r>
      <w:r w:rsidR="008416BC">
        <w:t xml:space="preserve">herefore </w:t>
      </w:r>
      <w:r w:rsidR="00676223">
        <w:t>resolution of Ti</w:t>
      </w:r>
      <w:r w:rsidR="007460B8">
        <w:t>er</w:t>
      </w:r>
      <w:r w:rsidR="00676223">
        <w:t xml:space="preserve"> 2 questions by the </w:t>
      </w:r>
      <w:r w:rsidR="00476F27">
        <w:t xml:space="preserve">applicant </w:t>
      </w:r>
      <w:r w:rsidR="00676223">
        <w:t>can be on</w:t>
      </w:r>
      <w:r w:rsidR="008416BC">
        <w:t xml:space="preserve"> a longer timeframe, subject to the provision of an adequate improvement / implementation plan agreed with ONR.</w:t>
      </w:r>
    </w:p>
    <w:p w14:paraId="028EDE70" w14:textId="4A50A9C3" w:rsidR="008416BC" w:rsidRDefault="008416BC" w:rsidP="00C60B43">
      <w:pPr>
        <w:pStyle w:val="NumberedPara"/>
      </w:pPr>
      <w:r>
        <w:t xml:space="preserve">ONR </w:t>
      </w:r>
      <w:r w:rsidR="005624B8">
        <w:t xml:space="preserve">will routinely engage with </w:t>
      </w:r>
      <w:r w:rsidR="00C35BC7">
        <w:t xml:space="preserve">the applicant </w:t>
      </w:r>
      <w:r>
        <w:t xml:space="preserve">during the assessment phase. ONR will raise any points for clarification and preliminary questions on the </w:t>
      </w:r>
      <w:r w:rsidR="005B4155">
        <w:t>submission and</w:t>
      </w:r>
      <w:r>
        <w:t xml:space="preserve"> attempt to resolve these before the end of the assessment. This makes the assessment process more efficient and effective by providing a chance to clear up matters at an early </w:t>
      </w:r>
      <w:r w:rsidR="005B4155">
        <w:t>stage and</w:t>
      </w:r>
      <w:r>
        <w:t xml:space="preserve"> assists transparency by avoiding surprises. </w:t>
      </w:r>
      <w:r w:rsidR="00022673">
        <w:t>ONR will record a</w:t>
      </w:r>
      <w:r>
        <w:t>ny initial findings</w:t>
      </w:r>
      <w:r w:rsidR="00253A78" w:rsidRPr="00253A78">
        <w:t xml:space="preserve"> </w:t>
      </w:r>
      <w:r w:rsidR="00253A78">
        <w:t>that it raises in this manner (other than those which turn out to be simple clarification)</w:t>
      </w:r>
      <w:r w:rsidR="00C55FFA">
        <w:t xml:space="preserve">, and </w:t>
      </w:r>
      <w:r w:rsidR="00253A78">
        <w:t>d</w:t>
      </w:r>
      <w:r w:rsidR="00C55FFA">
        <w:t>etails of their resolution</w:t>
      </w:r>
      <w:r>
        <w:t>, within the Q1 question set that i</w:t>
      </w:r>
      <w:r w:rsidR="00BB09C9">
        <w:t>t sends</w:t>
      </w:r>
      <w:r>
        <w:t xml:space="preserve"> to the applicant at the end of the assessment phase, so that a complete record exists. </w:t>
      </w:r>
      <w:r w:rsidR="00F269B5">
        <w:t>Prior to making an application f</w:t>
      </w:r>
      <w:r>
        <w:t xml:space="preserve">or new designs or novel, complex or potentially difficult applications, the </w:t>
      </w:r>
      <w:r w:rsidR="00476F27">
        <w:t xml:space="preserve">applicant </w:t>
      </w:r>
      <w:r w:rsidR="007F20A8">
        <w:t>should</w:t>
      </w:r>
      <w:r>
        <w:t xml:space="preserve"> engage with ONR to present and discuss the options </w:t>
      </w:r>
      <w:r w:rsidR="00E97512">
        <w:t>it is considering</w:t>
      </w:r>
      <w:r>
        <w:t xml:space="preserve"> and outline the safety case.</w:t>
      </w:r>
    </w:p>
    <w:p w14:paraId="3DF82F5A" w14:textId="01B6F982" w:rsidR="008416BC" w:rsidRDefault="008416BC" w:rsidP="00C60B43">
      <w:pPr>
        <w:pStyle w:val="NumberedPara"/>
      </w:pPr>
      <w:r>
        <w:t xml:space="preserve">The expectation is that the applicant will respond to the Q1 questions within six weeks. If </w:t>
      </w:r>
      <w:r w:rsidR="00BF4A53">
        <w:t xml:space="preserve">the applicant requires </w:t>
      </w:r>
      <w:r>
        <w:t xml:space="preserve">a longer period </w:t>
      </w:r>
      <w:r w:rsidR="00BF4A53">
        <w:t>e.g.</w:t>
      </w:r>
      <w:r>
        <w:t xml:space="preserve"> to address significant shortfalls in a submission, </w:t>
      </w:r>
      <w:r w:rsidR="007F3F5D">
        <w:t>the applicant should advise</w:t>
      </w:r>
      <w:r>
        <w:t xml:space="preserve"> ONR. Once </w:t>
      </w:r>
      <w:r w:rsidR="007F3F5D">
        <w:t xml:space="preserve">the applicant has </w:t>
      </w:r>
      <w:r w:rsidR="00E27457">
        <w:t>resolved</w:t>
      </w:r>
      <w:r w:rsidR="007F3F5D">
        <w:t xml:space="preserve"> al</w:t>
      </w:r>
      <w:r>
        <w:t xml:space="preserve">l the Q1 questions, ONR will prepare a draft approval, and normally send it to the applicant for a factual accuracy check, allowing five working days for comment. ONR will then </w:t>
      </w:r>
      <w:r w:rsidR="00B123B3">
        <w:t>complete</w:t>
      </w:r>
      <w:r>
        <w:t xml:space="preserve"> the final stages of its approval process, </w:t>
      </w:r>
      <w:r w:rsidR="00B123B3">
        <w:t>updat</w:t>
      </w:r>
      <w:r>
        <w:t>e its records and issue the Approval to the applicant.</w:t>
      </w:r>
    </w:p>
    <w:p w14:paraId="753D602B" w14:textId="737C9D2E" w:rsidR="008416BC" w:rsidRDefault="008416BC" w:rsidP="00C60B43">
      <w:pPr>
        <w:pStyle w:val="NumberedPara"/>
      </w:pPr>
      <w:r>
        <w:t xml:space="preserve">If there are substantial problems with a submission it may be more efficient for the </w:t>
      </w:r>
      <w:r w:rsidR="0030561B">
        <w:t xml:space="preserve">applicant to withdraw its </w:t>
      </w:r>
      <w:r>
        <w:t xml:space="preserve">application and resubmit when </w:t>
      </w:r>
      <w:r w:rsidR="004708C1">
        <w:t>it has resolved the</w:t>
      </w:r>
      <w:r>
        <w:t xml:space="preserve"> problems. ONR may reject an application if it considers that the resolution of any remaining issues is unlikely within a reasonable timescale.</w:t>
      </w:r>
    </w:p>
    <w:p w14:paraId="2D5E005B" w14:textId="4100E14B" w:rsidR="00CF78E2" w:rsidRDefault="00CF78E2" w:rsidP="00CF78E2">
      <w:pPr>
        <w:pStyle w:val="NumberedPara"/>
      </w:pPr>
      <w:r>
        <w:t xml:space="preserve">ONR strives to be efficient and effective and to provide greater clarity about the costs of our regulatory decisions. However, the time required </w:t>
      </w:r>
      <w:r w:rsidR="00E4778D">
        <w:t>to complete</w:t>
      </w:r>
      <w:r>
        <w:t xml:space="preserve"> the ONR approval process can vary significantly even for similar package or approval ‘type’. These variations are determined by a </w:t>
      </w:r>
      <w:r w:rsidR="00E4778D">
        <w:t>variety</w:t>
      </w:r>
      <w:r w:rsidR="00AC79FC">
        <w:t xml:space="preserve"> of</w:t>
      </w:r>
      <w:r>
        <w:t xml:space="preserve"> factors, including: </w:t>
      </w:r>
    </w:p>
    <w:p w14:paraId="0A40642D" w14:textId="63FA669B" w:rsidR="00CF78E2" w:rsidRDefault="00CF78E2" w:rsidP="00BD35B7">
      <w:pPr>
        <w:pStyle w:val="Bulletlist1"/>
      </w:pPr>
      <w:r>
        <w:t xml:space="preserve">whether the applicants submission contains suitable and sufficient evidence for ONR to make its judgment  </w:t>
      </w:r>
    </w:p>
    <w:p w14:paraId="634FBFE7" w14:textId="77777777" w:rsidR="00CF78E2" w:rsidRDefault="00CF78E2" w:rsidP="00BD35B7">
      <w:pPr>
        <w:pStyle w:val="Bulletlist1"/>
      </w:pPr>
      <w:r>
        <w:t>the type of approval request;</w:t>
      </w:r>
    </w:p>
    <w:p w14:paraId="0581EB8B" w14:textId="77777777" w:rsidR="00CF78E2" w:rsidRDefault="00CF78E2" w:rsidP="00BD35B7">
      <w:pPr>
        <w:pStyle w:val="Bulletlist1"/>
      </w:pPr>
      <w:r>
        <w:t>the novelty or complexity of the design and/or its safety substantiation;</w:t>
      </w:r>
    </w:p>
    <w:p w14:paraId="6435F92D" w14:textId="6BB08B9E" w:rsidR="00CF78E2" w:rsidRDefault="00CF78E2" w:rsidP="00BD35B7">
      <w:pPr>
        <w:pStyle w:val="Bulletlist1"/>
      </w:pPr>
      <w:r>
        <w:t xml:space="preserve">whether the design has been previously assessed and approved by ONR or other </w:t>
      </w:r>
      <w:r w:rsidR="0005036A">
        <w:t>CAs</w:t>
      </w:r>
      <w:r>
        <w:t>;</w:t>
      </w:r>
    </w:p>
    <w:p w14:paraId="05A530B5" w14:textId="51F1ED3A" w:rsidR="00CF78E2" w:rsidRDefault="00CF78E2" w:rsidP="00BD35B7">
      <w:pPr>
        <w:pStyle w:val="Bulletlist1"/>
      </w:pPr>
      <w:r>
        <w:t xml:space="preserve">ONR’s knowledge of the package and / or </w:t>
      </w:r>
      <w:r w:rsidR="0098452B">
        <w:t>applicant</w:t>
      </w:r>
      <w:r>
        <w:t>;</w:t>
      </w:r>
    </w:p>
    <w:p w14:paraId="2D4A3ECF" w14:textId="77777777" w:rsidR="00CF78E2" w:rsidRDefault="00CF78E2" w:rsidP="00BD35B7">
      <w:pPr>
        <w:pStyle w:val="Bulletlist1"/>
      </w:pPr>
      <w:r>
        <w:lastRenderedPageBreak/>
        <w:t>for renewals, whether a periodic design review report has been provided;</w:t>
      </w:r>
    </w:p>
    <w:p w14:paraId="145867BD" w14:textId="3786EBCA" w:rsidR="00CF78E2" w:rsidRDefault="00CF78E2" w:rsidP="00BD35B7">
      <w:pPr>
        <w:pStyle w:val="Bulletlist1"/>
      </w:pPr>
      <w:r>
        <w:t>for modifications, what safety functions are affected (e.g. criticality, dose, containment). Further assessment may or may not be required);</w:t>
      </w:r>
    </w:p>
    <w:p w14:paraId="1E907DA7" w14:textId="77777777" w:rsidR="00CF78E2" w:rsidRDefault="00CF78E2" w:rsidP="00BD35B7">
      <w:pPr>
        <w:pStyle w:val="Bulletlist1"/>
      </w:pPr>
      <w:r>
        <w:t xml:space="preserve">the work scope and the depth of assessment required as warranted by its significance; </w:t>
      </w:r>
      <w:r w:rsidR="007460B8">
        <w:t>and</w:t>
      </w:r>
    </w:p>
    <w:p w14:paraId="283127CB" w14:textId="77777777" w:rsidR="00CF78E2" w:rsidRDefault="00CF78E2" w:rsidP="00BD35B7">
      <w:pPr>
        <w:pStyle w:val="Bulletlist1"/>
      </w:pPr>
      <w:r>
        <w:t xml:space="preserve">the time taken to resolve issues with the submission. </w:t>
      </w:r>
    </w:p>
    <w:p w14:paraId="3FAA173F" w14:textId="0E307C8B" w:rsidR="00CF78E2" w:rsidRDefault="00CF78E2" w:rsidP="00C16C9E">
      <w:pPr>
        <w:pStyle w:val="NumberedPara"/>
      </w:pPr>
      <w:r>
        <w:t xml:space="preserve">Without prior knowledge of individual </w:t>
      </w:r>
      <w:r w:rsidR="0024382A">
        <w:t>a</w:t>
      </w:r>
      <w:r>
        <w:t xml:space="preserve">pplications, ONR cannot provide accurate approval timescales within this guidance document. </w:t>
      </w:r>
      <w:r w:rsidR="003C43E9">
        <w:t>ONR recommends</w:t>
      </w:r>
      <w:r>
        <w:t xml:space="preserve"> that, in advance of any submission, </w:t>
      </w:r>
      <w:r w:rsidR="007460B8">
        <w:t>a</w:t>
      </w:r>
      <w:r>
        <w:t xml:space="preserve">pplicants engage directly with ONR to identify a potential approval date. </w:t>
      </w:r>
      <w:r w:rsidR="00800B83">
        <w:t>Applicants should seek to undertake s</w:t>
      </w:r>
      <w:r>
        <w:t xml:space="preserve">uch engagement as far in advance as possible so that ONR can schedule the application into its </w:t>
      </w:r>
      <w:r w:rsidRPr="00B242E7">
        <w:t xml:space="preserve">work </w:t>
      </w:r>
      <w:r w:rsidR="00B242E7">
        <w:t>programme</w:t>
      </w:r>
      <w:r>
        <w:t xml:space="preserve">. </w:t>
      </w:r>
      <w:r w:rsidR="000C18D0">
        <w:t xml:space="preserve">Some </w:t>
      </w:r>
      <w:r>
        <w:t>examples of typical approval timescales are provided below</w:t>
      </w:r>
      <w:r w:rsidR="00603491">
        <w:t xml:space="preserve"> for guidance purposes only.</w:t>
      </w:r>
      <w:r>
        <w:t>:</w:t>
      </w:r>
    </w:p>
    <w:p w14:paraId="7B4AAAAC" w14:textId="04341DE7" w:rsidR="00CF78E2" w:rsidRDefault="00CF78E2" w:rsidP="00C16C9E">
      <w:pPr>
        <w:pStyle w:val="Bulletlist1"/>
      </w:pPr>
      <w:r>
        <w:t>New package design</w:t>
      </w:r>
      <w:r w:rsidR="00B242E7">
        <w:tab/>
      </w:r>
      <w:r w:rsidR="00B242E7">
        <w:tab/>
      </w:r>
      <w:r w:rsidR="00B242E7">
        <w:tab/>
      </w:r>
      <w:r w:rsidR="00B242E7">
        <w:tab/>
      </w:r>
      <w:r w:rsidR="00B242E7">
        <w:tab/>
      </w:r>
      <w:r>
        <w:t>12 months</w:t>
      </w:r>
    </w:p>
    <w:p w14:paraId="7A8270B5" w14:textId="5E6BCE07" w:rsidR="00CF78E2" w:rsidRDefault="00CF78E2" w:rsidP="00C16C9E">
      <w:pPr>
        <w:pStyle w:val="Bulletlist1"/>
      </w:pPr>
      <w:r>
        <w:t>Validation</w:t>
      </w:r>
      <w:r w:rsidR="00B242E7">
        <w:tab/>
      </w:r>
      <w:r w:rsidR="00B242E7">
        <w:tab/>
      </w:r>
      <w:r w:rsidR="00B242E7">
        <w:tab/>
      </w:r>
      <w:r w:rsidR="00B242E7">
        <w:tab/>
      </w:r>
      <w:r w:rsidR="00B242E7">
        <w:tab/>
      </w:r>
      <w:r w:rsidR="00B242E7">
        <w:tab/>
      </w:r>
      <w:r w:rsidR="00B242E7">
        <w:tab/>
      </w:r>
      <w:r>
        <w:t>4 - 6 months</w:t>
      </w:r>
    </w:p>
    <w:p w14:paraId="792AC311" w14:textId="68CBDBB3" w:rsidR="00CF78E2" w:rsidRDefault="00CF78E2" w:rsidP="00C16C9E">
      <w:pPr>
        <w:pStyle w:val="Bulletlist1"/>
      </w:pPr>
      <w:r>
        <w:t>Renewal (no change including design review)</w:t>
      </w:r>
      <w:r w:rsidR="00B242E7">
        <w:tab/>
      </w:r>
      <w:r>
        <w:t xml:space="preserve"> </w:t>
      </w:r>
      <w:r w:rsidR="00B242E7">
        <w:tab/>
      </w:r>
      <w:r>
        <w:t>3 - 4 months</w:t>
      </w:r>
    </w:p>
    <w:p w14:paraId="6D786FFC" w14:textId="110BAF32" w:rsidR="00CF78E2" w:rsidRDefault="00CF78E2" w:rsidP="000E3D0D">
      <w:pPr>
        <w:pStyle w:val="Bulletlist1"/>
      </w:pPr>
      <w:r>
        <w:t>Category A or B Modifications</w:t>
      </w:r>
      <w:r w:rsidR="00B242E7">
        <w:tab/>
      </w:r>
      <w:r w:rsidR="00B242E7">
        <w:tab/>
      </w:r>
      <w:r w:rsidR="00B242E7">
        <w:tab/>
      </w:r>
      <w:r w:rsidR="00B242E7">
        <w:tab/>
      </w:r>
      <w:r>
        <w:t xml:space="preserve">3 </w:t>
      </w:r>
      <w:r w:rsidR="004A19DD">
        <w:t>-</w:t>
      </w:r>
      <w:r>
        <w:t xml:space="preserve"> 4 months</w:t>
      </w:r>
    </w:p>
    <w:p w14:paraId="601B1FD6" w14:textId="496B47F0" w:rsidR="00582042" w:rsidRDefault="00686AE3" w:rsidP="00CF78E2">
      <w:pPr>
        <w:pStyle w:val="NumberedPara"/>
      </w:pPr>
      <w:r>
        <w:t>T</w:t>
      </w:r>
      <w:r w:rsidR="00CF78E2">
        <w:t xml:space="preserve">he factors listed above sometimes result in variations even to those </w:t>
      </w:r>
      <w:r w:rsidR="00582042">
        <w:t>timescales discussed</w:t>
      </w:r>
      <w:r w:rsidR="00CF78E2">
        <w:t xml:space="preserve"> during early engagement</w:t>
      </w:r>
      <w:r w:rsidR="008976E5">
        <w:t>.</w:t>
      </w:r>
    </w:p>
    <w:p w14:paraId="497BF114" w14:textId="3A6F063E" w:rsidR="008416BC" w:rsidRDefault="00EE1582" w:rsidP="000C18D0">
      <w:pPr>
        <w:pStyle w:val="NumberedPara"/>
      </w:pPr>
      <w:r>
        <w:t xml:space="preserve">ONR acts as an enabling regulator and therefore committed to prioritising demands based on its available resource and </w:t>
      </w:r>
      <w:r w:rsidRPr="000C18D0">
        <w:t>strategic</w:t>
      </w:r>
      <w:r>
        <w:t xml:space="preserve"> factors</w:t>
      </w:r>
      <w:r w:rsidR="008416BC">
        <w:t xml:space="preserve">. An </w:t>
      </w:r>
      <w:r w:rsidR="008810A3">
        <w:t>a</w:t>
      </w:r>
      <w:r w:rsidR="008416BC">
        <w:t xml:space="preserve">pplicant </w:t>
      </w:r>
      <w:r w:rsidR="0018717E">
        <w:t xml:space="preserve">can </w:t>
      </w:r>
      <w:r w:rsidR="008416BC">
        <w:t xml:space="preserve">request ONR to </w:t>
      </w:r>
      <w:r w:rsidR="009139E3">
        <w:t>revise</w:t>
      </w:r>
      <w:r w:rsidR="008416BC">
        <w:t xml:space="preserve"> the priorit</w:t>
      </w:r>
      <w:r w:rsidR="0018717E">
        <w:t>isation</w:t>
      </w:r>
      <w:r w:rsidR="008416BC">
        <w:t xml:space="preserve"> of </w:t>
      </w:r>
      <w:r w:rsidR="00286A7F">
        <w:t>its</w:t>
      </w:r>
      <w:r w:rsidR="008416BC">
        <w:t xml:space="preserve"> application</w:t>
      </w:r>
      <w:r w:rsidR="0018717E">
        <w:t xml:space="preserve">. However, ONR will base approval of this request on the strategic factors identified and ONR regulatory effort already spent on initial assessment. </w:t>
      </w:r>
      <w:r w:rsidR="008416BC">
        <w:t xml:space="preserve">ONR will provide </w:t>
      </w:r>
      <w:r w:rsidR="008E7139">
        <w:t>regular</w:t>
      </w:r>
      <w:r w:rsidR="008416BC">
        <w:t xml:space="preserve"> updates on progress including the latest Q1 date.</w:t>
      </w:r>
    </w:p>
    <w:p w14:paraId="32DC5F36" w14:textId="5DADDB86" w:rsidR="008416BC" w:rsidRDefault="008416BC" w:rsidP="00C60B43">
      <w:pPr>
        <w:pStyle w:val="NumberedPara"/>
      </w:pPr>
      <w:r>
        <w:t xml:space="preserve">During the package approval process ONR will issue ‘Q1’ questions based on our assessment findings. If following issue of these questions, or any further ONR assessment findings relating to the applicant’s responses to the ‘Q1’ questions, there is a period of nil response / inaction by the applicant for a period of 12 months, ONR may write to the applicant giving notice that if we do not receive any correspondence within a further 4 weeks, the application will be formally closed and removed from the ONR </w:t>
      </w:r>
      <w:r w:rsidR="004A19DD">
        <w:t>work programme</w:t>
      </w:r>
      <w:r>
        <w:t xml:space="preserve">. This would not </w:t>
      </w:r>
      <w:r w:rsidR="0018717E">
        <w:t>prevent</w:t>
      </w:r>
      <w:r>
        <w:t xml:space="preserve"> the </w:t>
      </w:r>
      <w:r w:rsidR="0098452B">
        <w:t xml:space="preserve">applicant </w:t>
      </w:r>
      <w:r w:rsidR="0018717E">
        <w:t xml:space="preserve">resubmitting </w:t>
      </w:r>
      <w:r>
        <w:t xml:space="preserve">the application </w:t>
      </w:r>
      <w:r w:rsidR="00A378B9">
        <w:t>later</w:t>
      </w:r>
      <w:r>
        <w:t xml:space="preserve"> as a new application.</w:t>
      </w:r>
    </w:p>
    <w:p w14:paraId="4B3D7761" w14:textId="5EF23528" w:rsidR="008416BC" w:rsidRDefault="008416BC" w:rsidP="00C60B43">
      <w:pPr>
        <w:pStyle w:val="NumberedPara"/>
      </w:pPr>
      <w:r>
        <w:t xml:space="preserve">ONR sometimes uses </w:t>
      </w:r>
      <w:r w:rsidR="007460B8">
        <w:t>Technical Support Contractors</w:t>
      </w:r>
      <w:r>
        <w:t xml:space="preserve"> </w:t>
      </w:r>
      <w:r w:rsidR="007460B8">
        <w:t>(</w:t>
      </w:r>
      <w:r>
        <w:t>TSCs</w:t>
      </w:r>
      <w:r w:rsidR="007460B8">
        <w:t>)</w:t>
      </w:r>
      <w:r>
        <w:t xml:space="preserve"> to provide additional assessment resource to support assessors working on design approvals in the areas of engineering, shielding and criticality. The TSC usually assesses the design substantiation reports and provides a report on its findings to ONR assessors. Using </w:t>
      </w:r>
      <w:r>
        <w:lastRenderedPageBreak/>
        <w:t xml:space="preserve">the TSC report, ONR assessors decide whether they need to </w:t>
      </w:r>
      <w:r w:rsidR="00286A7F">
        <w:t>conduct</w:t>
      </w:r>
      <w:r>
        <w:t xml:space="preserve"> any additional assessment of the submission themselves </w:t>
      </w:r>
      <w:r w:rsidR="00286A7F">
        <w:t>to</w:t>
      </w:r>
      <w:r>
        <w:t xml:space="preserve"> make a regulatory decision in their technical area. </w:t>
      </w:r>
    </w:p>
    <w:p w14:paraId="10199923" w14:textId="190EF60E" w:rsidR="008416BC" w:rsidRDefault="00286A7F" w:rsidP="00C60B43">
      <w:pPr>
        <w:pStyle w:val="NumberedPara"/>
      </w:pPr>
      <w:r>
        <w:t>ONR may feed the</w:t>
      </w:r>
      <w:r w:rsidR="008416BC">
        <w:t xml:space="preserve"> TSC’s assessment findings into the Q1 question set that it</w:t>
      </w:r>
      <w:r>
        <w:t xml:space="preserve"> sends</w:t>
      </w:r>
      <w:r w:rsidR="008416BC">
        <w:t xml:space="preserve"> to the applicant, and the TSC may assist ONR in reviewing the applicant’s responses to the Q1 questions. All regulatory decisions and the use of TSC’s assessment findings are ONR’s responsibility. </w:t>
      </w:r>
      <w:r>
        <w:t>ONR will obtain agreement from t</w:t>
      </w:r>
      <w:r w:rsidR="008416BC">
        <w:t xml:space="preserve">he applicant before </w:t>
      </w:r>
      <w:r>
        <w:t xml:space="preserve">passing </w:t>
      </w:r>
      <w:r w:rsidR="008416BC">
        <w:t>any of their proprietary information to a TSC.</w:t>
      </w:r>
    </w:p>
    <w:p w14:paraId="3E6FF61D" w14:textId="0F61FE57" w:rsidR="008416BC" w:rsidRPr="008416BC" w:rsidRDefault="008416BC" w:rsidP="00C60B43">
      <w:pPr>
        <w:pStyle w:val="NumberedPara"/>
      </w:pPr>
      <w:r>
        <w:t xml:space="preserve">ONR </w:t>
      </w:r>
      <w:r w:rsidR="00286A7F">
        <w:t>publishes</w:t>
      </w:r>
      <w:r>
        <w:t xml:space="preserve"> details of its Project Assessment Reports (PAR) on its website, subject to security or proprietary requirements. For radioactive materials transport approvals</w:t>
      </w:r>
      <w:r w:rsidR="00441044">
        <w:t>,</w:t>
      </w:r>
      <w:r>
        <w:t xml:space="preserve"> ONR will send a redacted version of the PAR intended for publication to the applicant for a factual accuracy check</w:t>
      </w:r>
      <w:r w:rsidR="00286A7F">
        <w:t>. ONR will request that</w:t>
      </w:r>
      <w:r>
        <w:t xml:space="preserve"> </w:t>
      </w:r>
      <w:r w:rsidR="00286A7F">
        <w:t>the applicant provides any</w:t>
      </w:r>
      <w:r>
        <w:t xml:space="preserve"> suggestions for further redactions</w:t>
      </w:r>
      <w:r w:rsidR="00286A7F">
        <w:t xml:space="preserve"> to ONR </w:t>
      </w:r>
      <w:r>
        <w:t xml:space="preserve">within </w:t>
      </w:r>
      <w:r w:rsidR="00286A7F">
        <w:t>ten</w:t>
      </w:r>
      <w:r>
        <w:t xml:space="preserve"> working days.</w:t>
      </w:r>
    </w:p>
    <w:p w14:paraId="03B59779" w14:textId="216D3879" w:rsidR="00E707A4" w:rsidRDefault="00E707A4" w:rsidP="00E707A4">
      <w:pPr>
        <w:pStyle w:val="Heading2"/>
      </w:pPr>
      <w:bookmarkStart w:id="31" w:name="_Toc136940133"/>
      <w:r>
        <w:t>Charging</w:t>
      </w:r>
      <w:bookmarkEnd w:id="31"/>
    </w:p>
    <w:p w14:paraId="792470BA" w14:textId="60AFF250" w:rsidR="00E707A4" w:rsidRDefault="00E707A4" w:rsidP="00C60B43">
      <w:pPr>
        <w:pStyle w:val="NumberedPara"/>
      </w:pPr>
      <w:r>
        <w:t xml:space="preserve">In April 2014 ONR </w:t>
      </w:r>
      <w:r w:rsidR="00650594">
        <w:t xml:space="preserve">was </w:t>
      </w:r>
      <w:r w:rsidR="00C92A6E">
        <w:t xml:space="preserve">required through legislation to introduce </w:t>
      </w:r>
      <w:r>
        <w:t xml:space="preserve">a policy of charging to cover the costs of its work necessary to grant CA approvals. </w:t>
      </w:r>
    </w:p>
    <w:p w14:paraId="060580A4" w14:textId="680E3047" w:rsidR="00E707A4" w:rsidRDefault="00E707A4" w:rsidP="00C60B43">
      <w:pPr>
        <w:pStyle w:val="NumberedPara"/>
      </w:pPr>
      <w:r>
        <w:t xml:space="preserve">To ensure that the fees charged are reasonable, ONR has reviewed its assessment processes to ensure they are efficient, proportionate and targeted. It is also clearly to the advantage of the applicant to make high quality submissions </w:t>
      </w:r>
      <w:r w:rsidR="0007052A">
        <w:t>and commission an independent review prior to submitting an application to the ONR</w:t>
      </w:r>
      <w:r>
        <w:t xml:space="preserve">. </w:t>
      </w:r>
      <w:r w:rsidR="0007052A">
        <w:t>ONR is likely to grant</w:t>
      </w:r>
      <w:r>
        <w:t xml:space="preserve"> the approval sooner</w:t>
      </w:r>
      <w:r w:rsidR="0007052A">
        <w:t xml:space="preserve"> and</w:t>
      </w:r>
      <w:r>
        <w:t xml:space="preserve"> the fees charged should be lower. </w:t>
      </w:r>
      <w:r w:rsidR="004F75C1">
        <w:t>Regarding</w:t>
      </w:r>
      <w:r w:rsidR="00441044">
        <w:t xml:space="preserve"> the </w:t>
      </w:r>
      <w:r>
        <w:t>ONR use</w:t>
      </w:r>
      <w:r w:rsidR="00441044">
        <w:t xml:space="preserve"> of</w:t>
      </w:r>
      <w:r>
        <w:t xml:space="preserve"> TSC resource, </w:t>
      </w:r>
      <w:r w:rsidR="0007052A">
        <w:t xml:space="preserve">ONR will pass </w:t>
      </w:r>
      <w:r>
        <w:t>the associated costs on to the applicant.</w:t>
      </w:r>
    </w:p>
    <w:p w14:paraId="745E7F32" w14:textId="0D06B12C" w:rsidR="0008774E" w:rsidRPr="0008774E" w:rsidRDefault="00E707A4" w:rsidP="0008774E">
      <w:pPr>
        <w:pStyle w:val="NumberedPara"/>
      </w:pPr>
      <w:r>
        <w:t>As the fees depend directly on the amount of work undertaken, ONR does not have set fees for each type of application. The fees charged for similar types of approval can vary over a broad range.</w:t>
      </w:r>
      <w:r w:rsidR="00441044">
        <w:t xml:space="preserve"> Further information on how ONR charges can be found here </w:t>
      </w:r>
      <w:hyperlink r:id="rId24" w:history="1">
        <w:r w:rsidR="00441044" w:rsidRPr="006A3FC8">
          <w:rPr>
            <w:rStyle w:val="Hyperlink"/>
          </w:rPr>
          <w:t>https://www.onr.org.uk/corporate-publications.htm</w:t>
        </w:r>
      </w:hyperlink>
      <w:r w:rsidR="00441044">
        <w:t>.</w:t>
      </w:r>
    </w:p>
    <w:bookmarkStart w:id="32" w:name="_Toc136940134" w:displacedByCustomXml="next"/>
    <w:sdt>
      <w:sdtPr>
        <w:rPr>
          <w:color w:val="auto"/>
          <w:sz w:val="24"/>
        </w:rPr>
        <w:id w:val="-652758001"/>
        <w:docPartObj>
          <w:docPartGallery w:val="Bibliographies"/>
          <w:docPartUnique/>
        </w:docPartObj>
      </w:sdtPr>
      <w:sdtEndPr/>
      <w:sdtContent>
        <w:sdt>
          <w:sdtPr>
            <w:rPr>
              <w:color w:val="auto"/>
              <w:sz w:val="24"/>
            </w:rPr>
            <w:id w:val="33931368"/>
            <w:docPartObj>
              <w:docPartGallery w:val="Bibliographies"/>
              <w:docPartUnique/>
            </w:docPartObj>
          </w:sdtPr>
          <w:sdtEndPr/>
          <w:sdtContent>
            <w:sdt>
              <w:sdtPr>
                <w:rPr>
                  <w:color w:val="auto"/>
                  <w:sz w:val="24"/>
                </w:rPr>
                <w:id w:val="523748574"/>
                <w:docPartObj>
                  <w:docPartGallery w:val="Bibliographies"/>
                  <w:docPartUnique/>
                </w:docPartObj>
              </w:sdtPr>
              <w:sdtEndPr/>
              <w:sdtContent>
                <w:p w14:paraId="7C314F13" w14:textId="3CB0FAA4" w:rsidR="00140E1C" w:rsidRDefault="00140E1C" w:rsidP="00FA33FE">
                  <w:pPr>
                    <w:pStyle w:val="Heading1"/>
                    <w:numPr>
                      <w:ilvl w:val="0"/>
                      <w:numId w:val="0"/>
                    </w:numPr>
                    <w:ind w:left="851" w:hanging="851"/>
                  </w:pPr>
                  <w:r>
                    <w:t>References</w:t>
                  </w:r>
                  <w:bookmarkEnd w:id="32"/>
                </w:p>
                <w:sdt>
                  <w:sdtPr>
                    <w:id w:val="-573587230"/>
                    <w:bibliography/>
                  </w:sdtPr>
                  <w:sdtEndPr/>
                  <w:sdtContent>
                    <w:p w14:paraId="75146400" w14:textId="77777777" w:rsidR="005079BE" w:rsidRDefault="00140E1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5079BE" w14:paraId="5A9FD91A" w14:textId="77777777">
                        <w:trPr>
                          <w:divId w:val="422723981"/>
                          <w:tblCellSpacing w:w="15" w:type="dxa"/>
                        </w:trPr>
                        <w:tc>
                          <w:tcPr>
                            <w:tcW w:w="50" w:type="pct"/>
                            <w:hideMark/>
                          </w:tcPr>
                          <w:p w14:paraId="4806964B" w14:textId="7259AB7A" w:rsidR="005079BE" w:rsidRPr="00073A28" w:rsidRDefault="005079BE">
                            <w:pPr>
                              <w:pStyle w:val="Bibliography"/>
                              <w:rPr>
                                <w:noProof/>
                                <w:szCs w:val="24"/>
                              </w:rPr>
                            </w:pPr>
                            <w:r w:rsidRPr="00073A28">
                              <w:rPr>
                                <w:noProof/>
                              </w:rPr>
                              <w:t xml:space="preserve">[1] </w:t>
                            </w:r>
                          </w:p>
                        </w:tc>
                        <w:tc>
                          <w:tcPr>
                            <w:tcW w:w="0" w:type="auto"/>
                            <w:hideMark/>
                          </w:tcPr>
                          <w:p w14:paraId="3FC0984F" w14:textId="77777777" w:rsidR="005079BE" w:rsidRPr="00073A28" w:rsidRDefault="005079BE">
                            <w:pPr>
                              <w:pStyle w:val="Bibliography"/>
                              <w:rPr>
                                <w:noProof/>
                              </w:rPr>
                            </w:pPr>
                            <w:r w:rsidRPr="00073A28">
                              <w:rPr>
                                <w:noProof/>
                              </w:rPr>
                              <w:t xml:space="preserve">United Nations Economic Commission for Europe (UNECE), European Agreement concerning the International Carriage of Dangerous Goods by Road (ADR) 2023 Edition. </w:t>
                            </w:r>
                          </w:p>
                        </w:tc>
                      </w:tr>
                      <w:tr w:rsidR="005079BE" w14:paraId="034E0C88" w14:textId="77777777">
                        <w:trPr>
                          <w:divId w:val="422723981"/>
                          <w:tblCellSpacing w:w="15" w:type="dxa"/>
                        </w:trPr>
                        <w:tc>
                          <w:tcPr>
                            <w:tcW w:w="50" w:type="pct"/>
                            <w:hideMark/>
                          </w:tcPr>
                          <w:p w14:paraId="4158A272" w14:textId="77777777" w:rsidR="005079BE" w:rsidRPr="00073A28" w:rsidRDefault="005079BE">
                            <w:pPr>
                              <w:pStyle w:val="Bibliography"/>
                              <w:rPr>
                                <w:noProof/>
                              </w:rPr>
                            </w:pPr>
                            <w:r w:rsidRPr="00073A28">
                              <w:rPr>
                                <w:noProof/>
                              </w:rPr>
                              <w:t xml:space="preserve">[2] </w:t>
                            </w:r>
                          </w:p>
                        </w:tc>
                        <w:tc>
                          <w:tcPr>
                            <w:tcW w:w="0" w:type="auto"/>
                            <w:hideMark/>
                          </w:tcPr>
                          <w:p w14:paraId="005CCDC1" w14:textId="77777777" w:rsidR="005079BE" w:rsidRPr="00073A28" w:rsidRDefault="005079BE">
                            <w:pPr>
                              <w:pStyle w:val="Bibliography"/>
                              <w:rPr>
                                <w:noProof/>
                              </w:rPr>
                            </w:pPr>
                            <w:r w:rsidRPr="00073A28">
                              <w:rPr>
                                <w:noProof/>
                              </w:rPr>
                              <w:t xml:space="preserve">Intergovernmental Organisation for International Carriage by Rail (OTIF), Regulations concerning the International Carriage of Dangerous Goods by Rail (RID) 2023 Edition. </w:t>
                            </w:r>
                          </w:p>
                        </w:tc>
                      </w:tr>
                      <w:tr w:rsidR="005079BE" w14:paraId="3187B20F" w14:textId="77777777">
                        <w:trPr>
                          <w:divId w:val="422723981"/>
                          <w:tblCellSpacing w:w="15" w:type="dxa"/>
                        </w:trPr>
                        <w:tc>
                          <w:tcPr>
                            <w:tcW w:w="50" w:type="pct"/>
                            <w:hideMark/>
                          </w:tcPr>
                          <w:p w14:paraId="64435F59" w14:textId="77777777" w:rsidR="005079BE" w:rsidRPr="00073A28" w:rsidRDefault="005079BE">
                            <w:pPr>
                              <w:pStyle w:val="Bibliography"/>
                              <w:rPr>
                                <w:noProof/>
                              </w:rPr>
                            </w:pPr>
                            <w:r w:rsidRPr="00073A28">
                              <w:rPr>
                                <w:noProof/>
                              </w:rPr>
                              <w:t xml:space="preserve">[3] </w:t>
                            </w:r>
                          </w:p>
                        </w:tc>
                        <w:tc>
                          <w:tcPr>
                            <w:tcW w:w="0" w:type="auto"/>
                            <w:hideMark/>
                          </w:tcPr>
                          <w:p w14:paraId="07ADCC6A" w14:textId="77777777" w:rsidR="005079BE" w:rsidRPr="00073A28" w:rsidRDefault="005079BE">
                            <w:pPr>
                              <w:pStyle w:val="Bibliography"/>
                              <w:rPr>
                                <w:noProof/>
                              </w:rPr>
                            </w:pPr>
                            <w:r w:rsidRPr="00073A28">
                              <w:rPr>
                                <w:noProof/>
                              </w:rPr>
                              <w:t xml:space="preserve">IAEA Safety Standards: SSR 6, ‘Regulations for the Safe Transport of Radioactive Material (2018 Edition)’, IAEA, Vienna, 2018. </w:t>
                            </w:r>
                          </w:p>
                        </w:tc>
                      </w:tr>
                      <w:tr w:rsidR="005079BE" w14:paraId="56E0E5B9" w14:textId="77777777">
                        <w:trPr>
                          <w:divId w:val="422723981"/>
                          <w:tblCellSpacing w:w="15" w:type="dxa"/>
                        </w:trPr>
                        <w:tc>
                          <w:tcPr>
                            <w:tcW w:w="50" w:type="pct"/>
                            <w:hideMark/>
                          </w:tcPr>
                          <w:p w14:paraId="3DC6C217" w14:textId="77777777" w:rsidR="005079BE" w:rsidRPr="00073A28" w:rsidRDefault="005079BE">
                            <w:pPr>
                              <w:pStyle w:val="Bibliography"/>
                              <w:rPr>
                                <w:noProof/>
                              </w:rPr>
                            </w:pPr>
                            <w:r w:rsidRPr="00073A28">
                              <w:rPr>
                                <w:noProof/>
                              </w:rPr>
                              <w:lastRenderedPageBreak/>
                              <w:t xml:space="preserve">[4] </w:t>
                            </w:r>
                          </w:p>
                        </w:tc>
                        <w:tc>
                          <w:tcPr>
                            <w:tcW w:w="0" w:type="auto"/>
                            <w:hideMark/>
                          </w:tcPr>
                          <w:p w14:paraId="0D10C1A1" w14:textId="77777777" w:rsidR="005079BE" w:rsidRPr="00073A28" w:rsidRDefault="005079BE">
                            <w:pPr>
                              <w:pStyle w:val="Bibliography"/>
                              <w:rPr>
                                <w:noProof/>
                              </w:rPr>
                            </w:pPr>
                            <w:r w:rsidRPr="00073A28">
                              <w:rPr>
                                <w:noProof/>
                              </w:rPr>
                              <w:t xml:space="preserve">Advisory Material for the IAEA Regulations for the Safe Transport of Radioactive Material (2018 Edition), Specific Safety Guide No. SSG-26 (Rev. 1). </w:t>
                            </w:r>
                          </w:p>
                        </w:tc>
                      </w:tr>
                      <w:tr w:rsidR="005079BE" w14:paraId="05B0EA03" w14:textId="77777777">
                        <w:trPr>
                          <w:divId w:val="422723981"/>
                          <w:tblCellSpacing w:w="15" w:type="dxa"/>
                        </w:trPr>
                        <w:tc>
                          <w:tcPr>
                            <w:tcW w:w="50" w:type="pct"/>
                            <w:hideMark/>
                          </w:tcPr>
                          <w:p w14:paraId="0CD9D8CE" w14:textId="77777777" w:rsidR="005079BE" w:rsidRPr="00073A28" w:rsidRDefault="005079BE">
                            <w:pPr>
                              <w:pStyle w:val="Bibliography"/>
                              <w:rPr>
                                <w:noProof/>
                              </w:rPr>
                            </w:pPr>
                            <w:r w:rsidRPr="00073A28">
                              <w:rPr>
                                <w:noProof/>
                              </w:rPr>
                              <w:t xml:space="preserve">[5] </w:t>
                            </w:r>
                          </w:p>
                        </w:tc>
                        <w:tc>
                          <w:tcPr>
                            <w:tcW w:w="0" w:type="auto"/>
                            <w:hideMark/>
                          </w:tcPr>
                          <w:p w14:paraId="1C5F0E36" w14:textId="77777777" w:rsidR="005079BE" w:rsidRPr="00073A28" w:rsidRDefault="005079BE">
                            <w:pPr>
                              <w:pStyle w:val="Bibliography"/>
                              <w:rPr>
                                <w:noProof/>
                              </w:rPr>
                            </w:pPr>
                            <w:r w:rsidRPr="00073A28">
                              <w:rPr>
                                <w:noProof/>
                              </w:rPr>
                              <w:t xml:space="preserve">International Maritime Dangerous Goods Code (IMDG) 2020 Edition incorporating Amendment 40-20. </w:t>
                            </w:r>
                          </w:p>
                        </w:tc>
                      </w:tr>
                      <w:tr w:rsidR="005079BE" w14:paraId="51BDA933" w14:textId="77777777">
                        <w:trPr>
                          <w:divId w:val="422723981"/>
                          <w:tblCellSpacing w:w="15" w:type="dxa"/>
                        </w:trPr>
                        <w:tc>
                          <w:tcPr>
                            <w:tcW w:w="50" w:type="pct"/>
                            <w:hideMark/>
                          </w:tcPr>
                          <w:p w14:paraId="6F0E3800" w14:textId="77777777" w:rsidR="005079BE" w:rsidRPr="00073A28" w:rsidRDefault="005079BE">
                            <w:pPr>
                              <w:pStyle w:val="Bibliography"/>
                              <w:rPr>
                                <w:noProof/>
                              </w:rPr>
                            </w:pPr>
                            <w:r w:rsidRPr="00073A28">
                              <w:rPr>
                                <w:noProof/>
                              </w:rPr>
                              <w:t xml:space="preserve">[6] </w:t>
                            </w:r>
                          </w:p>
                        </w:tc>
                        <w:tc>
                          <w:tcPr>
                            <w:tcW w:w="0" w:type="auto"/>
                            <w:hideMark/>
                          </w:tcPr>
                          <w:p w14:paraId="0F8739B6" w14:textId="77777777" w:rsidR="005079BE" w:rsidRPr="00073A28" w:rsidRDefault="005079BE">
                            <w:pPr>
                              <w:pStyle w:val="Bibliography"/>
                              <w:rPr>
                                <w:noProof/>
                              </w:rPr>
                            </w:pPr>
                            <w:r w:rsidRPr="00073A28">
                              <w:rPr>
                                <w:noProof/>
                              </w:rPr>
                              <w:t xml:space="preserve">International Civil Aviation Organization (ICAO), Technical Instructions for the Safe Transport of Dangerous Goods by Air 2023-2024 Edition. </w:t>
                            </w:r>
                          </w:p>
                        </w:tc>
                      </w:tr>
                      <w:tr w:rsidR="005079BE" w14:paraId="3919D60C" w14:textId="77777777">
                        <w:trPr>
                          <w:divId w:val="422723981"/>
                          <w:tblCellSpacing w:w="15" w:type="dxa"/>
                        </w:trPr>
                        <w:tc>
                          <w:tcPr>
                            <w:tcW w:w="50" w:type="pct"/>
                            <w:hideMark/>
                          </w:tcPr>
                          <w:p w14:paraId="7410D833" w14:textId="77777777" w:rsidR="005079BE" w:rsidRDefault="005079BE">
                            <w:pPr>
                              <w:pStyle w:val="Bibliography"/>
                              <w:rPr>
                                <w:noProof/>
                              </w:rPr>
                            </w:pPr>
                            <w:r>
                              <w:rPr>
                                <w:noProof/>
                              </w:rPr>
                              <w:t xml:space="preserve">[7] </w:t>
                            </w:r>
                          </w:p>
                        </w:tc>
                        <w:tc>
                          <w:tcPr>
                            <w:tcW w:w="0" w:type="auto"/>
                            <w:hideMark/>
                          </w:tcPr>
                          <w:p w14:paraId="45431217" w14:textId="77777777" w:rsidR="005079BE" w:rsidRDefault="005079BE">
                            <w:pPr>
                              <w:pStyle w:val="Bibliography"/>
                              <w:rPr>
                                <w:noProof/>
                              </w:rPr>
                            </w:pPr>
                            <w:r>
                              <w:rPr>
                                <w:noProof/>
                              </w:rPr>
                              <w:t xml:space="preserve">The Ionising Radiations Regulations 2017. </w:t>
                            </w:r>
                          </w:p>
                        </w:tc>
                      </w:tr>
                      <w:tr w:rsidR="005079BE" w14:paraId="7FA2DA2B" w14:textId="77777777">
                        <w:trPr>
                          <w:divId w:val="422723981"/>
                          <w:tblCellSpacing w:w="15" w:type="dxa"/>
                        </w:trPr>
                        <w:tc>
                          <w:tcPr>
                            <w:tcW w:w="50" w:type="pct"/>
                            <w:hideMark/>
                          </w:tcPr>
                          <w:p w14:paraId="2F354E19" w14:textId="77777777" w:rsidR="005079BE" w:rsidRDefault="005079BE">
                            <w:pPr>
                              <w:pStyle w:val="Bibliography"/>
                              <w:rPr>
                                <w:noProof/>
                              </w:rPr>
                            </w:pPr>
                            <w:r>
                              <w:rPr>
                                <w:noProof/>
                              </w:rPr>
                              <w:t xml:space="preserve">[8] </w:t>
                            </w:r>
                          </w:p>
                        </w:tc>
                        <w:tc>
                          <w:tcPr>
                            <w:tcW w:w="0" w:type="auto"/>
                            <w:hideMark/>
                          </w:tcPr>
                          <w:p w14:paraId="2B01D05A" w14:textId="77777777" w:rsidR="005079BE" w:rsidRDefault="005079BE">
                            <w:pPr>
                              <w:pStyle w:val="Bibliography"/>
                              <w:rPr>
                                <w:noProof/>
                              </w:rPr>
                            </w:pPr>
                            <w:r>
                              <w:rPr>
                                <w:noProof/>
                              </w:rPr>
                              <w:t xml:space="preserve">Working with ionising radiation. Ionising Radiations Regulations 2017. Approved Code of Practice and guidance. </w:t>
                            </w:r>
                          </w:p>
                        </w:tc>
                      </w:tr>
                      <w:tr w:rsidR="005079BE" w14:paraId="6734F2B0" w14:textId="77777777">
                        <w:trPr>
                          <w:divId w:val="422723981"/>
                          <w:tblCellSpacing w:w="15" w:type="dxa"/>
                        </w:trPr>
                        <w:tc>
                          <w:tcPr>
                            <w:tcW w:w="50" w:type="pct"/>
                            <w:hideMark/>
                          </w:tcPr>
                          <w:p w14:paraId="25989CC8" w14:textId="77777777" w:rsidR="005079BE" w:rsidRDefault="005079BE">
                            <w:pPr>
                              <w:pStyle w:val="Bibliography"/>
                              <w:rPr>
                                <w:noProof/>
                              </w:rPr>
                            </w:pPr>
                            <w:r>
                              <w:rPr>
                                <w:noProof/>
                              </w:rPr>
                              <w:t xml:space="preserve">[9] </w:t>
                            </w:r>
                          </w:p>
                        </w:tc>
                        <w:tc>
                          <w:tcPr>
                            <w:tcW w:w="0" w:type="auto"/>
                            <w:hideMark/>
                          </w:tcPr>
                          <w:p w14:paraId="6AC3738E" w14:textId="77777777" w:rsidR="005079BE" w:rsidRDefault="005079BE">
                            <w:pPr>
                              <w:pStyle w:val="Bibliography"/>
                              <w:rPr>
                                <w:noProof/>
                              </w:rPr>
                            </w:pPr>
                            <w:r>
                              <w:rPr>
                                <w:noProof/>
                              </w:rPr>
                              <w:t xml:space="preserve">General Agreement between Ministry of Defence and Office for Nuclear Regulaton for Regulation of the Defence Nuclear Programme, April 2015. </w:t>
                            </w:r>
                          </w:p>
                        </w:tc>
                      </w:tr>
                      <w:tr w:rsidR="005079BE" w14:paraId="2178D9A9" w14:textId="77777777">
                        <w:trPr>
                          <w:divId w:val="422723981"/>
                          <w:tblCellSpacing w:w="15" w:type="dxa"/>
                        </w:trPr>
                        <w:tc>
                          <w:tcPr>
                            <w:tcW w:w="50" w:type="pct"/>
                            <w:hideMark/>
                          </w:tcPr>
                          <w:p w14:paraId="754F3D8D" w14:textId="77777777" w:rsidR="005079BE" w:rsidRDefault="005079BE">
                            <w:pPr>
                              <w:pStyle w:val="Bibliography"/>
                              <w:rPr>
                                <w:noProof/>
                              </w:rPr>
                            </w:pPr>
                            <w:r>
                              <w:rPr>
                                <w:noProof/>
                              </w:rPr>
                              <w:t xml:space="preserve">[10] </w:t>
                            </w:r>
                          </w:p>
                        </w:tc>
                        <w:tc>
                          <w:tcPr>
                            <w:tcW w:w="0" w:type="auto"/>
                            <w:hideMark/>
                          </w:tcPr>
                          <w:p w14:paraId="7BF92E79" w14:textId="77777777" w:rsidR="005079BE" w:rsidRDefault="005079BE">
                            <w:pPr>
                              <w:pStyle w:val="Bibliography"/>
                              <w:rPr>
                                <w:noProof/>
                              </w:rPr>
                            </w:pPr>
                            <w:r>
                              <w:rPr>
                                <w:noProof/>
                              </w:rPr>
                              <w:t xml:space="preserve">Letter of Understanding between the Office for Nuclear Regulation and the Defence Nuclear Safety Regulator, April 2015. </w:t>
                            </w:r>
                          </w:p>
                        </w:tc>
                      </w:tr>
                      <w:tr w:rsidR="005079BE" w14:paraId="2C712A59" w14:textId="77777777">
                        <w:trPr>
                          <w:divId w:val="422723981"/>
                          <w:tblCellSpacing w:w="15" w:type="dxa"/>
                        </w:trPr>
                        <w:tc>
                          <w:tcPr>
                            <w:tcW w:w="50" w:type="pct"/>
                            <w:hideMark/>
                          </w:tcPr>
                          <w:p w14:paraId="3442EC0E" w14:textId="77777777" w:rsidR="005079BE" w:rsidRDefault="005079BE">
                            <w:pPr>
                              <w:pStyle w:val="Bibliography"/>
                              <w:rPr>
                                <w:noProof/>
                              </w:rPr>
                            </w:pPr>
                            <w:r>
                              <w:rPr>
                                <w:noProof/>
                              </w:rPr>
                              <w:t xml:space="preserve">[11] </w:t>
                            </w:r>
                          </w:p>
                        </w:tc>
                        <w:tc>
                          <w:tcPr>
                            <w:tcW w:w="0" w:type="auto"/>
                            <w:hideMark/>
                          </w:tcPr>
                          <w:p w14:paraId="0666AFC1" w14:textId="77777777" w:rsidR="005079BE" w:rsidRDefault="005079BE">
                            <w:pPr>
                              <w:pStyle w:val="Bibliography"/>
                              <w:rPr>
                                <w:noProof/>
                              </w:rPr>
                            </w:pPr>
                            <w:r>
                              <w:rPr>
                                <w:noProof/>
                              </w:rPr>
                              <w:t xml:space="preserve">Schedules of Provisions of the IAEA Regulations for the Safe Transport of Radioactive Material (2018 Edition), Specific Safety Guide No. SSG-33 (Rev. 1). </w:t>
                            </w:r>
                          </w:p>
                        </w:tc>
                      </w:tr>
                      <w:tr w:rsidR="005079BE" w14:paraId="7F93BA3E" w14:textId="77777777">
                        <w:trPr>
                          <w:divId w:val="422723981"/>
                          <w:tblCellSpacing w:w="15" w:type="dxa"/>
                        </w:trPr>
                        <w:tc>
                          <w:tcPr>
                            <w:tcW w:w="50" w:type="pct"/>
                            <w:hideMark/>
                          </w:tcPr>
                          <w:p w14:paraId="0C726AC2" w14:textId="77777777" w:rsidR="005079BE" w:rsidRDefault="005079BE">
                            <w:pPr>
                              <w:pStyle w:val="Bibliography"/>
                              <w:rPr>
                                <w:noProof/>
                              </w:rPr>
                            </w:pPr>
                            <w:r>
                              <w:rPr>
                                <w:noProof/>
                              </w:rPr>
                              <w:t xml:space="preserve">[12] </w:t>
                            </w:r>
                          </w:p>
                        </w:tc>
                        <w:tc>
                          <w:tcPr>
                            <w:tcW w:w="0" w:type="auto"/>
                            <w:hideMark/>
                          </w:tcPr>
                          <w:p w14:paraId="1C764076" w14:textId="77777777" w:rsidR="005079BE" w:rsidRDefault="005079BE">
                            <w:pPr>
                              <w:pStyle w:val="Bibliography"/>
                              <w:rPr>
                                <w:noProof/>
                              </w:rPr>
                            </w:pPr>
                            <w:r>
                              <w:rPr>
                                <w:noProof/>
                              </w:rPr>
                              <w:t xml:space="preserve">Format and Content of the Package Design Safety Report for the Transport of Radioactive Material, Specific Safety Guide No. SSG-66. </w:t>
                            </w:r>
                          </w:p>
                        </w:tc>
                      </w:tr>
                      <w:tr w:rsidR="005079BE" w14:paraId="3586F7DF" w14:textId="77777777">
                        <w:trPr>
                          <w:divId w:val="422723981"/>
                          <w:tblCellSpacing w:w="15" w:type="dxa"/>
                        </w:trPr>
                        <w:tc>
                          <w:tcPr>
                            <w:tcW w:w="50" w:type="pct"/>
                            <w:hideMark/>
                          </w:tcPr>
                          <w:p w14:paraId="615CD262" w14:textId="77777777" w:rsidR="005079BE" w:rsidRDefault="005079BE">
                            <w:pPr>
                              <w:pStyle w:val="Bibliography"/>
                              <w:rPr>
                                <w:noProof/>
                              </w:rPr>
                            </w:pPr>
                            <w:r>
                              <w:rPr>
                                <w:noProof/>
                              </w:rPr>
                              <w:t xml:space="preserve">[13] </w:t>
                            </w:r>
                          </w:p>
                        </w:tc>
                        <w:tc>
                          <w:tcPr>
                            <w:tcW w:w="0" w:type="auto"/>
                            <w:hideMark/>
                          </w:tcPr>
                          <w:p w14:paraId="40FFEF2A" w14:textId="77777777" w:rsidR="005079BE" w:rsidRDefault="005079BE">
                            <w:pPr>
                              <w:pStyle w:val="Bibliography"/>
                              <w:rPr>
                                <w:noProof/>
                              </w:rPr>
                            </w:pPr>
                            <w:r>
                              <w:rPr>
                                <w:noProof/>
                              </w:rPr>
                              <w:t xml:space="preserve">European Association of Competent Authorities (EACA) Technical Guide, Package Design Safety Reports for the Transport of Radioactive Material. </w:t>
                            </w:r>
                          </w:p>
                        </w:tc>
                      </w:tr>
                    </w:tbl>
                    <w:p w14:paraId="15E00925" w14:textId="77777777" w:rsidR="005079BE" w:rsidRDefault="005079BE">
                      <w:pPr>
                        <w:divId w:val="422723981"/>
                        <w:rPr>
                          <w:rFonts w:eastAsia="Times New Roman"/>
                          <w:noProof/>
                        </w:rPr>
                      </w:pPr>
                    </w:p>
                    <w:p w14:paraId="0AB37AA6" w14:textId="044AB34F" w:rsidR="00140E1C" w:rsidRDefault="00140E1C">
                      <w:r>
                        <w:rPr>
                          <w:b/>
                          <w:bCs/>
                          <w:noProof/>
                        </w:rPr>
                        <w:fldChar w:fldCharType="end"/>
                      </w:r>
                    </w:p>
                  </w:sdtContent>
                </w:sdt>
              </w:sdtContent>
            </w:sdt>
          </w:sdtContent>
        </w:sdt>
      </w:sdtContent>
    </w:sdt>
    <w:p w14:paraId="6239C3AC" w14:textId="67BF139E" w:rsidR="009E0E52" w:rsidRDefault="009E0E52" w:rsidP="009E0E52"/>
    <w:sectPr w:rsidR="009E0E52" w:rsidSect="00B82646">
      <w:pgSz w:w="11906" w:h="16838" w:code="9"/>
      <w:pgMar w:top="1440" w:right="1080" w:bottom="1440" w:left="108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9938C" w14:textId="77777777" w:rsidR="004462ED" w:rsidRDefault="004462ED" w:rsidP="007D199A">
      <w:pPr>
        <w:spacing w:after="0"/>
      </w:pPr>
      <w:r>
        <w:separator/>
      </w:r>
    </w:p>
    <w:p w14:paraId="3C1E63B6" w14:textId="77777777" w:rsidR="004462ED" w:rsidRDefault="004462ED"/>
  </w:endnote>
  <w:endnote w:type="continuationSeparator" w:id="0">
    <w:p w14:paraId="6C1554E6" w14:textId="77777777" w:rsidR="004462ED" w:rsidRDefault="004462ED" w:rsidP="007D199A">
      <w:pPr>
        <w:spacing w:after="0"/>
      </w:pPr>
      <w:r>
        <w:continuationSeparator/>
      </w:r>
    </w:p>
    <w:p w14:paraId="0966F445" w14:textId="77777777" w:rsidR="004462ED" w:rsidRDefault="004462ED"/>
  </w:endnote>
  <w:endnote w:type="continuationNotice" w:id="1">
    <w:p w14:paraId="4BCDF500" w14:textId="77777777" w:rsidR="004462ED" w:rsidRDefault="004462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29455" w14:textId="77777777" w:rsidR="00D93B89" w:rsidRDefault="00D93B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47B2657A" w:rsidR="007C3C1D" w:rsidRPr="006A525B" w:rsidRDefault="006A525B" w:rsidP="007C3C1D">
    <w:pPr>
      <w:pStyle w:val="Footer"/>
      <w:jc w:val="left"/>
      <w:rPr>
        <w:szCs w:val="24"/>
      </w:rPr>
    </w:pPr>
    <w:r w:rsidRPr="006A525B">
      <w:rPr>
        <w:szCs w:val="24"/>
      </w:rPr>
      <w:t>ONR-DOC-TEMP-18</w:t>
    </w:r>
    <w:r w:rsidR="00002389">
      <w:rPr>
        <w:szCs w:val="24"/>
      </w:rPr>
      <w:t>1</w:t>
    </w:r>
    <w:r w:rsidRPr="006A525B">
      <w:rPr>
        <w:szCs w:val="24"/>
      </w:rPr>
      <w:t xml:space="preserve"> (Issue </w:t>
    </w:r>
    <w:r w:rsidR="000817D4">
      <w:rPr>
        <w:szCs w:val="24"/>
      </w:rPr>
      <w:t>2</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2A60" w14:textId="77777777" w:rsidR="00D93B89" w:rsidRDefault="00D93B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C0FA" w14:textId="77777777" w:rsidR="00261FB6" w:rsidRPr="008229BA" w:rsidRDefault="00261FB6" w:rsidP="00261FB6">
    <w:pPr>
      <w:pStyle w:val="Footer"/>
      <w:rPr>
        <w:rStyle w:val="PageNumber"/>
        <w:color w:val="22413A"/>
        <w:sz w:val="24"/>
      </w:rPr>
    </w:pPr>
    <w:r w:rsidRPr="008229BA">
      <w:t xml:space="preserve">Page </w:t>
    </w:r>
    <w:r w:rsidRPr="008229BA">
      <w:fldChar w:fldCharType="begin"/>
    </w:r>
    <w:r w:rsidRPr="008229BA">
      <w:instrText xml:space="preserve"> PAGE   \* MERGEFORMAT </w:instrText>
    </w:r>
    <w:r w:rsidRPr="008229BA">
      <w:fldChar w:fldCharType="separate"/>
    </w:r>
    <w:r>
      <w:t>4</w:t>
    </w:r>
    <w:r w:rsidRPr="008229BA">
      <w:fldChar w:fldCharType="end"/>
    </w:r>
  </w:p>
  <w:p w14:paraId="3F2208BD" w14:textId="77777777" w:rsidR="00CE6198" w:rsidRPr="00CE6198" w:rsidRDefault="00CE6198" w:rsidP="008229BA">
    <w:pPr>
      <w:pStyle w:val="Footer"/>
      <w:rPr>
        <w:rStyle w:val="PageNumber"/>
        <w:b/>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8D1A9" w14:textId="77777777" w:rsidR="004462ED" w:rsidRPr="005E0344" w:rsidRDefault="004462ED" w:rsidP="005E0344">
      <w:pPr>
        <w:spacing w:after="120"/>
        <w:rPr>
          <w:color w:val="000000" w:themeColor="text2"/>
        </w:rPr>
      </w:pPr>
      <w:r w:rsidRPr="005E0344">
        <w:rPr>
          <w:color w:val="000000" w:themeColor="text2"/>
        </w:rPr>
        <w:separator/>
      </w:r>
    </w:p>
  </w:footnote>
  <w:footnote w:type="continuationSeparator" w:id="0">
    <w:p w14:paraId="0866BAF4" w14:textId="77777777" w:rsidR="004462ED" w:rsidRPr="005E0344" w:rsidRDefault="004462ED" w:rsidP="0090581D">
      <w:pPr>
        <w:spacing w:after="120"/>
        <w:rPr>
          <w:color w:val="000000" w:themeColor="text2"/>
        </w:rPr>
      </w:pPr>
      <w:r w:rsidRPr="005E0344">
        <w:rPr>
          <w:color w:val="000000" w:themeColor="text2"/>
        </w:rPr>
        <w:continuationSeparator/>
      </w:r>
    </w:p>
    <w:p w14:paraId="681EDF1B" w14:textId="77777777" w:rsidR="004462ED" w:rsidRDefault="004462ED"/>
  </w:footnote>
  <w:footnote w:type="continuationNotice" w:id="1">
    <w:p w14:paraId="6182734E" w14:textId="77777777" w:rsidR="004462ED" w:rsidRDefault="004462ED">
      <w:pPr>
        <w:spacing w:after="0"/>
      </w:pPr>
    </w:p>
    <w:p w14:paraId="648E7284" w14:textId="77777777" w:rsidR="004462ED" w:rsidRDefault="004462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8383D" w14:textId="77777777" w:rsidR="00D93B89" w:rsidRDefault="00D93B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DA24C" w14:textId="083F88B1" w:rsidR="00D93B89" w:rsidRDefault="00D93B8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DCB1EAE" w:rsidR="00177666" w:rsidRPr="003A7E1C" w:rsidRDefault="00DC075D"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0415AB">
          <w:rPr>
            <w:sz w:val="20"/>
            <w:szCs w:val="24"/>
          </w:rPr>
          <w:t>Guidance for Applications for UK Competent Authority Approval</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0415AB">
          <w:rPr>
            <w:sz w:val="20"/>
            <w:szCs w:val="24"/>
          </w:rPr>
          <w:t>4</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824113"/>
    <w:multiLevelType w:val="hybridMultilevel"/>
    <w:tmpl w:val="756AD3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09052E83"/>
    <w:multiLevelType w:val="hybridMultilevel"/>
    <w:tmpl w:val="7AFED754"/>
    <w:lvl w:ilvl="0" w:tplc="A37E81C6">
      <w:start w:val="1"/>
      <w:numFmt w:val="lowerRoman"/>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2" w15:restartNumberingAfterBreak="0">
    <w:nsid w:val="0F7D4EB4"/>
    <w:multiLevelType w:val="hybridMultilevel"/>
    <w:tmpl w:val="36B4E0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6451914"/>
    <w:multiLevelType w:val="hybridMultilevel"/>
    <w:tmpl w:val="7B9233B4"/>
    <w:lvl w:ilvl="0" w:tplc="FFFFFFFF">
      <w:start w:val="1"/>
      <w:numFmt w:val="bullet"/>
      <w:lvlText w:val=""/>
      <w:lvlJc w:val="left"/>
      <w:pPr>
        <w:ind w:left="360" w:hanging="360"/>
      </w:pPr>
      <w:rPr>
        <w:rFonts w:ascii="Symbol" w:hAnsi="Symbol" w:hint="default"/>
        <w:strike w:val="0"/>
        <w:dstrike w:val="0"/>
        <w:color w:val="07716C" w:themeColor="accent1"/>
        <w:sz w:val="24"/>
      </w:rPr>
    </w:lvl>
    <w:lvl w:ilvl="1" w:tplc="A90807A0">
      <w:start w:val="1"/>
      <w:numFmt w:val="bullet"/>
      <w:lvlText w:val="o"/>
      <w:lvlJc w:val="left"/>
      <w:pPr>
        <w:ind w:left="1440" w:firstLine="204"/>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32165D5"/>
    <w:multiLevelType w:val="hybridMultilevel"/>
    <w:tmpl w:val="6A50EC9A"/>
    <w:lvl w:ilvl="0" w:tplc="A37E81C6">
      <w:start w:val="1"/>
      <w:numFmt w:val="lowerRoman"/>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26AC3F86"/>
    <w:multiLevelType w:val="hybridMultilevel"/>
    <w:tmpl w:val="DC041476"/>
    <w:lvl w:ilvl="0" w:tplc="FFFFFFFF">
      <w:start w:val="1"/>
      <w:numFmt w:val="bullet"/>
      <w:lvlText w:val=""/>
      <w:lvlJc w:val="left"/>
      <w:pPr>
        <w:ind w:left="360" w:hanging="360"/>
      </w:pPr>
      <w:rPr>
        <w:rFonts w:ascii="Symbol" w:hAnsi="Symbol" w:hint="default"/>
        <w:strike w:val="0"/>
        <w:dstrike w:val="0"/>
        <w:color w:val="07716C" w:themeColor="accent1"/>
        <w:sz w:val="24"/>
      </w:rPr>
    </w:lvl>
    <w:lvl w:ilvl="1" w:tplc="C3B0C684">
      <w:start w:val="1"/>
      <w:numFmt w:val="bullet"/>
      <w:pStyle w:val="Bulletlist2"/>
      <w:lvlText w:val="o"/>
      <w:lvlJc w:val="left"/>
      <w:pPr>
        <w:ind w:left="1440" w:firstLine="0"/>
      </w:pPr>
      <w:rPr>
        <w:rFonts w:ascii="Courier New" w:hAnsi="Courier New" w:hint="default"/>
      </w:rPr>
    </w:lvl>
    <w:lvl w:ilvl="2" w:tplc="FFFFFFFF">
      <w:start w:val="1"/>
      <w:numFmt w:val="bullet"/>
      <w:pStyle w:val="BulletList3"/>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6F13385"/>
    <w:multiLevelType w:val="hybridMultilevel"/>
    <w:tmpl w:val="0832E4E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7D127A3"/>
    <w:multiLevelType w:val="hybridMultilevel"/>
    <w:tmpl w:val="DB028A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06D14A2"/>
    <w:multiLevelType w:val="multilevel"/>
    <w:tmpl w:val="9746DF9A"/>
    <w:lvl w:ilvl="0">
      <w:start w:val="1"/>
      <w:numFmt w:val="decimal"/>
      <w:pStyle w:val="Heading1"/>
      <w:lvlText w:val="%1."/>
      <w:lvlJc w:val="left"/>
      <w:pPr>
        <w:ind w:left="360" w:hanging="360"/>
      </w:pPr>
    </w:lvl>
    <w:lvl w:ilvl="1">
      <w:start w:val="1"/>
      <w:numFmt w:val="decimal"/>
      <w:pStyle w:val="Heading2"/>
      <w:lvlText w:val="%1.%2."/>
      <w:lvlJc w:val="left"/>
      <w:pPr>
        <w:ind w:left="857"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37A0C45"/>
    <w:multiLevelType w:val="hybridMultilevel"/>
    <w:tmpl w:val="ABE038D6"/>
    <w:lvl w:ilvl="0" w:tplc="2D103A7E">
      <w:start w:val="1"/>
      <w:numFmt w:val="lowerLetter"/>
      <w:pStyle w:val="ListParagraph"/>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574403"/>
    <w:multiLevelType w:val="hybridMultilevel"/>
    <w:tmpl w:val="C876EA00"/>
    <w:lvl w:ilvl="0" w:tplc="FFFFFFFF">
      <w:start w:val="1"/>
      <w:numFmt w:val="lowerLetter"/>
      <w:lvlText w:val="%1)"/>
      <w:lvlJc w:val="left"/>
      <w:pPr>
        <w:ind w:left="720" w:hanging="360"/>
      </w:pPr>
    </w:lvl>
    <w:lvl w:ilvl="1" w:tplc="A37E81C6">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51B6C3A"/>
    <w:multiLevelType w:val="hybridMultilevel"/>
    <w:tmpl w:val="9686F9B8"/>
    <w:lvl w:ilvl="0" w:tplc="FFFFFFFF">
      <w:start w:val="1"/>
      <w:numFmt w:val="decimal"/>
      <w:lvlText w:val="%1."/>
      <w:lvlJc w:val="left"/>
      <w:pPr>
        <w:ind w:left="720" w:hanging="360"/>
      </w:pPr>
    </w:lvl>
    <w:lvl w:ilvl="1" w:tplc="A37E81C6">
      <w:start w:val="1"/>
      <w:numFmt w:val="lowerRoman"/>
      <w:lvlText w:val="%2)"/>
      <w:lvlJc w:val="left"/>
      <w:pPr>
        <w:ind w:left="1440" w:hanging="360"/>
      </w:pPr>
      <w:rPr>
        <w:rFonts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C3C6BB7"/>
    <w:multiLevelType w:val="hybridMultilevel"/>
    <w:tmpl w:val="74C05C64"/>
    <w:lvl w:ilvl="0" w:tplc="FFFFFFFF">
      <w:start w:val="1"/>
      <w:numFmt w:val="lowerLetter"/>
      <w:lvlText w:val="%1)"/>
      <w:lvlJc w:val="left"/>
      <w:pPr>
        <w:ind w:left="720" w:hanging="360"/>
      </w:pPr>
    </w:lvl>
    <w:lvl w:ilvl="1" w:tplc="A37E81C6">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0B160C9"/>
    <w:multiLevelType w:val="hybridMultilevel"/>
    <w:tmpl w:val="5FAE0CD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54A36C3"/>
    <w:multiLevelType w:val="hybridMultilevel"/>
    <w:tmpl w:val="4556578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5543ED2"/>
    <w:multiLevelType w:val="hybridMultilevel"/>
    <w:tmpl w:val="5DF84FD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0"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C51BE"/>
    <w:multiLevelType w:val="hybridMultilevel"/>
    <w:tmpl w:val="38709D84"/>
    <w:lvl w:ilvl="0" w:tplc="92F8AEA6">
      <w:start w:val="1"/>
      <w:numFmt w:val="decimal"/>
      <w:pStyle w:val="NumberedPara"/>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4873619"/>
    <w:multiLevelType w:val="hybridMultilevel"/>
    <w:tmpl w:val="5AB8D7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5F46359"/>
    <w:multiLevelType w:val="hybridMultilevel"/>
    <w:tmpl w:val="B220ED4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lvlText w:val="o"/>
      <w:lvlJc w:val="left"/>
      <w:pPr>
        <w:ind w:left="1440" w:hanging="360"/>
      </w:pPr>
      <w:rPr>
        <w:rFonts w:ascii="Courier New" w:hAnsi="Courier New" w:cs="Courier New" w:hint="default"/>
      </w:rPr>
    </w:lvl>
    <w:lvl w:ilvl="2" w:tplc="FB9AE3B6">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F803D2"/>
    <w:multiLevelType w:val="hybridMultilevel"/>
    <w:tmpl w:val="5DF84FD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7D131123"/>
    <w:multiLevelType w:val="hybridMultilevel"/>
    <w:tmpl w:val="2A8230AC"/>
    <w:lvl w:ilvl="0" w:tplc="FFFFFFFF">
      <w:start w:val="1"/>
      <w:numFmt w:val="lowerLetter"/>
      <w:lvlText w:val="%1)"/>
      <w:lvlJc w:val="left"/>
      <w:pPr>
        <w:ind w:left="720" w:hanging="360"/>
      </w:pPr>
    </w:lvl>
    <w:lvl w:ilvl="1" w:tplc="A37E81C6">
      <w:start w:val="1"/>
      <w:numFmt w:val="lowerRoman"/>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65572973">
    <w:abstractNumId w:val="9"/>
  </w:num>
  <w:num w:numId="2" w16cid:durableId="1182352355">
    <w:abstractNumId w:val="7"/>
  </w:num>
  <w:num w:numId="3" w16cid:durableId="1248995654">
    <w:abstractNumId w:val="6"/>
  </w:num>
  <w:num w:numId="4" w16cid:durableId="1213732799">
    <w:abstractNumId w:val="5"/>
  </w:num>
  <w:num w:numId="5" w16cid:durableId="1849950998">
    <w:abstractNumId w:val="4"/>
  </w:num>
  <w:num w:numId="6" w16cid:durableId="463691907">
    <w:abstractNumId w:val="8"/>
  </w:num>
  <w:num w:numId="7" w16cid:durableId="1802923660">
    <w:abstractNumId w:val="3"/>
  </w:num>
  <w:num w:numId="8" w16cid:durableId="268506757">
    <w:abstractNumId w:val="2"/>
  </w:num>
  <w:num w:numId="9" w16cid:durableId="455370499">
    <w:abstractNumId w:val="1"/>
  </w:num>
  <w:num w:numId="10" w16cid:durableId="1087657496">
    <w:abstractNumId w:val="0"/>
  </w:num>
  <w:num w:numId="11" w16cid:durableId="1363625169">
    <w:abstractNumId w:val="14"/>
  </w:num>
  <w:num w:numId="12" w16cid:durableId="796222987">
    <w:abstractNumId w:val="35"/>
  </w:num>
  <w:num w:numId="13" w16cid:durableId="1007293592">
    <w:abstractNumId w:val="23"/>
  </w:num>
  <w:num w:numId="14" w16cid:durableId="1046414336">
    <w:abstractNumId w:val="15"/>
  </w:num>
  <w:num w:numId="15" w16cid:durableId="2117674707">
    <w:abstractNumId w:val="35"/>
    <w:lvlOverride w:ilvl="0">
      <w:startOverride w:val="1"/>
    </w:lvlOverride>
  </w:num>
  <w:num w:numId="16" w16cid:durableId="1074470449">
    <w:abstractNumId w:val="23"/>
    <w:lvlOverride w:ilvl="0">
      <w:startOverride w:val="1"/>
    </w:lvlOverride>
  </w:num>
  <w:num w:numId="17" w16cid:durableId="907611874">
    <w:abstractNumId w:val="15"/>
    <w:lvlOverride w:ilvl="0">
      <w:startOverride w:val="1"/>
    </w:lvlOverride>
  </w:num>
  <w:num w:numId="18" w16cid:durableId="1876235454">
    <w:abstractNumId w:val="33"/>
  </w:num>
  <w:num w:numId="19" w16cid:durableId="1240018775">
    <w:abstractNumId w:val="30"/>
  </w:num>
  <w:num w:numId="20" w16cid:durableId="1843424725">
    <w:abstractNumId w:val="21"/>
  </w:num>
  <w:num w:numId="21" w16cid:durableId="887372236">
    <w:abstractNumId w:val="32"/>
  </w:num>
  <w:num w:numId="22" w16cid:durableId="2014800549">
    <w:abstractNumId w:val="20"/>
  </w:num>
  <w:num w:numId="23" w16cid:durableId="2102875540">
    <w:abstractNumId w:val="18"/>
  </w:num>
  <w:num w:numId="24" w16cid:durableId="1611550639">
    <w:abstractNumId w:val="34"/>
  </w:num>
  <w:num w:numId="25" w16cid:durableId="359547374">
    <w:abstractNumId w:val="12"/>
  </w:num>
  <w:num w:numId="26" w16cid:durableId="1362321719">
    <w:abstractNumId w:val="19"/>
  </w:num>
  <w:num w:numId="27" w16cid:durableId="672027551">
    <w:abstractNumId w:val="31"/>
  </w:num>
  <w:num w:numId="28" w16cid:durableId="920140034">
    <w:abstractNumId w:val="22"/>
  </w:num>
  <w:num w:numId="29" w16cid:durableId="1494418237">
    <w:abstractNumId w:val="36"/>
  </w:num>
  <w:num w:numId="30" w16cid:durableId="1025520688">
    <w:abstractNumId w:val="29"/>
  </w:num>
  <w:num w:numId="31" w16cid:durableId="1054232490">
    <w:abstractNumId w:val="13"/>
  </w:num>
  <w:num w:numId="32" w16cid:durableId="1162964895">
    <w:abstractNumId w:val="17"/>
  </w:num>
  <w:num w:numId="33" w16cid:durableId="1240209661">
    <w:abstractNumId w:val="25"/>
  </w:num>
  <w:num w:numId="34" w16cid:durableId="1907253972">
    <w:abstractNumId w:val="16"/>
  </w:num>
  <w:num w:numId="35" w16cid:durableId="434055208">
    <w:abstractNumId w:val="11"/>
  </w:num>
  <w:num w:numId="36" w16cid:durableId="400443238">
    <w:abstractNumId w:val="28"/>
  </w:num>
  <w:num w:numId="37" w16cid:durableId="488833250">
    <w:abstractNumId w:val="37"/>
  </w:num>
  <w:num w:numId="38" w16cid:durableId="1965692728">
    <w:abstractNumId w:val="24"/>
  </w:num>
  <w:num w:numId="39" w16cid:durableId="283660527">
    <w:abstractNumId w:val="26"/>
  </w:num>
  <w:num w:numId="40" w16cid:durableId="1880511226">
    <w:abstractNumId w:val="10"/>
  </w:num>
  <w:num w:numId="41" w16cid:durableId="136185607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84F"/>
    <w:rsid w:val="00002389"/>
    <w:rsid w:val="00002F03"/>
    <w:rsid w:val="00004C16"/>
    <w:rsid w:val="00004DB3"/>
    <w:rsid w:val="00010830"/>
    <w:rsid w:val="00011102"/>
    <w:rsid w:val="00011177"/>
    <w:rsid w:val="0001187C"/>
    <w:rsid w:val="00013821"/>
    <w:rsid w:val="00014198"/>
    <w:rsid w:val="00014814"/>
    <w:rsid w:val="00015DB8"/>
    <w:rsid w:val="000163E2"/>
    <w:rsid w:val="00022673"/>
    <w:rsid w:val="00023FA5"/>
    <w:rsid w:val="00024522"/>
    <w:rsid w:val="00024B2E"/>
    <w:rsid w:val="00027DC2"/>
    <w:rsid w:val="00027F4F"/>
    <w:rsid w:val="00030430"/>
    <w:rsid w:val="0003078E"/>
    <w:rsid w:val="000319CE"/>
    <w:rsid w:val="00031B89"/>
    <w:rsid w:val="0003613D"/>
    <w:rsid w:val="0003693D"/>
    <w:rsid w:val="000415AB"/>
    <w:rsid w:val="00043C58"/>
    <w:rsid w:val="0004440F"/>
    <w:rsid w:val="000466BA"/>
    <w:rsid w:val="00046723"/>
    <w:rsid w:val="0004688B"/>
    <w:rsid w:val="000471B8"/>
    <w:rsid w:val="00047B38"/>
    <w:rsid w:val="0005036A"/>
    <w:rsid w:val="00050774"/>
    <w:rsid w:val="00050914"/>
    <w:rsid w:val="000528E1"/>
    <w:rsid w:val="00052C8A"/>
    <w:rsid w:val="000548C8"/>
    <w:rsid w:val="000558BF"/>
    <w:rsid w:val="00056922"/>
    <w:rsid w:val="00057701"/>
    <w:rsid w:val="00057E1A"/>
    <w:rsid w:val="0006027B"/>
    <w:rsid w:val="0007052A"/>
    <w:rsid w:val="0007361D"/>
    <w:rsid w:val="00073A28"/>
    <w:rsid w:val="0007504B"/>
    <w:rsid w:val="00075605"/>
    <w:rsid w:val="00075C66"/>
    <w:rsid w:val="00080C0F"/>
    <w:rsid w:val="000817D4"/>
    <w:rsid w:val="00082879"/>
    <w:rsid w:val="00084F43"/>
    <w:rsid w:val="000855BF"/>
    <w:rsid w:val="0008774E"/>
    <w:rsid w:val="00091EEA"/>
    <w:rsid w:val="00094B3D"/>
    <w:rsid w:val="00095B7E"/>
    <w:rsid w:val="00096D8B"/>
    <w:rsid w:val="000A105C"/>
    <w:rsid w:val="000A2A5C"/>
    <w:rsid w:val="000A6E89"/>
    <w:rsid w:val="000B0246"/>
    <w:rsid w:val="000B1A46"/>
    <w:rsid w:val="000B2C57"/>
    <w:rsid w:val="000B45A3"/>
    <w:rsid w:val="000C0D91"/>
    <w:rsid w:val="000C18D0"/>
    <w:rsid w:val="000C1EB4"/>
    <w:rsid w:val="000C1F0C"/>
    <w:rsid w:val="000C2DDC"/>
    <w:rsid w:val="000D2FD4"/>
    <w:rsid w:val="000D3BFC"/>
    <w:rsid w:val="000D62ED"/>
    <w:rsid w:val="000D6772"/>
    <w:rsid w:val="000D6A43"/>
    <w:rsid w:val="000D6F49"/>
    <w:rsid w:val="000E0F55"/>
    <w:rsid w:val="000E1E91"/>
    <w:rsid w:val="000E3D0D"/>
    <w:rsid w:val="000E7F49"/>
    <w:rsid w:val="000F1B7B"/>
    <w:rsid w:val="000F2ED4"/>
    <w:rsid w:val="000F342D"/>
    <w:rsid w:val="000F3509"/>
    <w:rsid w:val="001028E8"/>
    <w:rsid w:val="00105692"/>
    <w:rsid w:val="0011647B"/>
    <w:rsid w:val="00122FCC"/>
    <w:rsid w:val="00124C2B"/>
    <w:rsid w:val="00126752"/>
    <w:rsid w:val="001268A8"/>
    <w:rsid w:val="00126E8B"/>
    <w:rsid w:val="00127759"/>
    <w:rsid w:val="00127FAB"/>
    <w:rsid w:val="00130B30"/>
    <w:rsid w:val="0013108E"/>
    <w:rsid w:val="00132D9A"/>
    <w:rsid w:val="0013440F"/>
    <w:rsid w:val="00135043"/>
    <w:rsid w:val="0013509F"/>
    <w:rsid w:val="00137223"/>
    <w:rsid w:val="00137BAC"/>
    <w:rsid w:val="001402CF"/>
    <w:rsid w:val="00140995"/>
    <w:rsid w:val="00140E1C"/>
    <w:rsid w:val="00144A60"/>
    <w:rsid w:val="00145F51"/>
    <w:rsid w:val="00147AE4"/>
    <w:rsid w:val="00150828"/>
    <w:rsid w:val="001541C4"/>
    <w:rsid w:val="001571E5"/>
    <w:rsid w:val="00160B51"/>
    <w:rsid w:val="0016168B"/>
    <w:rsid w:val="00162C52"/>
    <w:rsid w:val="0016470F"/>
    <w:rsid w:val="00171A91"/>
    <w:rsid w:val="00177666"/>
    <w:rsid w:val="001812DB"/>
    <w:rsid w:val="001820A1"/>
    <w:rsid w:val="00182604"/>
    <w:rsid w:val="001849CA"/>
    <w:rsid w:val="00185410"/>
    <w:rsid w:val="0018717E"/>
    <w:rsid w:val="0019114B"/>
    <w:rsid w:val="00191E64"/>
    <w:rsid w:val="00192250"/>
    <w:rsid w:val="00192352"/>
    <w:rsid w:val="00192C7B"/>
    <w:rsid w:val="0019386C"/>
    <w:rsid w:val="00194E4B"/>
    <w:rsid w:val="001954DB"/>
    <w:rsid w:val="0019656D"/>
    <w:rsid w:val="001968CF"/>
    <w:rsid w:val="001A5FBE"/>
    <w:rsid w:val="001A7920"/>
    <w:rsid w:val="001B13A9"/>
    <w:rsid w:val="001C3918"/>
    <w:rsid w:val="001C4D63"/>
    <w:rsid w:val="001C5593"/>
    <w:rsid w:val="001C61AE"/>
    <w:rsid w:val="001D0691"/>
    <w:rsid w:val="001D0DE0"/>
    <w:rsid w:val="001D0FDE"/>
    <w:rsid w:val="001D3DE8"/>
    <w:rsid w:val="001D5AFF"/>
    <w:rsid w:val="001D690A"/>
    <w:rsid w:val="001D74B4"/>
    <w:rsid w:val="001E03E1"/>
    <w:rsid w:val="001E247B"/>
    <w:rsid w:val="001E347C"/>
    <w:rsid w:val="001F007E"/>
    <w:rsid w:val="001F059F"/>
    <w:rsid w:val="001F646D"/>
    <w:rsid w:val="00200811"/>
    <w:rsid w:val="00200CA1"/>
    <w:rsid w:val="002019FA"/>
    <w:rsid w:val="00210CF5"/>
    <w:rsid w:val="0021338D"/>
    <w:rsid w:val="002143C4"/>
    <w:rsid w:val="00214D43"/>
    <w:rsid w:val="0021698C"/>
    <w:rsid w:val="00217AFD"/>
    <w:rsid w:val="00217F47"/>
    <w:rsid w:val="00220F33"/>
    <w:rsid w:val="00223090"/>
    <w:rsid w:val="00223789"/>
    <w:rsid w:val="002238B4"/>
    <w:rsid w:val="00226D43"/>
    <w:rsid w:val="002307FD"/>
    <w:rsid w:val="002319AB"/>
    <w:rsid w:val="002319AC"/>
    <w:rsid w:val="002330E3"/>
    <w:rsid w:val="00234342"/>
    <w:rsid w:val="00237DD0"/>
    <w:rsid w:val="0024040D"/>
    <w:rsid w:val="002405FA"/>
    <w:rsid w:val="002426C3"/>
    <w:rsid w:val="0024382A"/>
    <w:rsid w:val="00251604"/>
    <w:rsid w:val="00251CD7"/>
    <w:rsid w:val="00251EAB"/>
    <w:rsid w:val="00253A78"/>
    <w:rsid w:val="00254314"/>
    <w:rsid w:val="00255810"/>
    <w:rsid w:val="00255FA3"/>
    <w:rsid w:val="00257288"/>
    <w:rsid w:val="00260022"/>
    <w:rsid w:val="00261FB6"/>
    <w:rsid w:val="002629F8"/>
    <w:rsid w:val="00262CDA"/>
    <w:rsid w:val="00263396"/>
    <w:rsid w:val="002659FA"/>
    <w:rsid w:val="00267815"/>
    <w:rsid w:val="00272526"/>
    <w:rsid w:val="00280DDF"/>
    <w:rsid w:val="00282516"/>
    <w:rsid w:val="00282CD7"/>
    <w:rsid w:val="00284A41"/>
    <w:rsid w:val="00285A7D"/>
    <w:rsid w:val="002861DF"/>
    <w:rsid w:val="00286A7F"/>
    <w:rsid w:val="00287411"/>
    <w:rsid w:val="0029054A"/>
    <w:rsid w:val="00290EF8"/>
    <w:rsid w:val="002917FF"/>
    <w:rsid w:val="00292ADF"/>
    <w:rsid w:val="00294F20"/>
    <w:rsid w:val="002A0DEC"/>
    <w:rsid w:val="002A1E76"/>
    <w:rsid w:val="002A70C3"/>
    <w:rsid w:val="002A7168"/>
    <w:rsid w:val="002B067F"/>
    <w:rsid w:val="002B1C53"/>
    <w:rsid w:val="002B2862"/>
    <w:rsid w:val="002B37BD"/>
    <w:rsid w:val="002C17B0"/>
    <w:rsid w:val="002C5684"/>
    <w:rsid w:val="002D202D"/>
    <w:rsid w:val="002D531F"/>
    <w:rsid w:val="002D5EC3"/>
    <w:rsid w:val="002D76E4"/>
    <w:rsid w:val="002E0BE4"/>
    <w:rsid w:val="002E14D3"/>
    <w:rsid w:val="002E17B2"/>
    <w:rsid w:val="002E3B58"/>
    <w:rsid w:val="002E3E8A"/>
    <w:rsid w:val="002E4356"/>
    <w:rsid w:val="002E6A6A"/>
    <w:rsid w:val="002F3397"/>
    <w:rsid w:val="002F7175"/>
    <w:rsid w:val="00300675"/>
    <w:rsid w:val="00302ECE"/>
    <w:rsid w:val="0030380D"/>
    <w:rsid w:val="0030561B"/>
    <w:rsid w:val="00305F30"/>
    <w:rsid w:val="00306C5C"/>
    <w:rsid w:val="00307C03"/>
    <w:rsid w:val="00311AE3"/>
    <w:rsid w:val="00312411"/>
    <w:rsid w:val="00312A39"/>
    <w:rsid w:val="0032018E"/>
    <w:rsid w:val="00320A53"/>
    <w:rsid w:val="00320BAA"/>
    <w:rsid w:val="00320EC5"/>
    <w:rsid w:val="00322230"/>
    <w:rsid w:val="00323E71"/>
    <w:rsid w:val="00326F77"/>
    <w:rsid w:val="00331AB8"/>
    <w:rsid w:val="0033209B"/>
    <w:rsid w:val="00332402"/>
    <w:rsid w:val="0033351E"/>
    <w:rsid w:val="003365B6"/>
    <w:rsid w:val="00337C1D"/>
    <w:rsid w:val="003401B0"/>
    <w:rsid w:val="0034078C"/>
    <w:rsid w:val="003418CE"/>
    <w:rsid w:val="00341D2A"/>
    <w:rsid w:val="003442F2"/>
    <w:rsid w:val="003462A9"/>
    <w:rsid w:val="00346C8E"/>
    <w:rsid w:val="003470C3"/>
    <w:rsid w:val="00351C4A"/>
    <w:rsid w:val="0035214B"/>
    <w:rsid w:val="0035349E"/>
    <w:rsid w:val="00354297"/>
    <w:rsid w:val="0035667C"/>
    <w:rsid w:val="003607DD"/>
    <w:rsid w:val="00360FA9"/>
    <w:rsid w:val="00362DF7"/>
    <w:rsid w:val="003664A1"/>
    <w:rsid w:val="00367579"/>
    <w:rsid w:val="00367BD5"/>
    <w:rsid w:val="00370C8D"/>
    <w:rsid w:val="0037198D"/>
    <w:rsid w:val="00373B0F"/>
    <w:rsid w:val="0037403F"/>
    <w:rsid w:val="00374B91"/>
    <w:rsid w:val="00375339"/>
    <w:rsid w:val="00375715"/>
    <w:rsid w:val="003761FA"/>
    <w:rsid w:val="003769C4"/>
    <w:rsid w:val="00377AE4"/>
    <w:rsid w:val="00382061"/>
    <w:rsid w:val="003831EE"/>
    <w:rsid w:val="003876C0"/>
    <w:rsid w:val="00390327"/>
    <w:rsid w:val="00390381"/>
    <w:rsid w:val="00391305"/>
    <w:rsid w:val="0039229D"/>
    <w:rsid w:val="00392920"/>
    <w:rsid w:val="00393066"/>
    <w:rsid w:val="00393079"/>
    <w:rsid w:val="003936E1"/>
    <w:rsid w:val="00393B78"/>
    <w:rsid w:val="00394381"/>
    <w:rsid w:val="00396E6E"/>
    <w:rsid w:val="003A01E9"/>
    <w:rsid w:val="003A0CB5"/>
    <w:rsid w:val="003A129C"/>
    <w:rsid w:val="003A39B6"/>
    <w:rsid w:val="003A429F"/>
    <w:rsid w:val="003A5C23"/>
    <w:rsid w:val="003A7E1C"/>
    <w:rsid w:val="003B111C"/>
    <w:rsid w:val="003B16C0"/>
    <w:rsid w:val="003B2CC2"/>
    <w:rsid w:val="003B3237"/>
    <w:rsid w:val="003B42BD"/>
    <w:rsid w:val="003B4A2C"/>
    <w:rsid w:val="003B4AC3"/>
    <w:rsid w:val="003B5C6E"/>
    <w:rsid w:val="003C0306"/>
    <w:rsid w:val="003C114C"/>
    <w:rsid w:val="003C1316"/>
    <w:rsid w:val="003C1FAC"/>
    <w:rsid w:val="003C1FD2"/>
    <w:rsid w:val="003C2892"/>
    <w:rsid w:val="003C43E9"/>
    <w:rsid w:val="003C465D"/>
    <w:rsid w:val="003C4EC5"/>
    <w:rsid w:val="003C7A56"/>
    <w:rsid w:val="003D1D64"/>
    <w:rsid w:val="003D495D"/>
    <w:rsid w:val="003E0826"/>
    <w:rsid w:val="003E098E"/>
    <w:rsid w:val="003E211C"/>
    <w:rsid w:val="003E2FAE"/>
    <w:rsid w:val="003E3543"/>
    <w:rsid w:val="003E5ADF"/>
    <w:rsid w:val="003E5F7A"/>
    <w:rsid w:val="003F1ABB"/>
    <w:rsid w:val="003F1C21"/>
    <w:rsid w:val="003F3CC3"/>
    <w:rsid w:val="003F3F50"/>
    <w:rsid w:val="003F5468"/>
    <w:rsid w:val="003F5A8A"/>
    <w:rsid w:val="003F6DD4"/>
    <w:rsid w:val="003F7BCA"/>
    <w:rsid w:val="003F7F62"/>
    <w:rsid w:val="00400AD4"/>
    <w:rsid w:val="00400E0D"/>
    <w:rsid w:val="00402B30"/>
    <w:rsid w:val="004035EB"/>
    <w:rsid w:val="0040670D"/>
    <w:rsid w:val="004079C0"/>
    <w:rsid w:val="00407CF7"/>
    <w:rsid w:val="0041229D"/>
    <w:rsid w:val="00414A02"/>
    <w:rsid w:val="00415ED6"/>
    <w:rsid w:val="00415F17"/>
    <w:rsid w:val="00417CAF"/>
    <w:rsid w:val="00420A11"/>
    <w:rsid w:val="004221AB"/>
    <w:rsid w:val="00422265"/>
    <w:rsid w:val="00423946"/>
    <w:rsid w:val="00431CB7"/>
    <w:rsid w:val="00432B58"/>
    <w:rsid w:val="00434790"/>
    <w:rsid w:val="00436752"/>
    <w:rsid w:val="004373A7"/>
    <w:rsid w:val="00437D94"/>
    <w:rsid w:val="004402AD"/>
    <w:rsid w:val="0044030C"/>
    <w:rsid w:val="00441044"/>
    <w:rsid w:val="004462ED"/>
    <w:rsid w:val="00446626"/>
    <w:rsid w:val="00446FCB"/>
    <w:rsid w:val="0044753E"/>
    <w:rsid w:val="004500FB"/>
    <w:rsid w:val="004507BD"/>
    <w:rsid w:val="00450F4A"/>
    <w:rsid w:val="00451B6D"/>
    <w:rsid w:val="00452708"/>
    <w:rsid w:val="00452A22"/>
    <w:rsid w:val="0045505E"/>
    <w:rsid w:val="004558ED"/>
    <w:rsid w:val="004575E1"/>
    <w:rsid w:val="00463551"/>
    <w:rsid w:val="004638DD"/>
    <w:rsid w:val="004648A4"/>
    <w:rsid w:val="004658B4"/>
    <w:rsid w:val="00466D91"/>
    <w:rsid w:val="0046733C"/>
    <w:rsid w:val="004703E9"/>
    <w:rsid w:val="004708C1"/>
    <w:rsid w:val="00471380"/>
    <w:rsid w:val="004759E9"/>
    <w:rsid w:val="00476F27"/>
    <w:rsid w:val="00480A5F"/>
    <w:rsid w:val="00487728"/>
    <w:rsid w:val="00487923"/>
    <w:rsid w:val="004921C7"/>
    <w:rsid w:val="004924E5"/>
    <w:rsid w:val="00492CDE"/>
    <w:rsid w:val="00492F9F"/>
    <w:rsid w:val="00494F0D"/>
    <w:rsid w:val="004956ED"/>
    <w:rsid w:val="00496BFD"/>
    <w:rsid w:val="00497A40"/>
    <w:rsid w:val="004A19DD"/>
    <w:rsid w:val="004A3DF2"/>
    <w:rsid w:val="004A7402"/>
    <w:rsid w:val="004A7F5F"/>
    <w:rsid w:val="004B1987"/>
    <w:rsid w:val="004B2A8C"/>
    <w:rsid w:val="004B32A5"/>
    <w:rsid w:val="004B3B74"/>
    <w:rsid w:val="004B4AD5"/>
    <w:rsid w:val="004B5BE8"/>
    <w:rsid w:val="004C289A"/>
    <w:rsid w:val="004C28EF"/>
    <w:rsid w:val="004C361D"/>
    <w:rsid w:val="004C4891"/>
    <w:rsid w:val="004C4B51"/>
    <w:rsid w:val="004D2C89"/>
    <w:rsid w:val="004D3E19"/>
    <w:rsid w:val="004D558A"/>
    <w:rsid w:val="004D7CD0"/>
    <w:rsid w:val="004E0E1F"/>
    <w:rsid w:val="004E3932"/>
    <w:rsid w:val="004E49CE"/>
    <w:rsid w:val="004F0215"/>
    <w:rsid w:val="004F1E79"/>
    <w:rsid w:val="004F5A78"/>
    <w:rsid w:val="004F5F33"/>
    <w:rsid w:val="004F7519"/>
    <w:rsid w:val="004F75C1"/>
    <w:rsid w:val="005004BA"/>
    <w:rsid w:val="0050103A"/>
    <w:rsid w:val="00506924"/>
    <w:rsid w:val="005079BE"/>
    <w:rsid w:val="00511B0F"/>
    <w:rsid w:val="00513144"/>
    <w:rsid w:val="005141DF"/>
    <w:rsid w:val="0051514A"/>
    <w:rsid w:val="005202C2"/>
    <w:rsid w:val="00520648"/>
    <w:rsid w:val="00522A9F"/>
    <w:rsid w:val="00525E52"/>
    <w:rsid w:val="00526CAF"/>
    <w:rsid w:val="005328D0"/>
    <w:rsid w:val="00533925"/>
    <w:rsid w:val="005367B6"/>
    <w:rsid w:val="00540186"/>
    <w:rsid w:val="0054365F"/>
    <w:rsid w:val="005500CE"/>
    <w:rsid w:val="00552BD3"/>
    <w:rsid w:val="00553716"/>
    <w:rsid w:val="0055388E"/>
    <w:rsid w:val="00557810"/>
    <w:rsid w:val="0056180B"/>
    <w:rsid w:val="00561DAE"/>
    <w:rsid w:val="005624B8"/>
    <w:rsid w:val="00564974"/>
    <w:rsid w:val="00566683"/>
    <w:rsid w:val="005668E3"/>
    <w:rsid w:val="005712D7"/>
    <w:rsid w:val="00572096"/>
    <w:rsid w:val="00572747"/>
    <w:rsid w:val="005746AF"/>
    <w:rsid w:val="00575190"/>
    <w:rsid w:val="005754AE"/>
    <w:rsid w:val="0057736D"/>
    <w:rsid w:val="00577FB5"/>
    <w:rsid w:val="0058048A"/>
    <w:rsid w:val="00581E28"/>
    <w:rsid w:val="00582042"/>
    <w:rsid w:val="005852D1"/>
    <w:rsid w:val="00587A22"/>
    <w:rsid w:val="0059299D"/>
    <w:rsid w:val="005943CA"/>
    <w:rsid w:val="00595C8C"/>
    <w:rsid w:val="00597747"/>
    <w:rsid w:val="005977A2"/>
    <w:rsid w:val="00597C51"/>
    <w:rsid w:val="00597C52"/>
    <w:rsid w:val="005A09C9"/>
    <w:rsid w:val="005A4A8D"/>
    <w:rsid w:val="005A4CDD"/>
    <w:rsid w:val="005B0339"/>
    <w:rsid w:val="005B4155"/>
    <w:rsid w:val="005B4C5C"/>
    <w:rsid w:val="005B57E4"/>
    <w:rsid w:val="005B5ABD"/>
    <w:rsid w:val="005B6C3B"/>
    <w:rsid w:val="005C06C3"/>
    <w:rsid w:val="005C140A"/>
    <w:rsid w:val="005C1E52"/>
    <w:rsid w:val="005C31F9"/>
    <w:rsid w:val="005C36A5"/>
    <w:rsid w:val="005C6763"/>
    <w:rsid w:val="005C7FDF"/>
    <w:rsid w:val="005D19E6"/>
    <w:rsid w:val="005D1DA4"/>
    <w:rsid w:val="005D3164"/>
    <w:rsid w:val="005D7BFE"/>
    <w:rsid w:val="005E0344"/>
    <w:rsid w:val="005E440B"/>
    <w:rsid w:val="005F0142"/>
    <w:rsid w:val="005F1028"/>
    <w:rsid w:val="005F2813"/>
    <w:rsid w:val="005F2C85"/>
    <w:rsid w:val="005F5D71"/>
    <w:rsid w:val="005F6E5C"/>
    <w:rsid w:val="00603491"/>
    <w:rsid w:val="006037D8"/>
    <w:rsid w:val="00603F08"/>
    <w:rsid w:val="00605ADB"/>
    <w:rsid w:val="006067AB"/>
    <w:rsid w:val="0061004E"/>
    <w:rsid w:val="00611BE5"/>
    <w:rsid w:val="00611C9F"/>
    <w:rsid w:val="00612308"/>
    <w:rsid w:val="00612D3B"/>
    <w:rsid w:val="00613148"/>
    <w:rsid w:val="00613328"/>
    <w:rsid w:val="00614B56"/>
    <w:rsid w:val="0061545F"/>
    <w:rsid w:val="006178CF"/>
    <w:rsid w:val="006209B4"/>
    <w:rsid w:val="006235C2"/>
    <w:rsid w:val="00623BEA"/>
    <w:rsid w:val="006248DE"/>
    <w:rsid w:val="00627555"/>
    <w:rsid w:val="00627B19"/>
    <w:rsid w:val="00627B72"/>
    <w:rsid w:val="00630154"/>
    <w:rsid w:val="0063028E"/>
    <w:rsid w:val="006322A0"/>
    <w:rsid w:val="006332AA"/>
    <w:rsid w:val="00633E6C"/>
    <w:rsid w:val="00635C22"/>
    <w:rsid w:val="006361FD"/>
    <w:rsid w:val="006369CB"/>
    <w:rsid w:val="0064069F"/>
    <w:rsid w:val="00640782"/>
    <w:rsid w:val="006411D8"/>
    <w:rsid w:val="0064226F"/>
    <w:rsid w:val="00642C07"/>
    <w:rsid w:val="00642DDB"/>
    <w:rsid w:val="006449D2"/>
    <w:rsid w:val="00650594"/>
    <w:rsid w:val="00650C4E"/>
    <w:rsid w:val="00651970"/>
    <w:rsid w:val="00653298"/>
    <w:rsid w:val="006537C4"/>
    <w:rsid w:val="00653837"/>
    <w:rsid w:val="006554D9"/>
    <w:rsid w:val="0066151C"/>
    <w:rsid w:val="006635FD"/>
    <w:rsid w:val="00663A7C"/>
    <w:rsid w:val="0066747D"/>
    <w:rsid w:val="00667DF2"/>
    <w:rsid w:val="0067092E"/>
    <w:rsid w:val="00670DF1"/>
    <w:rsid w:val="00670ED4"/>
    <w:rsid w:val="00671345"/>
    <w:rsid w:val="00671A22"/>
    <w:rsid w:val="00671C9D"/>
    <w:rsid w:val="00672A9B"/>
    <w:rsid w:val="006743AF"/>
    <w:rsid w:val="00675884"/>
    <w:rsid w:val="00676223"/>
    <w:rsid w:val="00677478"/>
    <w:rsid w:val="00680F34"/>
    <w:rsid w:val="00682E1C"/>
    <w:rsid w:val="00683076"/>
    <w:rsid w:val="0068477F"/>
    <w:rsid w:val="00684FA1"/>
    <w:rsid w:val="0068578B"/>
    <w:rsid w:val="00686984"/>
    <w:rsid w:val="00686AE3"/>
    <w:rsid w:val="006876FA"/>
    <w:rsid w:val="00690DF6"/>
    <w:rsid w:val="00690EC5"/>
    <w:rsid w:val="006924C6"/>
    <w:rsid w:val="00695C36"/>
    <w:rsid w:val="00696EE0"/>
    <w:rsid w:val="00697980"/>
    <w:rsid w:val="006A0B0A"/>
    <w:rsid w:val="006A154F"/>
    <w:rsid w:val="006A19EF"/>
    <w:rsid w:val="006A300F"/>
    <w:rsid w:val="006A43D5"/>
    <w:rsid w:val="006A525B"/>
    <w:rsid w:val="006A5B90"/>
    <w:rsid w:val="006B1C3B"/>
    <w:rsid w:val="006B6FA5"/>
    <w:rsid w:val="006B7E1F"/>
    <w:rsid w:val="006C045F"/>
    <w:rsid w:val="006C08AF"/>
    <w:rsid w:val="006C0E44"/>
    <w:rsid w:val="006C4196"/>
    <w:rsid w:val="006C63B0"/>
    <w:rsid w:val="006C76A2"/>
    <w:rsid w:val="006C792E"/>
    <w:rsid w:val="006D116C"/>
    <w:rsid w:val="006D2732"/>
    <w:rsid w:val="006D2DD1"/>
    <w:rsid w:val="006D669E"/>
    <w:rsid w:val="006D7DB3"/>
    <w:rsid w:val="006E0E5B"/>
    <w:rsid w:val="006E663D"/>
    <w:rsid w:val="006E7C42"/>
    <w:rsid w:val="006F07BE"/>
    <w:rsid w:val="006F168A"/>
    <w:rsid w:val="006F5076"/>
    <w:rsid w:val="006F5100"/>
    <w:rsid w:val="006F6009"/>
    <w:rsid w:val="006F64BD"/>
    <w:rsid w:val="006F6A4D"/>
    <w:rsid w:val="00700266"/>
    <w:rsid w:val="0070321D"/>
    <w:rsid w:val="007034EF"/>
    <w:rsid w:val="00706569"/>
    <w:rsid w:val="007068BA"/>
    <w:rsid w:val="007074B7"/>
    <w:rsid w:val="00710E8B"/>
    <w:rsid w:val="0071233C"/>
    <w:rsid w:val="00713B8B"/>
    <w:rsid w:val="00713D9B"/>
    <w:rsid w:val="00716AB1"/>
    <w:rsid w:val="00717999"/>
    <w:rsid w:val="00721279"/>
    <w:rsid w:val="00721D63"/>
    <w:rsid w:val="00723D80"/>
    <w:rsid w:val="007300B0"/>
    <w:rsid w:val="00732C7B"/>
    <w:rsid w:val="00733C45"/>
    <w:rsid w:val="00734D2B"/>
    <w:rsid w:val="007366B8"/>
    <w:rsid w:val="007375EB"/>
    <w:rsid w:val="00737705"/>
    <w:rsid w:val="007401D8"/>
    <w:rsid w:val="007408D4"/>
    <w:rsid w:val="007420AC"/>
    <w:rsid w:val="00742617"/>
    <w:rsid w:val="00742E2D"/>
    <w:rsid w:val="00745C2D"/>
    <w:rsid w:val="007460B8"/>
    <w:rsid w:val="00751D92"/>
    <w:rsid w:val="007556FB"/>
    <w:rsid w:val="00760D3E"/>
    <w:rsid w:val="00761AEF"/>
    <w:rsid w:val="0076368D"/>
    <w:rsid w:val="00766F02"/>
    <w:rsid w:val="007702F6"/>
    <w:rsid w:val="0077459F"/>
    <w:rsid w:val="00780063"/>
    <w:rsid w:val="00781F03"/>
    <w:rsid w:val="00783918"/>
    <w:rsid w:val="00783AFA"/>
    <w:rsid w:val="00785427"/>
    <w:rsid w:val="00787759"/>
    <w:rsid w:val="00790540"/>
    <w:rsid w:val="007933AB"/>
    <w:rsid w:val="007968CA"/>
    <w:rsid w:val="007A19F8"/>
    <w:rsid w:val="007A2416"/>
    <w:rsid w:val="007A43FF"/>
    <w:rsid w:val="007B3918"/>
    <w:rsid w:val="007B463E"/>
    <w:rsid w:val="007C2C2E"/>
    <w:rsid w:val="007C3C1D"/>
    <w:rsid w:val="007C40AF"/>
    <w:rsid w:val="007C4F33"/>
    <w:rsid w:val="007C5611"/>
    <w:rsid w:val="007D199A"/>
    <w:rsid w:val="007D2EBE"/>
    <w:rsid w:val="007D459F"/>
    <w:rsid w:val="007D5E98"/>
    <w:rsid w:val="007D6015"/>
    <w:rsid w:val="007E1096"/>
    <w:rsid w:val="007E1662"/>
    <w:rsid w:val="007E1B19"/>
    <w:rsid w:val="007E1C07"/>
    <w:rsid w:val="007E25FD"/>
    <w:rsid w:val="007E2912"/>
    <w:rsid w:val="007E37FF"/>
    <w:rsid w:val="007E4FE6"/>
    <w:rsid w:val="007E5974"/>
    <w:rsid w:val="007E5EFB"/>
    <w:rsid w:val="007E737C"/>
    <w:rsid w:val="007F20A8"/>
    <w:rsid w:val="007F20F5"/>
    <w:rsid w:val="007F24B6"/>
    <w:rsid w:val="007F2849"/>
    <w:rsid w:val="007F28DF"/>
    <w:rsid w:val="007F3C14"/>
    <w:rsid w:val="007F3F5D"/>
    <w:rsid w:val="007F429D"/>
    <w:rsid w:val="007F74AD"/>
    <w:rsid w:val="00800825"/>
    <w:rsid w:val="00800B83"/>
    <w:rsid w:val="00801DD3"/>
    <w:rsid w:val="00802A90"/>
    <w:rsid w:val="008031FF"/>
    <w:rsid w:val="00803D94"/>
    <w:rsid w:val="0080422E"/>
    <w:rsid w:val="00804C9A"/>
    <w:rsid w:val="008067D2"/>
    <w:rsid w:val="00806B32"/>
    <w:rsid w:val="008071E1"/>
    <w:rsid w:val="0081098F"/>
    <w:rsid w:val="008109E9"/>
    <w:rsid w:val="008118BB"/>
    <w:rsid w:val="00815689"/>
    <w:rsid w:val="00815E93"/>
    <w:rsid w:val="0082034A"/>
    <w:rsid w:val="008229BA"/>
    <w:rsid w:val="00824151"/>
    <w:rsid w:val="008253DC"/>
    <w:rsid w:val="008353EF"/>
    <w:rsid w:val="00836530"/>
    <w:rsid w:val="00837A5F"/>
    <w:rsid w:val="00837BF5"/>
    <w:rsid w:val="00837EF8"/>
    <w:rsid w:val="00840C4A"/>
    <w:rsid w:val="008416BC"/>
    <w:rsid w:val="00841A5C"/>
    <w:rsid w:val="00842387"/>
    <w:rsid w:val="00845390"/>
    <w:rsid w:val="00845A0E"/>
    <w:rsid w:val="0084601B"/>
    <w:rsid w:val="00850545"/>
    <w:rsid w:val="008509A4"/>
    <w:rsid w:val="00855300"/>
    <w:rsid w:val="008579D5"/>
    <w:rsid w:val="00860663"/>
    <w:rsid w:val="008606F0"/>
    <w:rsid w:val="00862883"/>
    <w:rsid w:val="00865489"/>
    <w:rsid w:val="0086553D"/>
    <w:rsid w:val="0086587E"/>
    <w:rsid w:val="008738DE"/>
    <w:rsid w:val="0087429C"/>
    <w:rsid w:val="00874FEB"/>
    <w:rsid w:val="008774E9"/>
    <w:rsid w:val="008810A3"/>
    <w:rsid w:val="0088166B"/>
    <w:rsid w:val="00881B6F"/>
    <w:rsid w:val="008825D7"/>
    <w:rsid w:val="00882AA4"/>
    <w:rsid w:val="00882EE8"/>
    <w:rsid w:val="00883E22"/>
    <w:rsid w:val="00884E43"/>
    <w:rsid w:val="00887EC6"/>
    <w:rsid w:val="0089084C"/>
    <w:rsid w:val="00893409"/>
    <w:rsid w:val="00893AF8"/>
    <w:rsid w:val="00893D9F"/>
    <w:rsid w:val="008976E5"/>
    <w:rsid w:val="008A02DB"/>
    <w:rsid w:val="008A0856"/>
    <w:rsid w:val="008A2322"/>
    <w:rsid w:val="008A2379"/>
    <w:rsid w:val="008A33F6"/>
    <w:rsid w:val="008A431F"/>
    <w:rsid w:val="008A4329"/>
    <w:rsid w:val="008A578E"/>
    <w:rsid w:val="008A6774"/>
    <w:rsid w:val="008B1519"/>
    <w:rsid w:val="008B2309"/>
    <w:rsid w:val="008B31A2"/>
    <w:rsid w:val="008B3511"/>
    <w:rsid w:val="008B4B94"/>
    <w:rsid w:val="008B7BCC"/>
    <w:rsid w:val="008B7C49"/>
    <w:rsid w:val="008B7DAD"/>
    <w:rsid w:val="008C2B5E"/>
    <w:rsid w:val="008C3898"/>
    <w:rsid w:val="008C4975"/>
    <w:rsid w:val="008C50C3"/>
    <w:rsid w:val="008C6783"/>
    <w:rsid w:val="008C6E79"/>
    <w:rsid w:val="008C7094"/>
    <w:rsid w:val="008D0805"/>
    <w:rsid w:val="008D2B97"/>
    <w:rsid w:val="008D49A5"/>
    <w:rsid w:val="008D4D00"/>
    <w:rsid w:val="008D6C81"/>
    <w:rsid w:val="008D6FC9"/>
    <w:rsid w:val="008E06B9"/>
    <w:rsid w:val="008E14DB"/>
    <w:rsid w:val="008E282D"/>
    <w:rsid w:val="008E3C3C"/>
    <w:rsid w:val="008E4576"/>
    <w:rsid w:val="008E4A97"/>
    <w:rsid w:val="008E562F"/>
    <w:rsid w:val="008E6CF0"/>
    <w:rsid w:val="008E7139"/>
    <w:rsid w:val="008E7F64"/>
    <w:rsid w:val="008F05CD"/>
    <w:rsid w:val="008F1439"/>
    <w:rsid w:val="008F1B71"/>
    <w:rsid w:val="008F4514"/>
    <w:rsid w:val="008F7051"/>
    <w:rsid w:val="009029FC"/>
    <w:rsid w:val="009033A9"/>
    <w:rsid w:val="0090581D"/>
    <w:rsid w:val="009126C6"/>
    <w:rsid w:val="00912AFE"/>
    <w:rsid w:val="0091305D"/>
    <w:rsid w:val="009139E3"/>
    <w:rsid w:val="009141C6"/>
    <w:rsid w:val="0091439C"/>
    <w:rsid w:val="00914754"/>
    <w:rsid w:val="00916958"/>
    <w:rsid w:val="009179A3"/>
    <w:rsid w:val="00920572"/>
    <w:rsid w:val="00920BF2"/>
    <w:rsid w:val="00921222"/>
    <w:rsid w:val="0092382F"/>
    <w:rsid w:val="00925966"/>
    <w:rsid w:val="00931D56"/>
    <w:rsid w:val="00933082"/>
    <w:rsid w:val="009349A9"/>
    <w:rsid w:val="00936C52"/>
    <w:rsid w:val="00937DE1"/>
    <w:rsid w:val="00947043"/>
    <w:rsid w:val="00947277"/>
    <w:rsid w:val="009521A6"/>
    <w:rsid w:val="00952FC6"/>
    <w:rsid w:val="00954144"/>
    <w:rsid w:val="0095439A"/>
    <w:rsid w:val="0095489B"/>
    <w:rsid w:val="00954E4D"/>
    <w:rsid w:val="00956E6D"/>
    <w:rsid w:val="00957146"/>
    <w:rsid w:val="009614EE"/>
    <w:rsid w:val="009628DF"/>
    <w:rsid w:val="00963433"/>
    <w:rsid w:val="00963DE9"/>
    <w:rsid w:val="0096459A"/>
    <w:rsid w:val="00965C5A"/>
    <w:rsid w:val="00966FB9"/>
    <w:rsid w:val="009671CD"/>
    <w:rsid w:val="00972F49"/>
    <w:rsid w:val="0097470D"/>
    <w:rsid w:val="009751A9"/>
    <w:rsid w:val="00976BA6"/>
    <w:rsid w:val="00980F9C"/>
    <w:rsid w:val="00981387"/>
    <w:rsid w:val="009819CB"/>
    <w:rsid w:val="0098273D"/>
    <w:rsid w:val="0098452B"/>
    <w:rsid w:val="0098632B"/>
    <w:rsid w:val="00990717"/>
    <w:rsid w:val="00992965"/>
    <w:rsid w:val="009946BA"/>
    <w:rsid w:val="00997BFB"/>
    <w:rsid w:val="00997EE9"/>
    <w:rsid w:val="009A33C8"/>
    <w:rsid w:val="009A5CF2"/>
    <w:rsid w:val="009A722C"/>
    <w:rsid w:val="009A7348"/>
    <w:rsid w:val="009B462C"/>
    <w:rsid w:val="009B6FDF"/>
    <w:rsid w:val="009C0AE3"/>
    <w:rsid w:val="009C12FA"/>
    <w:rsid w:val="009C15F3"/>
    <w:rsid w:val="009C3689"/>
    <w:rsid w:val="009C49EB"/>
    <w:rsid w:val="009C5A13"/>
    <w:rsid w:val="009C669E"/>
    <w:rsid w:val="009C6921"/>
    <w:rsid w:val="009C74B8"/>
    <w:rsid w:val="009D39AF"/>
    <w:rsid w:val="009D525F"/>
    <w:rsid w:val="009E07C2"/>
    <w:rsid w:val="009E0E52"/>
    <w:rsid w:val="009E492F"/>
    <w:rsid w:val="009E79B6"/>
    <w:rsid w:val="009E7C35"/>
    <w:rsid w:val="009F16B6"/>
    <w:rsid w:val="009F72F9"/>
    <w:rsid w:val="009F7EE3"/>
    <w:rsid w:val="00A00205"/>
    <w:rsid w:val="00A00AF0"/>
    <w:rsid w:val="00A021F2"/>
    <w:rsid w:val="00A033F1"/>
    <w:rsid w:val="00A14AAF"/>
    <w:rsid w:val="00A14B5A"/>
    <w:rsid w:val="00A22A57"/>
    <w:rsid w:val="00A34CBE"/>
    <w:rsid w:val="00A35633"/>
    <w:rsid w:val="00A3567F"/>
    <w:rsid w:val="00A37698"/>
    <w:rsid w:val="00A378B9"/>
    <w:rsid w:val="00A378C4"/>
    <w:rsid w:val="00A40411"/>
    <w:rsid w:val="00A41ED3"/>
    <w:rsid w:val="00A45BE2"/>
    <w:rsid w:val="00A47E88"/>
    <w:rsid w:val="00A50E0C"/>
    <w:rsid w:val="00A50E79"/>
    <w:rsid w:val="00A51B41"/>
    <w:rsid w:val="00A52510"/>
    <w:rsid w:val="00A54533"/>
    <w:rsid w:val="00A54FF5"/>
    <w:rsid w:val="00A552E2"/>
    <w:rsid w:val="00A55AB9"/>
    <w:rsid w:val="00A6177C"/>
    <w:rsid w:val="00A635EC"/>
    <w:rsid w:val="00A63CD7"/>
    <w:rsid w:val="00A66BB2"/>
    <w:rsid w:val="00A67136"/>
    <w:rsid w:val="00A675DA"/>
    <w:rsid w:val="00A7243F"/>
    <w:rsid w:val="00A759AA"/>
    <w:rsid w:val="00A75C12"/>
    <w:rsid w:val="00A77030"/>
    <w:rsid w:val="00A77275"/>
    <w:rsid w:val="00A77859"/>
    <w:rsid w:val="00A81898"/>
    <w:rsid w:val="00A81D82"/>
    <w:rsid w:val="00A81F1A"/>
    <w:rsid w:val="00A8409A"/>
    <w:rsid w:val="00A84FD0"/>
    <w:rsid w:val="00A87435"/>
    <w:rsid w:val="00A878A9"/>
    <w:rsid w:val="00A90F9E"/>
    <w:rsid w:val="00A9118F"/>
    <w:rsid w:val="00A93E33"/>
    <w:rsid w:val="00A947F4"/>
    <w:rsid w:val="00A95407"/>
    <w:rsid w:val="00A96432"/>
    <w:rsid w:val="00AA2F04"/>
    <w:rsid w:val="00AB0B7C"/>
    <w:rsid w:val="00AB5889"/>
    <w:rsid w:val="00AB6970"/>
    <w:rsid w:val="00AC0DEB"/>
    <w:rsid w:val="00AC1939"/>
    <w:rsid w:val="00AC19C8"/>
    <w:rsid w:val="00AC1FBC"/>
    <w:rsid w:val="00AC4ED9"/>
    <w:rsid w:val="00AC5BD8"/>
    <w:rsid w:val="00AC672F"/>
    <w:rsid w:val="00AC79FC"/>
    <w:rsid w:val="00AC7C05"/>
    <w:rsid w:val="00AD167C"/>
    <w:rsid w:val="00AD17C7"/>
    <w:rsid w:val="00AD1E9C"/>
    <w:rsid w:val="00AD4041"/>
    <w:rsid w:val="00AD4D99"/>
    <w:rsid w:val="00AD6D45"/>
    <w:rsid w:val="00AD6DD7"/>
    <w:rsid w:val="00AE11DB"/>
    <w:rsid w:val="00AE302B"/>
    <w:rsid w:val="00AE60C7"/>
    <w:rsid w:val="00AE6B98"/>
    <w:rsid w:val="00AE7CFA"/>
    <w:rsid w:val="00AF1CEB"/>
    <w:rsid w:val="00AF3A80"/>
    <w:rsid w:val="00AF5AAF"/>
    <w:rsid w:val="00B03E26"/>
    <w:rsid w:val="00B07427"/>
    <w:rsid w:val="00B07434"/>
    <w:rsid w:val="00B10F3E"/>
    <w:rsid w:val="00B121FD"/>
    <w:rsid w:val="00B123B3"/>
    <w:rsid w:val="00B16BE5"/>
    <w:rsid w:val="00B242E7"/>
    <w:rsid w:val="00B259DF"/>
    <w:rsid w:val="00B305F5"/>
    <w:rsid w:val="00B34212"/>
    <w:rsid w:val="00B3446D"/>
    <w:rsid w:val="00B43432"/>
    <w:rsid w:val="00B440D7"/>
    <w:rsid w:val="00B44B1F"/>
    <w:rsid w:val="00B469F2"/>
    <w:rsid w:val="00B5300B"/>
    <w:rsid w:val="00B530FF"/>
    <w:rsid w:val="00B536C9"/>
    <w:rsid w:val="00B56C2A"/>
    <w:rsid w:val="00B606D1"/>
    <w:rsid w:val="00B64141"/>
    <w:rsid w:val="00B64E72"/>
    <w:rsid w:val="00B66AEB"/>
    <w:rsid w:val="00B73828"/>
    <w:rsid w:val="00B77913"/>
    <w:rsid w:val="00B779C1"/>
    <w:rsid w:val="00B81DFB"/>
    <w:rsid w:val="00B824FB"/>
    <w:rsid w:val="00B82646"/>
    <w:rsid w:val="00B833CC"/>
    <w:rsid w:val="00B84B04"/>
    <w:rsid w:val="00B862E9"/>
    <w:rsid w:val="00B9111E"/>
    <w:rsid w:val="00B97359"/>
    <w:rsid w:val="00B97A8F"/>
    <w:rsid w:val="00BA3764"/>
    <w:rsid w:val="00BA4E58"/>
    <w:rsid w:val="00BA6AB7"/>
    <w:rsid w:val="00BA7074"/>
    <w:rsid w:val="00BB09C9"/>
    <w:rsid w:val="00BB0C03"/>
    <w:rsid w:val="00BB380A"/>
    <w:rsid w:val="00BB3F8F"/>
    <w:rsid w:val="00BB4288"/>
    <w:rsid w:val="00BB6642"/>
    <w:rsid w:val="00BB73BC"/>
    <w:rsid w:val="00BB7548"/>
    <w:rsid w:val="00BB7829"/>
    <w:rsid w:val="00BC7751"/>
    <w:rsid w:val="00BD0E47"/>
    <w:rsid w:val="00BD1457"/>
    <w:rsid w:val="00BD1D9E"/>
    <w:rsid w:val="00BD35B7"/>
    <w:rsid w:val="00BD5689"/>
    <w:rsid w:val="00BD6775"/>
    <w:rsid w:val="00BE0D9D"/>
    <w:rsid w:val="00BE18A7"/>
    <w:rsid w:val="00BE2613"/>
    <w:rsid w:val="00BE2AD9"/>
    <w:rsid w:val="00BE31EB"/>
    <w:rsid w:val="00BE459B"/>
    <w:rsid w:val="00BE50D5"/>
    <w:rsid w:val="00BE6ECA"/>
    <w:rsid w:val="00BE7447"/>
    <w:rsid w:val="00BF025C"/>
    <w:rsid w:val="00BF10D7"/>
    <w:rsid w:val="00BF27FE"/>
    <w:rsid w:val="00BF359B"/>
    <w:rsid w:val="00BF3DC1"/>
    <w:rsid w:val="00BF4762"/>
    <w:rsid w:val="00BF47A2"/>
    <w:rsid w:val="00BF48A8"/>
    <w:rsid w:val="00BF4A53"/>
    <w:rsid w:val="00BF604D"/>
    <w:rsid w:val="00BF6F60"/>
    <w:rsid w:val="00C01008"/>
    <w:rsid w:val="00C02D7F"/>
    <w:rsid w:val="00C04395"/>
    <w:rsid w:val="00C043B3"/>
    <w:rsid w:val="00C04C7C"/>
    <w:rsid w:val="00C06246"/>
    <w:rsid w:val="00C079AB"/>
    <w:rsid w:val="00C10E61"/>
    <w:rsid w:val="00C14787"/>
    <w:rsid w:val="00C1596D"/>
    <w:rsid w:val="00C15B8D"/>
    <w:rsid w:val="00C15C91"/>
    <w:rsid w:val="00C16C9E"/>
    <w:rsid w:val="00C17010"/>
    <w:rsid w:val="00C20562"/>
    <w:rsid w:val="00C206B2"/>
    <w:rsid w:val="00C215C3"/>
    <w:rsid w:val="00C22EF3"/>
    <w:rsid w:val="00C23A96"/>
    <w:rsid w:val="00C23D8C"/>
    <w:rsid w:val="00C249C6"/>
    <w:rsid w:val="00C300D5"/>
    <w:rsid w:val="00C317F6"/>
    <w:rsid w:val="00C32CC1"/>
    <w:rsid w:val="00C337CB"/>
    <w:rsid w:val="00C33883"/>
    <w:rsid w:val="00C35171"/>
    <w:rsid w:val="00C356CD"/>
    <w:rsid w:val="00C356E0"/>
    <w:rsid w:val="00C35B72"/>
    <w:rsid w:val="00C35BC7"/>
    <w:rsid w:val="00C426EC"/>
    <w:rsid w:val="00C448E7"/>
    <w:rsid w:val="00C44AF5"/>
    <w:rsid w:val="00C461A6"/>
    <w:rsid w:val="00C469F9"/>
    <w:rsid w:val="00C51656"/>
    <w:rsid w:val="00C51C23"/>
    <w:rsid w:val="00C51C32"/>
    <w:rsid w:val="00C55FFA"/>
    <w:rsid w:val="00C60541"/>
    <w:rsid w:val="00C60B43"/>
    <w:rsid w:val="00C62B5A"/>
    <w:rsid w:val="00C63865"/>
    <w:rsid w:val="00C6483C"/>
    <w:rsid w:val="00C64AE9"/>
    <w:rsid w:val="00C66728"/>
    <w:rsid w:val="00C704D7"/>
    <w:rsid w:val="00C70CFF"/>
    <w:rsid w:val="00C718FE"/>
    <w:rsid w:val="00C7278F"/>
    <w:rsid w:val="00C809A4"/>
    <w:rsid w:val="00C839A9"/>
    <w:rsid w:val="00C85469"/>
    <w:rsid w:val="00C854DD"/>
    <w:rsid w:val="00C85576"/>
    <w:rsid w:val="00C85B96"/>
    <w:rsid w:val="00C86CEC"/>
    <w:rsid w:val="00C8773D"/>
    <w:rsid w:val="00C87ABB"/>
    <w:rsid w:val="00C87EF3"/>
    <w:rsid w:val="00C91831"/>
    <w:rsid w:val="00C91DE0"/>
    <w:rsid w:val="00C9259E"/>
    <w:rsid w:val="00C92A6E"/>
    <w:rsid w:val="00C940FA"/>
    <w:rsid w:val="00C953DF"/>
    <w:rsid w:val="00C968D0"/>
    <w:rsid w:val="00C97D14"/>
    <w:rsid w:val="00CA2767"/>
    <w:rsid w:val="00CA4F66"/>
    <w:rsid w:val="00CA6A93"/>
    <w:rsid w:val="00CB037D"/>
    <w:rsid w:val="00CB0970"/>
    <w:rsid w:val="00CB40E3"/>
    <w:rsid w:val="00CB6C35"/>
    <w:rsid w:val="00CB76CC"/>
    <w:rsid w:val="00CC457B"/>
    <w:rsid w:val="00CC51E6"/>
    <w:rsid w:val="00CC79F4"/>
    <w:rsid w:val="00CD37C4"/>
    <w:rsid w:val="00CD3F86"/>
    <w:rsid w:val="00CD5401"/>
    <w:rsid w:val="00CD75A6"/>
    <w:rsid w:val="00CE2709"/>
    <w:rsid w:val="00CE296D"/>
    <w:rsid w:val="00CE2D64"/>
    <w:rsid w:val="00CE371F"/>
    <w:rsid w:val="00CE49B5"/>
    <w:rsid w:val="00CE6198"/>
    <w:rsid w:val="00CE66DB"/>
    <w:rsid w:val="00CE7C05"/>
    <w:rsid w:val="00CF10CE"/>
    <w:rsid w:val="00CF1E03"/>
    <w:rsid w:val="00CF4721"/>
    <w:rsid w:val="00CF4DEC"/>
    <w:rsid w:val="00CF6230"/>
    <w:rsid w:val="00CF78E2"/>
    <w:rsid w:val="00CF7B50"/>
    <w:rsid w:val="00D00AE4"/>
    <w:rsid w:val="00D00C8E"/>
    <w:rsid w:val="00D0145B"/>
    <w:rsid w:val="00D017FC"/>
    <w:rsid w:val="00D0226A"/>
    <w:rsid w:val="00D029FD"/>
    <w:rsid w:val="00D055AA"/>
    <w:rsid w:val="00D060EB"/>
    <w:rsid w:val="00D07F91"/>
    <w:rsid w:val="00D118C5"/>
    <w:rsid w:val="00D13147"/>
    <w:rsid w:val="00D17CA5"/>
    <w:rsid w:val="00D202E5"/>
    <w:rsid w:val="00D21750"/>
    <w:rsid w:val="00D22B34"/>
    <w:rsid w:val="00D22F0D"/>
    <w:rsid w:val="00D25B0A"/>
    <w:rsid w:val="00D26654"/>
    <w:rsid w:val="00D30252"/>
    <w:rsid w:val="00D31029"/>
    <w:rsid w:val="00D31570"/>
    <w:rsid w:val="00D3524B"/>
    <w:rsid w:val="00D36E46"/>
    <w:rsid w:val="00D36F10"/>
    <w:rsid w:val="00D3749B"/>
    <w:rsid w:val="00D37564"/>
    <w:rsid w:val="00D37D22"/>
    <w:rsid w:val="00D37F3F"/>
    <w:rsid w:val="00D41325"/>
    <w:rsid w:val="00D41F81"/>
    <w:rsid w:val="00D43229"/>
    <w:rsid w:val="00D463FF"/>
    <w:rsid w:val="00D4749B"/>
    <w:rsid w:val="00D476F1"/>
    <w:rsid w:val="00D47A61"/>
    <w:rsid w:val="00D5003D"/>
    <w:rsid w:val="00D50E0C"/>
    <w:rsid w:val="00D54915"/>
    <w:rsid w:val="00D54F73"/>
    <w:rsid w:val="00D54FFF"/>
    <w:rsid w:val="00D565F4"/>
    <w:rsid w:val="00D56B80"/>
    <w:rsid w:val="00D5715A"/>
    <w:rsid w:val="00D6115B"/>
    <w:rsid w:val="00D621EB"/>
    <w:rsid w:val="00D62A06"/>
    <w:rsid w:val="00D64317"/>
    <w:rsid w:val="00D64BDF"/>
    <w:rsid w:val="00D67618"/>
    <w:rsid w:val="00D7041D"/>
    <w:rsid w:val="00D7072E"/>
    <w:rsid w:val="00D70F46"/>
    <w:rsid w:val="00D71687"/>
    <w:rsid w:val="00D72450"/>
    <w:rsid w:val="00D74813"/>
    <w:rsid w:val="00D7685D"/>
    <w:rsid w:val="00D83553"/>
    <w:rsid w:val="00D87200"/>
    <w:rsid w:val="00D87584"/>
    <w:rsid w:val="00D9018F"/>
    <w:rsid w:val="00D93B89"/>
    <w:rsid w:val="00DA10FE"/>
    <w:rsid w:val="00DA1109"/>
    <w:rsid w:val="00DA18C9"/>
    <w:rsid w:val="00DA22D2"/>
    <w:rsid w:val="00DA27C1"/>
    <w:rsid w:val="00DA30BC"/>
    <w:rsid w:val="00DA69C2"/>
    <w:rsid w:val="00DA6D70"/>
    <w:rsid w:val="00DB1E24"/>
    <w:rsid w:val="00DB6050"/>
    <w:rsid w:val="00DC075D"/>
    <w:rsid w:val="00DC07EE"/>
    <w:rsid w:val="00DC0971"/>
    <w:rsid w:val="00DC2C34"/>
    <w:rsid w:val="00DD0856"/>
    <w:rsid w:val="00DD46C3"/>
    <w:rsid w:val="00DD724E"/>
    <w:rsid w:val="00DD7E5B"/>
    <w:rsid w:val="00DE1E47"/>
    <w:rsid w:val="00DE2385"/>
    <w:rsid w:val="00DE2C87"/>
    <w:rsid w:val="00DE459A"/>
    <w:rsid w:val="00DE51BD"/>
    <w:rsid w:val="00DF0F1E"/>
    <w:rsid w:val="00DF27DA"/>
    <w:rsid w:val="00DF4DBE"/>
    <w:rsid w:val="00DF4E9C"/>
    <w:rsid w:val="00DF565E"/>
    <w:rsid w:val="00DF67E1"/>
    <w:rsid w:val="00E03AAC"/>
    <w:rsid w:val="00E03C70"/>
    <w:rsid w:val="00E03E3C"/>
    <w:rsid w:val="00E04B90"/>
    <w:rsid w:val="00E10037"/>
    <w:rsid w:val="00E108D6"/>
    <w:rsid w:val="00E112DC"/>
    <w:rsid w:val="00E14E8A"/>
    <w:rsid w:val="00E24E22"/>
    <w:rsid w:val="00E26A66"/>
    <w:rsid w:val="00E273FB"/>
    <w:rsid w:val="00E27457"/>
    <w:rsid w:val="00E312D2"/>
    <w:rsid w:val="00E32613"/>
    <w:rsid w:val="00E35C1E"/>
    <w:rsid w:val="00E35DC5"/>
    <w:rsid w:val="00E40820"/>
    <w:rsid w:val="00E41F15"/>
    <w:rsid w:val="00E427E0"/>
    <w:rsid w:val="00E4658F"/>
    <w:rsid w:val="00E465A0"/>
    <w:rsid w:val="00E466A5"/>
    <w:rsid w:val="00E4729B"/>
    <w:rsid w:val="00E4778D"/>
    <w:rsid w:val="00E5241F"/>
    <w:rsid w:val="00E53F84"/>
    <w:rsid w:val="00E54A67"/>
    <w:rsid w:val="00E55D1D"/>
    <w:rsid w:val="00E61467"/>
    <w:rsid w:val="00E61C0D"/>
    <w:rsid w:val="00E63EB4"/>
    <w:rsid w:val="00E66160"/>
    <w:rsid w:val="00E66826"/>
    <w:rsid w:val="00E70531"/>
    <w:rsid w:val="00E707A4"/>
    <w:rsid w:val="00E71329"/>
    <w:rsid w:val="00E7230E"/>
    <w:rsid w:val="00E731C5"/>
    <w:rsid w:val="00E73C78"/>
    <w:rsid w:val="00E74726"/>
    <w:rsid w:val="00E74BD6"/>
    <w:rsid w:val="00E75F5C"/>
    <w:rsid w:val="00E7651F"/>
    <w:rsid w:val="00E82E50"/>
    <w:rsid w:val="00E8363B"/>
    <w:rsid w:val="00E84966"/>
    <w:rsid w:val="00E8527F"/>
    <w:rsid w:val="00E91D48"/>
    <w:rsid w:val="00E92383"/>
    <w:rsid w:val="00E956C5"/>
    <w:rsid w:val="00E97512"/>
    <w:rsid w:val="00EA03F3"/>
    <w:rsid w:val="00EA1B3A"/>
    <w:rsid w:val="00EA2109"/>
    <w:rsid w:val="00EA4037"/>
    <w:rsid w:val="00EA4B7D"/>
    <w:rsid w:val="00EA5A53"/>
    <w:rsid w:val="00EB0AE7"/>
    <w:rsid w:val="00EB4F4B"/>
    <w:rsid w:val="00EC01C4"/>
    <w:rsid w:val="00EC04D5"/>
    <w:rsid w:val="00EC3594"/>
    <w:rsid w:val="00EC4E02"/>
    <w:rsid w:val="00EC4E4E"/>
    <w:rsid w:val="00EC638E"/>
    <w:rsid w:val="00ED0245"/>
    <w:rsid w:val="00ED15CC"/>
    <w:rsid w:val="00ED1606"/>
    <w:rsid w:val="00ED175B"/>
    <w:rsid w:val="00ED4D4E"/>
    <w:rsid w:val="00EE0C77"/>
    <w:rsid w:val="00EE1582"/>
    <w:rsid w:val="00EE3294"/>
    <w:rsid w:val="00EE4E54"/>
    <w:rsid w:val="00EE5C1C"/>
    <w:rsid w:val="00EF1F0B"/>
    <w:rsid w:val="00EF2626"/>
    <w:rsid w:val="00EF3203"/>
    <w:rsid w:val="00EF4334"/>
    <w:rsid w:val="00EF5AC6"/>
    <w:rsid w:val="00EF6E2D"/>
    <w:rsid w:val="00EF71EF"/>
    <w:rsid w:val="00EF71F2"/>
    <w:rsid w:val="00EF7681"/>
    <w:rsid w:val="00F03A67"/>
    <w:rsid w:val="00F05091"/>
    <w:rsid w:val="00F0529E"/>
    <w:rsid w:val="00F0603E"/>
    <w:rsid w:val="00F10ADC"/>
    <w:rsid w:val="00F1259B"/>
    <w:rsid w:val="00F17649"/>
    <w:rsid w:val="00F22563"/>
    <w:rsid w:val="00F227DF"/>
    <w:rsid w:val="00F246F2"/>
    <w:rsid w:val="00F269B5"/>
    <w:rsid w:val="00F26E98"/>
    <w:rsid w:val="00F40456"/>
    <w:rsid w:val="00F4127B"/>
    <w:rsid w:val="00F41DA0"/>
    <w:rsid w:val="00F436BB"/>
    <w:rsid w:val="00F443AD"/>
    <w:rsid w:val="00F444E0"/>
    <w:rsid w:val="00F46959"/>
    <w:rsid w:val="00F47145"/>
    <w:rsid w:val="00F5123A"/>
    <w:rsid w:val="00F52ADD"/>
    <w:rsid w:val="00F53AA1"/>
    <w:rsid w:val="00F545BF"/>
    <w:rsid w:val="00F55802"/>
    <w:rsid w:val="00F5762A"/>
    <w:rsid w:val="00F60708"/>
    <w:rsid w:val="00F60D0D"/>
    <w:rsid w:val="00F6174D"/>
    <w:rsid w:val="00F6183B"/>
    <w:rsid w:val="00F621FA"/>
    <w:rsid w:val="00F643FF"/>
    <w:rsid w:val="00F675E9"/>
    <w:rsid w:val="00F7048F"/>
    <w:rsid w:val="00F71B56"/>
    <w:rsid w:val="00F71BA7"/>
    <w:rsid w:val="00F73272"/>
    <w:rsid w:val="00F832C8"/>
    <w:rsid w:val="00F83649"/>
    <w:rsid w:val="00F873B3"/>
    <w:rsid w:val="00F91150"/>
    <w:rsid w:val="00FA1B68"/>
    <w:rsid w:val="00FA29BC"/>
    <w:rsid w:val="00FA33FE"/>
    <w:rsid w:val="00FA42B9"/>
    <w:rsid w:val="00FA5BA5"/>
    <w:rsid w:val="00FA68C0"/>
    <w:rsid w:val="00FA755A"/>
    <w:rsid w:val="00FB1446"/>
    <w:rsid w:val="00FB2B0F"/>
    <w:rsid w:val="00FB2F1E"/>
    <w:rsid w:val="00FB2FA6"/>
    <w:rsid w:val="00FB3AB9"/>
    <w:rsid w:val="00FB4F6B"/>
    <w:rsid w:val="00FB5FE1"/>
    <w:rsid w:val="00FB728F"/>
    <w:rsid w:val="00FB7CCA"/>
    <w:rsid w:val="00FC0CFF"/>
    <w:rsid w:val="00FC0E8D"/>
    <w:rsid w:val="00FC2403"/>
    <w:rsid w:val="00FC3740"/>
    <w:rsid w:val="00FC46EF"/>
    <w:rsid w:val="00FC5350"/>
    <w:rsid w:val="00FD2011"/>
    <w:rsid w:val="00FD31B3"/>
    <w:rsid w:val="00FD4204"/>
    <w:rsid w:val="00FD5FBB"/>
    <w:rsid w:val="00FD65D5"/>
    <w:rsid w:val="00FD7F68"/>
    <w:rsid w:val="00FE6389"/>
    <w:rsid w:val="00FE6682"/>
    <w:rsid w:val="00FF2643"/>
    <w:rsid w:val="00FF3CCB"/>
    <w:rsid w:val="00FF3F39"/>
    <w:rsid w:val="00FF57B5"/>
    <w:rsid w:val="00FF61E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D00AE4"/>
    <w:pPr>
      <w:numPr>
        <w:numId w:val="12"/>
      </w:numPr>
      <w:ind w:left="1440" w:hanging="720"/>
    </w:pPr>
    <w:rPr>
      <w:noProof/>
    </w:rPr>
  </w:style>
  <w:style w:type="paragraph" w:customStyle="1" w:styleId="Bulletlist2">
    <w:name w:val="Bullet list 2"/>
    <w:basedOn w:val="Bulletlist1"/>
    <w:uiPriority w:val="1"/>
    <w:qFormat/>
    <w:rsid w:val="00C215C3"/>
    <w:pPr>
      <w:numPr>
        <w:ilvl w:val="1"/>
        <w:numId w:val="32"/>
      </w:numPr>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8A33F6"/>
    <w:pPr>
      <w:numPr>
        <w:numId w:val="28"/>
      </w:numPr>
      <w:ind w:left="1077" w:hanging="357"/>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NumberedPara">
    <w:name w:val="Numbered Para"/>
    <w:basedOn w:val="Normal"/>
    <w:qFormat/>
    <w:rsid w:val="00396E6E"/>
    <w:pPr>
      <w:numPr>
        <w:numId w:val="27"/>
      </w:numPr>
      <w:ind w:hanging="720"/>
    </w:pPr>
  </w:style>
  <w:style w:type="character" w:styleId="FollowedHyperlink">
    <w:name w:val="FollowedHyperlink"/>
    <w:basedOn w:val="DefaultParagraphFont"/>
    <w:uiPriority w:val="99"/>
    <w:semiHidden/>
    <w:unhideWhenUsed/>
    <w:rsid w:val="00A8409A"/>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45505E"/>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45505E"/>
    <w:rPr>
      <w:rFonts w:ascii="Arial" w:eastAsiaTheme="minorHAnsi" w:hAnsi="Arial" w:cstheme="minorBidi"/>
      <w:b/>
      <w:bCs/>
      <w:lang w:eastAsia="en-US" w:bidi="he-IL"/>
    </w:rPr>
  </w:style>
  <w:style w:type="paragraph" w:styleId="Revision">
    <w:name w:val="Revision"/>
    <w:hidden/>
    <w:uiPriority w:val="99"/>
    <w:semiHidden/>
    <w:rsid w:val="00F60708"/>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71144486">
      <w:bodyDiv w:val="1"/>
      <w:marLeft w:val="0"/>
      <w:marRight w:val="0"/>
      <w:marTop w:val="0"/>
      <w:marBottom w:val="0"/>
      <w:divBdr>
        <w:top w:val="none" w:sz="0" w:space="0" w:color="auto"/>
        <w:left w:val="none" w:sz="0" w:space="0" w:color="auto"/>
        <w:bottom w:val="none" w:sz="0" w:space="0" w:color="auto"/>
        <w:right w:val="none" w:sz="0" w:space="0" w:color="auto"/>
      </w:divBdr>
    </w:div>
    <w:div w:id="195045649">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9192620">
      <w:bodyDiv w:val="1"/>
      <w:marLeft w:val="0"/>
      <w:marRight w:val="0"/>
      <w:marTop w:val="0"/>
      <w:marBottom w:val="0"/>
      <w:divBdr>
        <w:top w:val="none" w:sz="0" w:space="0" w:color="auto"/>
        <w:left w:val="none" w:sz="0" w:space="0" w:color="auto"/>
        <w:bottom w:val="none" w:sz="0" w:space="0" w:color="auto"/>
        <w:right w:val="none" w:sz="0" w:space="0" w:color="auto"/>
      </w:divBdr>
    </w:div>
    <w:div w:id="215288939">
      <w:bodyDiv w:val="1"/>
      <w:marLeft w:val="0"/>
      <w:marRight w:val="0"/>
      <w:marTop w:val="0"/>
      <w:marBottom w:val="0"/>
      <w:divBdr>
        <w:top w:val="none" w:sz="0" w:space="0" w:color="auto"/>
        <w:left w:val="none" w:sz="0" w:space="0" w:color="auto"/>
        <w:bottom w:val="none" w:sz="0" w:space="0" w:color="auto"/>
        <w:right w:val="none" w:sz="0" w:space="0" w:color="auto"/>
      </w:divBdr>
    </w:div>
    <w:div w:id="274797894">
      <w:bodyDiv w:val="1"/>
      <w:marLeft w:val="0"/>
      <w:marRight w:val="0"/>
      <w:marTop w:val="0"/>
      <w:marBottom w:val="0"/>
      <w:divBdr>
        <w:top w:val="none" w:sz="0" w:space="0" w:color="auto"/>
        <w:left w:val="none" w:sz="0" w:space="0" w:color="auto"/>
        <w:bottom w:val="none" w:sz="0" w:space="0" w:color="auto"/>
        <w:right w:val="none" w:sz="0" w:space="0" w:color="auto"/>
      </w:divBdr>
    </w:div>
    <w:div w:id="3152317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7755699">
      <w:bodyDiv w:val="1"/>
      <w:marLeft w:val="0"/>
      <w:marRight w:val="0"/>
      <w:marTop w:val="0"/>
      <w:marBottom w:val="0"/>
      <w:divBdr>
        <w:top w:val="none" w:sz="0" w:space="0" w:color="auto"/>
        <w:left w:val="none" w:sz="0" w:space="0" w:color="auto"/>
        <w:bottom w:val="none" w:sz="0" w:space="0" w:color="auto"/>
        <w:right w:val="none" w:sz="0" w:space="0" w:color="auto"/>
      </w:divBdr>
    </w:div>
    <w:div w:id="384989080">
      <w:bodyDiv w:val="1"/>
      <w:marLeft w:val="0"/>
      <w:marRight w:val="0"/>
      <w:marTop w:val="0"/>
      <w:marBottom w:val="0"/>
      <w:divBdr>
        <w:top w:val="none" w:sz="0" w:space="0" w:color="auto"/>
        <w:left w:val="none" w:sz="0" w:space="0" w:color="auto"/>
        <w:bottom w:val="none" w:sz="0" w:space="0" w:color="auto"/>
        <w:right w:val="none" w:sz="0" w:space="0" w:color="auto"/>
      </w:divBdr>
    </w:div>
    <w:div w:id="422723981">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95730598">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78830084">
      <w:bodyDiv w:val="1"/>
      <w:marLeft w:val="0"/>
      <w:marRight w:val="0"/>
      <w:marTop w:val="0"/>
      <w:marBottom w:val="0"/>
      <w:divBdr>
        <w:top w:val="none" w:sz="0" w:space="0" w:color="auto"/>
        <w:left w:val="none" w:sz="0" w:space="0" w:color="auto"/>
        <w:bottom w:val="none" w:sz="0" w:space="0" w:color="auto"/>
        <w:right w:val="none" w:sz="0" w:space="0" w:color="auto"/>
      </w:divBdr>
    </w:div>
    <w:div w:id="610210734">
      <w:bodyDiv w:val="1"/>
      <w:marLeft w:val="0"/>
      <w:marRight w:val="0"/>
      <w:marTop w:val="0"/>
      <w:marBottom w:val="0"/>
      <w:divBdr>
        <w:top w:val="none" w:sz="0" w:space="0" w:color="auto"/>
        <w:left w:val="none" w:sz="0" w:space="0" w:color="auto"/>
        <w:bottom w:val="none" w:sz="0" w:space="0" w:color="auto"/>
        <w:right w:val="none" w:sz="0" w:space="0" w:color="auto"/>
      </w:divBdr>
    </w:div>
    <w:div w:id="694306505">
      <w:bodyDiv w:val="1"/>
      <w:marLeft w:val="0"/>
      <w:marRight w:val="0"/>
      <w:marTop w:val="0"/>
      <w:marBottom w:val="0"/>
      <w:divBdr>
        <w:top w:val="none" w:sz="0" w:space="0" w:color="auto"/>
        <w:left w:val="none" w:sz="0" w:space="0" w:color="auto"/>
        <w:bottom w:val="none" w:sz="0" w:space="0" w:color="auto"/>
        <w:right w:val="none" w:sz="0" w:space="0" w:color="auto"/>
      </w:divBdr>
    </w:div>
    <w:div w:id="713626216">
      <w:bodyDiv w:val="1"/>
      <w:marLeft w:val="0"/>
      <w:marRight w:val="0"/>
      <w:marTop w:val="0"/>
      <w:marBottom w:val="0"/>
      <w:divBdr>
        <w:top w:val="none" w:sz="0" w:space="0" w:color="auto"/>
        <w:left w:val="none" w:sz="0" w:space="0" w:color="auto"/>
        <w:bottom w:val="none" w:sz="0" w:space="0" w:color="auto"/>
        <w:right w:val="none" w:sz="0" w:space="0" w:color="auto"/>
      </w:divBdr>
    </w:div>
    <w:div w:id="791480450">
      <w:bodyDiv w:val="1"/>
      <w:marLeft w:val="0"/>
      <w:marRight w:val="0"/>
      <w:marTop w:val="0"/>
      <w:marBottom w:val="0"/>
      <w:divBdr>
        <w:top w:val="none" w:sz="0" w:space="0" w:color="auto"/>
        <w:left w:val="none" w:sz="0" w:space="0" w:color="auto"/>
        <w:bottom w:val="none" w:sz="0" w:space="0" w:color="auto"/>
        <w:right w:val="none" w:sz="0" w:space="0" w:color="auto"/>
      </w:divBdr>
    </w:div>
    <w:div w:id="803886198">
      <w:bodyDiv w:val="1"/>
      <w:marLeft w:val="0"/>
      <w:marRight w:val="0"/>
      <w:marTop w:val="0"/>
      <w:marBottom w:val="0"/>
      <w:divBdr>
        <w:top w:val="none" w:sz="0" w:space="0" w:color="auto"/>
        <w:left w:val="none" w:sz="0" w:space="0" w:color="auto"/>
        <w:bottom w:val="none" w:sz="0" w:space="0" w:color="auto"/>
        <w:right w:val="none" w:sz="0" w:space="0" w:color="auto"/>
      </w:divBdr>
    </w:div>
    <w:div w:id="816923580">
      <w:bodyDiv w:val="1"/>
      <w:marLeft w:val="0"/>
      <w:marRight w:val="0"/>
      <w:marTop w:val="0"/>
      <w:marBottom w:val="0"/>
      <w:divBdr>
        <w:top w:val="none" w:sz="0" w:space="0" w:color="auto"/>
        <w:left w:val="none" w:sz="0" w:space="0" w:color="auto"/>
        <w:bottom w:val="none" w:sz="0" w:space="0" w:color="auto"/>
        <w:right w:val="none" w:sz="0" w:space="0" w:color="auto"/>
      </w:divBdr>
    </w:div>
    <w:div w:id="818154909">
      <w:bodyDiv w:val="1"/>
      <w:marLeft w:val="0"/>
      <w:marRight w:val="0"/>
      <w:marTop w:val="0"/>
      <w:marBottom w:val="0"/>
      <w:divBdr>
        <w:top w:val="none" w:sz="0" w:space="0" w:color="auto"/>
        <w:left w:val="none" w:sz="0" w:space="0" w:color="auto"/>
        <w:bottom w:val="none" w:sz="0" w:space="0" w:color="auto"/>
        <w:right w:val="none" w:sz="0" w:space="0" w:color="auto"/>
      </w:divBdr>
    </w:div>
    <w:div w:id="895699168">
      <w:bodyDiv w:val="1"/>
      <w:marLeft w:val="0"/>
      <w:marRight w:val="0"/>
      <w:marTop w:val="0"/>
      <w:marBottom w:val="0"/>
      <w:divBdr>
        <w:top w:val="none" w:sz="0" w:space="0" w:color="auto"/>
        <w:left w:val="none" w:sz="0" w:space="0" w:color="auto"/>
        <w:bottom w:val="none" w:sz="0" w:space="0" w:color="auto"/>
        <w:right w:val="none" w:sz="0" w:space="0" w:color="auto"/>
      </w:divBdr>
    </w:div>
    <w:div w:id="958337667">
      <w:bodyDiv w:val="1"/>
      <w:marLeft w:val="0"/>
      <w:marRight w:val="0"/>
      <w:marTop w:val="0"/>
      <w:marBottom w:val="0"/>
      <w:divBdr>
        <w:top w:val="none" w:sz="0" w:space="0" w:color="auto"/>
        <w:left w:val="none" w:sz="0" w:space="0" w:color="auto"/>
        <w:bottom w:val="none" w:sz="0" w:space="0" w:color="auto"/>
        <w:right w:val="none" w:sz="0" w:space="0" w:color="auto"/>
      </w:divBdr>
    </w:div>
    <w:div w:id="96470059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31809140">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60736165">
      <w:bodyDiv w:val="1"/>
      <w:marLeft w:val="0"/>
      <w:marRight w:val="0"/>
      <w:marTop w:val="0"/>
      <w:marBottom w:val="0"/>
      <w:divBdr>
        <w:top w:val="none" w:sz="0" w:space="0" w:color="auto"/>
        <w:left w:val="none" w:sz="0" w:space="0" w:color="auto"/>
        <w:bottom w:val="none" w:sz="0" w:space="0" w:color="auto"/>
        <w:right w:val="none" w:sz="0" w:space="0" w:color="auto"/>
      </w:divBdr>
    </w:div>
    <w:div w:id="1254900079">
      <w:bodyDiv w:val="1"/>
      <w:marLeft w:val="0"/>
      <w:marRight w:val="0"/>
      <w:marTop w:val="0"/>
      <w:marBottom w:val="0"/>
      <w:divBdr>
        <w:top w:val="none" w:sz="0" w:space="0" w:color="auto"/>
        <w:left w:val="none" w:sz="0" w:space="0" w:color="auto"/>
        <w:bottom w:val="none" w:sz="0" w:space="0" w:color="auto"/>
        <w:right w:val="none" w:sz="0" w:space="0" w:color="auto"/>
      </w:divBdr>
    </w:div>
    <w:div w:id="1274290811">
      <w:bodyDiv w:val="1"/>
      <w:marLeft w:val="0"/>
      <w:marRight w:val="0"/>
      <w:marTop w:val="0"/>
      <w:marBottom w:val="0"/>
      <w:divBdr>
        <w:top w:val="none" w:sz="0" w:space="0" w:color="auto"/>
        <w:left w:val="none" w:sz="0" w:space="0" w:color="auto"/>
        <w:bottom w:val="none" w:sz="0" w:space="0" w:color="auto"/>
        <w:right w:val="none" w:sz="0" w:space="0" w:color="auto"/>
      </w:divBdr>
    </w:div>
    <w:div w:id="1311902111">
      <w:bodyDiv w:val="1"/>
      <w:marLeft w:val="0"/>
      <w:marRight w:val="0"/>
      <w:marTop w:val="0"/>
      <w:marBottom w:val="0"/>
      <w:divBdr>
        <w:top w:val="none" w:sz="0" w:space="0" w:color="auto"/>
        <w:left w:val="none" w:sz="0" w:space="0" w:color="auto"/>
        <w:bottom w:val="none" w:sz="0" w:space="0" w:color="auto"/>
        <w:right w:val="none" w:sz="0" w:space="0" w:color="auto"/>
      </w:divBdr>
    </w:div>
    <w:div w:id="135511226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21173008">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3499534">
      <w:bodyDiv w:val="1"/>
      <w:marLeft w:val="0"/>
      <w:marRight w:val="0"/>
      <w:marTop w:val="0"/>
      <w:marBottom w:val="0"/>
      <w:divBdr>
        <w:top w:val="none" w:sz="0" w:space="0" w:color="auto"/>
        <w:left w:val="none" w:sz="0" w:space="0" w:color="auto"/>
        <w:bottom w:val="none" w:sz="0" w:space="0" w:color="auto"/>
        <w:right w:val="none" w:sz="0" w:space="0" w:color="auto"/>
      </w:divBdr>
    </w:div>
    <w:div w:id="1461338266">
      <w:bodyDiv w:val="1"/>
      <w:marLeft w:val="0"/>
      <w:marRight w:val="0"/>
      <w:marTop w:val="0"/>
      <w:marBottom w:val="0"/>
      <w:divBdr>
        <w:top w:val="none" w:sz="0" w:space="0" w:color="auto"/>
        <w:left w:val="none" w:sz="0" w:space="0" w:color="auto"/>
        <w:bottom w:val="none" w:sz="0" w:space="0" w:color="auto"/>
        <w:right w:val="none" w:sz="0" w:space="0" w:color="auto"/>
      </w:divBdr>
    </w:div>
    <w:div w:id="1496801026">
      <w:bodyDiv w:val="1"/>
      <w:marLeft w:val="0"/>
      <w:marRight w:val="0"/>
      <w:marTop w:val="0"/>
      <w:marBottom w:val="0"/>
      <w:divBdr>
        <w:top w:val="none" w:sz="0" w:space="0" w:color="auto"/>
        <w:left w:val="none" w:sz="0" w:space="0" w:color="auto"/>
        <w:bottom w:val="none" w:sz="0" w:space="0" w:color="auto"/>
        <w:right w:val="none" w:sz="0" w:space="0" w:color="auto"/>
      </w:divBdr>
    </w:div>
    <w:div w:id="1513953701">
      <w:bodyDiv w:val="1"/>
      <w:marLeft w:val="0"/>
      <w:marRight w:val="0"/>
      <w:marTop w:val="0"/>
      <w:marBottom w:val="0"/>
      <w:divBdr>
        <w:top w:val="none" w:sz="0" w:space="0" w:color="auto"/>
        <w:left w:val="none" w:sz="0" w:space="0" w:color="auto"/>
        <w:bottom w:val="none" w:sz="0" w:space="0" w:color="auto"/>
        <w:right w:val="none" w:sz="0" w:space="0" w:color="auto"/>
      </w:divBdr>
    </w:div>
    <w:div w:id="1564024506">
      <w:bodyDiv w:val="1"/>
      <w:marLeft w:val="0"/>
      <w:marRight w:val="0"/>
      <w:marTop w:val="0"/>
      <w:marBottom w:val="0"/>
      <w:divBdr>
        <w:top w:val="none" w:sz="0" w:space="0" w:color="auto"/>
        <w:left w:val="none" w:sz="0" w:space="0" w:color="auto"/>
        <w:bottom w:val="none" w:sz="0" w:space="0" w:color="auto"/>
        <w:right w:val="none" w:sz="0" w:space="0" w:color="auto"/>
      </w:divBdr>
    </w:div>
    <w:div w:id="1568490649">
      <w:bodyDiv w:val="1"/>
      <w:marLeft w:val="0"/>
      <w:marRight w:val="0"/>
      <w:marTop w:val="0"/>
      <w:marBottom w:val="0"/>
      <w:divBdr>
        <w:top w:val="none" w:sz="0" w:space="0" w:color="auto"/>
        <w:left w:val="none" w:sz="0" w:space="0" w:color="auto"/>
        <w:bottom w:val="none" w:sz="0" w:space="0" w:color="auto"/>
        <w:right w:val="none" w:sz="0" w:space="0" w:color="auto"/>
      </w:divBdr>
    </w:div>
    <w:div w:id="1600024328">
      <w:bodyDiv w:val="1"/>
      <w:marLeft w:val="0"/>
      <w:marRight w:val="0"/>
      <w:marTop w:val="0"/>
      <w:marBottom w:val="0"/>
      <w:divBdr>
        <w:top w:val="none" w:sz="0" w:space="0" w:color="auto"/>
        <w:left w:val="none" w:sz="0" w:space="0" w:color="auto"/>
        <w:bottom w:val="none" w:sz="0" w:space="0" w:color="auto"/>
        <w:right w:val="none" w:sz="0" w:space="0" w:color="auto"/>
      </w:divBdr>
    </w:div>
    <w:div w:id="1614945830">
      <w:bodyDiv w:val="1"/>
      <w:marLeft w:val="0"/>
      <w:marRight w:val="0"/>
      <w:marTop w:val="0"/>
      <w:marBottom w:val="0"/>
      <w:divBdr>
        <w:top w:val="none" w:sz="0" w:space="0" w:color="auto"/>
        <w:left w:val="none" w:sz="0" w:space="0" w:color="auto"/>
        <w:bottom w:val="none" w:sz="0" w:space="0" w:color="auto"/>
        <w:right w:val="none" w:sz="0" w:space="0" w:color="auto"/>
      </w:divBdr>
    </w:div>
    <w:div w:id="1617788478">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81617583">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8863964">
      <w:bodyDiv w:val="1"/>
      <w:marLeft w:val="0"/>
      <w:marRight w:val="0"/>
      <w:marTop w:val="0"/>
      <w:marBottom w:val="0"/>
      <w:divBdr>
        <w:top w:val="none" w:sz="0" w:space="0" w:color="auto"/>
        <w:left w:val="none" w:sz="0" w:space="0" w:color="auto"/>
        <w:bottom w:val="none" w:sz="0" w:space="0" w:color="auto"/>
        <w:right w:val="none" w:sz="0" w:space="0" w:color="auto"/>
      </w:divBdr>
    </w:div>
    <w:div w:id="1859193130">
      <w:bodyDiv w:val="1"/>
      <w:marLeft w:val="0"/>
      <w:marRight w:val="0"/>
      <w:marTop w:val="0"/>
      <w:marBottom w:val="0"/>
      <w:divBdr>
        <w:top w:val="none" w:sz="0" w:space="0" w:color="auto"/>
        <w:left w:val="none" w:sz="0" w:space="0" w:color="auto"/>
        <w:bottom w:val="none" w:sz="0" w:space="0" w:color="auto"/>
        <w:right w:val="none" w:sz="0" w:space="0" w:color="auto"/>
      </w:divBdr>
    </w:div>
    <w:div w:id="1911501419">
      <w:bodyDiv w:val="1"/>
      <w:marLeft w:val="0"/>
      <w:marRight w:val="0"/>
      <w:marTop w:val="0"/>
      <w:marBottom w:val="0"/>
      <w:divBdr>
        <w:top w:val="none" w:sz="0" w:space="0" w:color="auto"/>
        <w:left w:val="none" w:sz="0" w:space="0" w:color="auto"/>
        <w:bottom w:val="none" w:sz="0" w:space="0" w:color="auto"/>
        <w:right w:val="none" w:sz="0" w:space="0" w:color="auto"/>
      </w:divBdr>
    </w:div>
    <w:div w:id="1930382181">
      <w:bodyDiv w:val="1"/>
      <w:marLeft w:val="0"/>
      <w:marRight w:val="0"/>
      <w:marTop w:val="0"/>
      <w:marBottom w:val="0"/>
      <w:divBdr>
        <w:top w:val="none" w:sz="0" w:space="0" w:color="auto"/>
        <w:left w:val="none" w:sz="0" w:space="0" w:color="auto"/>
        <w:bottom w:val="none" w:sz="0" w:space="0" w:color="auto"/>
        <w:right w:val="none" w:sz="0" w:space="0" w:color="auto"/>
      </w:divBdr>
    </w:div>
    <w:div w:id="1935164755">
      <w:bodyDiv w:val="1"/>
      <w:marLeft w:val="0"/>
      <w:marRight w:val="0"/>
      <w:marTop w:val="0"/>
      <w:marBottom w:val="0"/>
      <w:divBdr>
        <w:top w:val="none" w:sz="0" w:space="0" w:color="auto"/>
        <w:left w:val="none" w:sz="0" w:space="0" w:color="auto"/>
        <w:bottom w:val="none" w:sz="0" w:space="0" w:color="auto"/>
        <w:right w:val="none" w:sz="0" w:space="0" w:color="auto"/>
      </w:divBdr>
    </w:div>
    <w:div w:id="2010791601">
      <w:bodyDiv w:val="1"/>
      <w:marLeft w:val="0"/>
      <w:marRight w:val="0"/>
      <w:marTop w:val="0"/>
      <w:marBottom w:val="0"/>
      <w:divBdr>
        <w:top w:val="none" w:sz="0" w:space="0" w:color="auto"/>
        <w:left w:val="none" w:sz="0" w:space="0" w:color="auto"/>
        <w:bottom w:val="none" w:sz="0" w:space="0" w:color="auto"/>
        <w:right w:val="none" w:sz="0" w:space="0" w:color="auto"/>
      </w:divBdr>
    </w:div>
    <w:div w:id="2016760101">
      <w:bodyDiv w:val="1"/>
      <w:marLeft w:val="0"/>
      <w:marRight w:val="0"/>
      <w:marTop w:val="0"/>
      <w:marBottom w:val="0"/>
      <w:divBdr>
        <w:top w:val="none" w:sz="0" w:space="0" w:color="auto"/>
        <w:left w:val="none" w:sz="0" w:space="0" w:color="auto"/>
        <w:bottom w:val="none" w:sz="0" w:space="0" w:color="auto"/>
        <w:right w:val="none" w:sz="0" w:space="0" w:color="auto"/>
      </w:divBdr>
    </w:div>
    <w:div w:id="2018069017">
      <w:bodyDiv w:val="1"/>
      <w:marLeft w:val="0"/>
      <w:marRight w:val="0"/>
      <w:marTop w:val="0"/>
      <w:marBottom w:val="0"/>
      <w:divBdr>
        <w:top w:val="none" w:sz="0" w:space="0" w:color="auto"/>
        <w:left w:val="none" w:sz="0" w:space="0" w:color="auto"/>
        <w:bottom w:val="none" w:sz="0" w:space="0" w:color="auto"/>
        <w:right w:val="none" w:sz="0" w:space="0" w:color="auto"/>
      </w:divBdr>
    </w:div>
    <w:div w:id="2026251908">
      <w:bodyDiv w:val="1"/>
      <w:marLeft w:val="0"/>
      <w:marRight w:val="0"/>
      <w:marTop w:val="0"/>
      <w:marBottom w:val="0"/>
      <w:divBdr>
        <w:top w:val="none" w:sz="0" w:space="0" w:color="auto"/>
        <w:left w:val="none" w:sz="0" w:space="0" w:color="auto"/>
        <w:bottom w:val="none" w:sz="0" w:space="0" w:color="auto"/>
        <w:right w:val="none" w:sz="0" w:space="0" w:color="auto"/>
      </w:divBdr>
    </w:div>
    <w:div w:id="2042241895">
      <w:bodyDiv w:val="1"/>
      <w:marLeft w:val="0"/>
      <w:marRight w:val="0"/>
      <w:marTop w:val="0"/>
      <w:marBottom w:val="0"/>
      <w:divBdr>
        <w:top w:val="none" w:sz="0" w:space="0" w:color="auto"/>
        <w:left w:val="none" w:sz="0" w:space="0" w:color="auto"/>
        <w:bottom w:val="none" w:sz="0" w:space="0" w:color="auto"/>
        <w:right w:val="none" w:sz="0" w:space="0" w:color="auto"/>
      </w:divBdr>
    </w:div>
    <w:div w:id="2052343851">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5322300">
      <w:bodyDiv w:val="1"/>
      <w:marLeft w:val="0"/>
      <w:marRight w:val="0"/>
      <w:marTop w:val="0"/>
      <w:marBottom w:val="0"/>
      <w:divBdr>
        <w:top w:val="none" w:sz="0" w:space="0" w:color="auto"/>
        <w:left w:val="none" w:sz="0" w:space="0" w:color="auto"/>
        <w:bottom w:val="none" w:sz="0" w:space="0" w:color="auto"/>
        <w:right w:val="none" w:sz="0" w:space="0" w:color="auto"/>
      </w:divBdr>
    </w:div>
    <w:div w:id="2143767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www.onr.org.uk/corporate-publications.htm"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mailto:class7@onr.gov.uk" TargetMode="Externa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blackburn\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24534"/>
    <w:rsid w:val="00183F29"/>
    <w:rsid w:val="002550FD"/>
    <w:rsid w:val="00333F8E"/>
    <w:rsid w:val="0033668A"/>
    <w:rsid w:val="00350199"/>
    <w:rsid w:val="003C326A"/>
    <w:rsid w:val="00482743"/>
    <w:rsid w:val="00574D3B"/>
    <w:rsid w:val="00605DE5"/>
    <w:rsid w:val="007154C5"/>
    <w:rsid w:val="00812CC1"/>
    <w:rsid w:val="00833B5B"/>
    <w:rsid w:val="00835E07"/>
    <w:rsid w:val="00963245"/>
    <w:rsid w:val="00BC5327"/>
    <w:rsid w:val="00BD37E3"/>
    <w:rsid w:val="00BF584B"/>
    <w:rsid w:val="00C41BCC"/>
    <w:rsid w:val="00D0276B"/>
    <w:rsid w:val="00D36415"/>
    <w:rsid w:val="00DD7BA4"/>
    <w:rsid w:val="00E318CE"/>
    <w:rsid w:val="00E646E1"/>
    <w:rsid w:val="00E80E9B"/>
    <w:rsid w:val="00EC4460"/>
    <w:rsid w:val="00EF7738"/>
    <w:rsid w:val="00F62A55"/>
    <w:rsid w:val="00F76382"/>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SSR6</b:Tag>
    <b:SourceType>Misc</b:SourceType>
    <b:Guid>{407CDBA1-1CC2-4310-9CAA-7A2DC7850F8E}</b:Guid>
    <b:Title>IAEA Safety Standards: SSR 6, ‘Regulations for the Safe Transport of Radioactive Material (2018 Edition)’, IAEA, Vienna, 2018</b:Title>
    <b:RefOrder>3</b:RefOrder>
  </b:Source>
  <b:Source>
    <b:Tag>IMDG</b:Tag>
    <b:SourceType>Misc</b:SourceType>
    <b:Guid>{99C96BAA-9A4A-46E9-9124-690D09EB5E17}</b:Guid>
    <b:Title>International Maritime Dangerous Goods Code (IMDG) 2020 Edition incorporating Amendment 40-20</b:Title>
    <b:RefOrder>5</b:RefOrder>
  </b:Source>
  <b:Source>
    <b:Tag>ICAO</b:Tag>
    <b:SourceType>Misc</b:SourceType>
    <b:Guid>{6AF9E30F-273E-4AE5-8F14-C2AC8BEEA996}</b:Guid>
    <b:Title>International Civil Aviation Organization (ICAO), Technical Instructions for the Safe Transport of Dangerous Goods by Air 2023-2024 Edition</b:Title>
    <b:RefOrder>6</b:RefOrder>
  </b:Source>
  <b:Source>
    <b:Tag>SSG66</b:Tag>
    <b:SourceType>Book</b:SourceType>
    <b:Guid>{44AE09E0-C5E8-49D0-A963-D13442EF8CF4}</b:Guid>
    <b:Title>Format and Content of the Package Design Safety Report for the Transport of Radioactive Material, Specific Safety Guide No. SSG-66</b:Title>
    <b:RefOrder>12</b:RefOrder>
  </b:Source>
  <b:Source>
    <b:Tag>SSG26</b:Tag>
    <b:SourceType>Misc</b:SourceType>
    <b:Guid>{F26D28C2-7E96-4759-83F4-BB1F2B203B16}</b:Guid>
    <b:Title>Advisory Material for the IAEA Regulations for the Safe Transport of Radioactive Material (2018 Edition), Specific Safety Guide No. SSG-26 (Rev. 1)</b:Title>
    <b:RefOrder>4</b:RefOrder>
  </b:Source>
  <b:Source>
    <b:Tag>EACA</b:Tag>
    <b:SourceType>Book</b:SourceType>
    <b:Guid>{85949CED-B663-4861-AA68-906EA2213595}</b:Guid>
    <b:Title>European Association of Competent Authorities (EACA) Technical Guide, Package Design Safety Reports for the Transport of Radioactive Material</b:Title>
    <b:RefOrder>13</b:RefOrder>
  </b:Source>
  <b:Source>
    <b:Tag>SSG33</b:Tag>
    <b:SourceType>Book</b:SourceType>
    <b:Guid>{F18C1DBC-9F7C-4DD6-B8A7-5A02DE685158}</b:Guid>
    <b:Title>Schedules of Provisions of the IAEA Regulations for the Safe Transport of Radioactive Material (2018 Edition), Specific Safety Guide No. SSG-33 (Rev. 1)</b:Title>
    <b:RefOrder>11</b:RefOrder>
  </b:Source>
  <b:Source>
    <b:Tag>IRR17</b:Tag>
    <b:SourceType>Book</b:SourceType>
    <b:Guid>{C08BEBA8-B0DC-4AB6-B19D-623E506FE05F}</b:Guid>
    <b:Title>The Ionising Radiations Regulations 2017</b:Title>
    <b:RefOrder>7</b:RefOrder>
  </b:Source>
  <b:Source>
    <b:Tag>L121</b:Tag>
    <b:SourceType>Book</b:SourceType>
    <b:Guid>{BEEF47E1-B881-48E9-B6B0-45AADE99D7D7}</b:Guid>
    <b:Title>Working with ionising radiation. Ionising Radiations Regulations 2017. Approved Code of Practice and guidance</b:Title>
    <b:RefOrder>8</b:RefOrder>
  </b:Source>
  <b:Source>
    <b:Tag>RID23</b:Tag>
    <b:SourceType>Misc</b:SourceType>
    <b:Guid>{46B78F53-FAF4-44E6-8196-FC258151D17D}</b:Guid>
    <b:Title>Intergovernmental Organisation for International Carriage by Rail (OTIF), Regulations concerning the International Carriage of Dangerous Goods by Rail (RID) 2023 Edition</b:Title>
    <b:RefOrder>2</b:RefOrder>
  </b:Source>
  <b:Source>
    <b:Tag>ADR23</b:Tag>
    <b:SourceType>Misc</b:SourceType>
    <b:Guid>{B67F1236-02FA-49AC-9B3A-48064BB47528}</b:Guid>
    <b:Title>United Nations Economic Commission for Europe (UNECE), European Agreement concerning the International Carriage of Dangerous Goods by Road (ADR) 2023 Edition</b:Title>
    <b:RefOrder>1</b:RefOrder>
  </b:Source>
  <b:Source>
    <b:Tag>GenDef</b:Tag>
    <b:SourceType>Book</b:SourceType>
    <b:Guid>{51F05E75-3685-4410-B6EC-7B755F760F2A}</b:Guid>
    <b:Title>General Agreement between Ministry of Defence and Office for Nuclear Regulaton for Regulation of the Defence Nuclear Programme, April 2015 </b:Title>
    <b:RefOrder>9</b:RefOrder>
  </b:Source>
  <b:Source>
    <b:Tag>Let</b:Tag>
    <b:SourceType>Book</b:SourceType>
    <b:Guid>{FF76C471-A6E5-4276-A5EF-5A5EEA35AA0F}</b:Guid>
    <b:Title>Letter of Understanding between the Office for Nuclear Regulation and the Defence Nuclear Safety Regulator, April 2015</b:Title>
    <b:RefOrder>10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F2BBF6-C1AD-4E37-835D-3F6CC928A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32</Pages>
  <Words>10865</Words>
  <Characters>61936</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Guidance for Applications for UK Competent Authority Approval</vt:lpstr>
    </vt:vector>
  </TitlesOfParts>
  <Manager>Office for Nuclear Regulation</Manager>
  <Company>Office for Nuclear Regulation</Company>
  <LinksUpToDate>false</LinksUpToDate>
  <CharactersWithSpaces>72656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Applications for UK Competent Authority Approval</dc:title>
  <dc:subject>[Subtitle or description]</dc:subject>
  <dc:creator>Liam Dunning</dc:creator>
  <cp:keywords>[Key words separated by commas]</cp:keywords>
  <dc:description/>
  <cp:lastModifiedBy>Gary Hull</cp:lastModifiedBy>
  <cp:revision>3</cp:revision>
  <cp:lastPrinted>2023-05-12T12:26:00Z</cp:lastPrinted>
  <dcterms:created xsi:type="dcterms:W3CDTF">2023-11-13T07:18:00Z</dcterms:created>
  <dcterms:modified xsi:type="dcterms:W3CDTF">2023-11-13T07:19:00Z</dcterms:modified>
  <cp:contentStatus>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MSIP_Label_002fffcc-0b75-4fc5-9391-81f23a104fec_Enabled">
    <vt:lpwstr>true</vt:lpwstr>
  </property>
  <property fmtid="{D5CDD505-2E9C-101B-9397-08002B2CF9AE}" pid="10" name="MSIP_Label_002fffcc-0b75-4fc5-9391-81f23a104fec_SetDate">
    <vt:lpwstr>2023-07-31T15:13:59Z</vt:lpwstr>
  </property>
  <property fmtid="{D5CDD505-2E9C-101B-9397-08002B2CF9AE}" pid="11" name="MSIP_Label_002fffcc-0b75-4fc5-9391-81f23a104fec_Method">
    <vt:lpwstr>Privileged</vt:lpwstr>
  </property>
  <property fmtid="{D5CDD505-2E9C-101B-9397-08002B2CF9AE}" pid="12" name="MSIP_Label_002fffcc-0b75-4fc5-9391-81f23a104fec_Name">
    <vt:lpwstr>OFFICIAL (not marked)</vt:lpwstr>
  </property>
  <property fmtid="{D5CDD505-2E9C-101B-9397-08002B2CF9AE}" pid="13" name="MSIP_Label_002fffcc-0b75-4fc5-9391-81f23a104fec_SiteId">
    <vt:lpwstr>ee032e7f-73e4-457a-a0c4-cfbe17e33ceb</vt:lpwstr>
  </property>
  <property fmtid="{D5CDD505-2E9C-101B-9397-08002B2CF9AE}" pid="14" name="MSIP_Label_002fffcc-0b75-4fc5-9391-81f23a104fec_ActionId">
    <vt:lpwstr>9159023d-5bc0-4bf0-b34c-8a0655fd5e25</vt:lpwstr>
  </property>
  <property fmtid="{D5CDD505-2E9C-101B-9397-08002B2CF9AE}" pid="15" name="MSIP_Label_002fffcc-0b75-4fc5-9391-81f23a104fec_ContentBits">
    <vt:lpwstr>0</vt:lpwstr>
  </property>
</Properties>
</file>