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21C3179" w:rsidR="00D0226A" w:rsidRPr="001E03E1" w:rsidRDefault="007463B2"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C2C31">
                      <w:rPr>
                        <w:sz w:val="52"/>
                        <w:szCs w:val="52"/>
                      </w:rPr>
                      <w:t xml:space="preserve">Assessment for the </w:t>
                    </w:r>
                    <w:r w:rsidR="0017258D">
                      <w:rPr>
                        <w:sz w:val="52"/>
                        <w:szCs w:val="52"/>
                      </w:rPr>
                      <w:t>d</w:t>
                    </w:r>
                    <w:r w:rsidR="008C2C31">
                      <w:rPr>
                        <w:sz w:val="52"/>
                        <w:szCs w:val="52"/>
                      </w:rPr>
                      <w:t xml:space="preserve">elicensing of a </w:t>
                    </w:r>
                    <w:r w:rsidR="0017258D">
                      <w:rPr>
                        <w:sz w:val="52"/>
                        <w:szCs w:val="52"/>
                      </w:rPr>
                      <w:t>n</w:t>
                    </w:r>
                    <w:r w:rsidR="008C2C31">
                      <w:rPr>
                        <w:sz w:val="52"/>
                        <w:szCs w:val="52"/>
                      </w:rPr>
                      <w:t xml:space="preserve">uclear </w:t>
                    </w:r>
                    <w:r w:rsidR="0017258D">
                      <w:rPr>
                        <w:sz w:val="52"/>
                        <w:szCs w:val="52"/>
                      </w:rPr>
                      <w:t>l</w:t>
                    </w:r>
                    <w:r w:rsidR="008C2C31">
                      <w:rPr>
                        <w:sz w:val="52"/>
                        <w:szCs w:val="52"/>
                      </w:rPr>
                      <w:t xml:space="preserve">icenced </w:t>
                    </w:r>
                    <w:r w:rsidR="0017258D">
                      <w:rPr>
                        <w:sz w:val="52"/>
                        <w:szCs w:val="52"/>
                      </w:rPr>
                      <w:t>s</w:t>
                    </w:r>
                    <w:r w:rsidR="008C2C31">
                      <w:rPr>
                        <w:sz w:val="52"/>
                        <w:szCs w:val="52"/>
                      </w:rPr>
                      <w:t>ite</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2943319" w:rsidR="00004C16" w:rsidRPr="00F63AA5" w:rsidRDefault="007463B2"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17258D">
            <w:rPr>
              <w:rStyle w:val="Style2"/>
            </w:rPr>
            <w:t>Assessment for the delicensing of a nuclear licenced site</w:t>
          </w:r>
        </w:sdtContent>
      </w:sdt>
    </w:p>
    <w:p w14:paraId="10432EBB" w14:textId="2078EC2A" w:rsidR="002D5F2E" w:rsidRDefault="00AD298F" w:rsidP="008C2C31">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8C2C31">
        <w:rPr>
          <w:sz w:val="28"/>
          <w:szCs w:val="28"/>
        </w:rPr>
        <w:t>Radiological Protection &amp; Criticality</w:t>
      </w:r>
      <w:r w:rsidR="000972F0">
        <w:rPr>
          <w:sz w:val="28"/>
          <w:szCs w:val="28"/>
        </w:rPr>
        <w:t xml:space="preserve"> Specialism</w:t>
      </w:r>
    </w:p>
    <w:p w14:paraId="61A25C0F" w14:textId="77777777" w:rsidR="00004C16" w:rsidRDefault="00004C16" w:rsidP="00004C16">
      <w:pPr>
        <w:rPr>
          <w:sz w:val="28"/>
          <w:szCs w:val="28"/>
        </w:rPr>
      </w:pPr>
    </w:p>
    <w:p w14:paraId="525FA282" w14:textId="61338646" w:rsidR="008C2C31" w:rsidRPr="002D5F2E" w:rsidRDefault="00245A0D" w:rsidP="008C2C31">
      <w:pPr>
        <w:rPr>
          <w:szCs w:val="24"/>
        </w:rPr>
      </w:pPr>
      <w:r w:rsidRPr="002D5F2E">
        <w:rPr>
          <w:b/>
          <w:bCs/>
          <w:szCs w:val="24"/>
        </w:rPr>
        <w:t>Authored by</w:t>
      </w:r>
      <w:r w:rsidR="00CE1DB2" w:rsidRPr="002D5F2E">
        <w:rPr>
          <w:szCs w:val="24"/>
        </w:rPr>
        <w:t>:</w:t>
      </w:r>
      <w:r w:rsidRPr="002D5F2E">
        <w:rPr>
          <w:szCs w:val="24"/>
        </w:rPr>
        <w:t xml:space="preserve"> </w:t>
      </w:r>
      <w:r w:rsidR="008C2C31">
        <w:rPr>
          <w:szCs w:val="24"/>
        </w:rPr>
        <w:t>Nuclear Safety Inspector</w:t>
      </w:r>
    </w:p>
    <w:p w14:paraId="15A21CF3" w14:textId="3C1E871F"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8C2C31" w:rsidRPr="008C2C31">
        <w:rPr>
          <w:szCs w:val="24"/>
        </w:rPr>
        <w:t>Principal Safety Inspector</w:t>
      </w:r>
      <w:r w:rsidR="007463B2">
        <w:rPr>
          <w:szCs w:val="24"/>
        </w:rPr>
        <w:t xml:space="preserve">, </w:t>
      </w:r>
      <w:r w:rsidR="008C2C31" w:rsidRPr="008C2C31">
        <w:rPr>
          <w:szCs w:val="24"/>
        </w:rPr>
        <w:t>Nuclear Safety Inspector</w:t>
      </w:r>
    </w:p>
    <w:p w14:paraId="247E3769" w14:textId="7DEFF34F"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C31">
            <w:rPr>
              <w:szCs w:val="24"/>
            </w:rPr>
            <w:t>1</w:t>
          </w:r>
        </w:sdtContent>
      </w:sdt>
    </w:p>
    <w:p w14:paraId="19206F45" w14:textId="4D519951" w:rsidR="00004C16" w:rsidRPr="008C2C31" w:rsidRDefault="00AD298F" w:rsidP="00004C16">
      <w:pPr>
        <w:rPr>
          <w:szCs w:val="24"/>
        </w:rPr>
      </w:pPr>
      <w:r>
        <w:rPr>
          <w:b/>
          <w:bCs/>
          <w:szCs w:val="24"/>
        </w:rPr>
        <w:t>Published</w:t>
      </w:r>
      <w:r w:rsidR="00004C16" w:rsidRPr="002D5F2E">
        <w:rPr>
          <w:szCs w:val="24"/>
        </w:rPr>
        <w:t xml:space="preserve">: </w:t>
      </w:r>
      <w:r w:rsidR="008C2C31" w:rsidRPr="008C2C31">
        <w:rPr>
          <w:szCs w:val="24"/>
        </w:rPr>
        <w:t>February</w:t>
      </w:r>
      <w:r w:rsidR="006F55D4" w:rsidRPr="008C2C31">
        <w:rPr>
          <w:szCs w:val="24"/>
        </w:rPr>
        <w:t xml:space="preserve"> </w:t>
      </w:r>
      <w:r w:rsidR="008C2C31" w:rsidRPr="008C2C31">
        <w:rPr>
          <w:szCs w:val="24"/>
        </w:rPr>
        <w:t>2025</w:t>
      </w:r>
    </w:p>
    <w:p w14:paraId="06A6B3A5" w14:textId="12827DE4" w:rsidR="00E57DB9" w:rsidRPr="002D5F2E" w:rsidRDefault="00E57DB9" w:rsidP="00E57DB9">
      <w:pPr>
        <w:rPr>
          <w:szCs w:val="24"/>
        </w:rPr>
      </w:pPr>
      <w:r w:rsidRPr="008C2C31">
        <w:rPr>
          <w:b/>
          <w:bCs/>
          <w:szCs w:val="24"/>
        </w:rPr>
        <w:t xml:space="preserve">Next </w:t>
      </w:r>
      <w:r w:rsidR="00AD298F" w:rsidRPr="008C2C31">
        <w:rPr>
          <w:b/>
          <w:bCs/>
          <w:szCs w:val="24"/>
        </w:rPr>
        <w:t>scheduled review</w:t>
      </w:r>
      <w:r w:rsidRPr="008C2C31">
        <w:rPr>
          <w:szCs w:val="24"/>
        </w:rPr>
        <w:t>:</w:t>
      </w:r>
      <w:r w:rsidR="00AE4F54" w:rsidRPr="008C2C31">
        <w:rPr>
          <w:szCs w:val="24"/>
        </w:rPr>
        <w:t xml:space="preserve"> </w:t>
      </w:r>
      <w:r w:rsidR="008C2C31" w:rsidRPr="008C2C31">
        <w:rPr>
          <w:szCs w:val="24"/>
        </w:rPr>
        <w:t>February</w:t>
      </w:r>
      <w:r w:rsidR="006F55D4" w:rsidRPr="008C2C31">
        <w:rPr>
          <w:szCs w:val="24"/>
        </w:rPr>
        <w:t xml:space="preserve"> </w:t>
      </w:r>
      <w:r w:rsidR="008C2C31" w:rsidRPr="008C2C31">
        <w:rPr>
          <w:szCs w:val="24"/>
        </w:rPr>
        <w:t>2027</w:t>
      </w:r>
    </w:p>
    <w:p w14:paraId="6DA341A1" w14:textId="0CECC187"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8C2C31">
        <w:rPr>
          <w:szCs w:val="24"/>
        </w:rPr>
        <w:t>NS-TAST-GD-110</w:t>
      </w:r>
    </w:p>
    <w:p w14:paraId="55057C62" w14:textId="7CF973AD"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AD10D6" w:rsidRPr="00AD10D6">
        <w:rPr>
          <w:szCs w:val="24"/>
        </w:rPr>
        <w:t>2021/14609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71C90453" w:rsidR="00595C8C" w:rsidRPr="002D5F2E" w:rsidRDefault="008C2C31" w:rsidP="00595C8C">
            <w:pPr>
              <w:spacing w:before="60" w:after="60"/>
              <w:rPr>
                <w:szCs w:val="24"/>
              </w:rPr>
            </w:pPr>
            <w:r>
              <w:rPr>
                <w:szCs w:val="24"/>
              </w:rPr>
              <w:t>1</w:t>
            </w:r>
          </w:p>
        </w:tc>
        <w:tc>
          <w:tcPr>
            <w:tcW w:w="7466" w:type="dxa"/>
          </w:tcPr>
          <w:p w14:paraId="1C80912E" w14:textId="1E21097A" w:rsidR="00595C8C" w:rsidRPr="002D5F2E" w:rsidRDefault="008C2C31" w:rsidP="00595C8C">
            <w:pPr>
              <w:spacing w:before="60" w:after="60"/>
              <w:rPr>
                <w:szCs w:val="24"/>
              </w:rPr>
            </w:pPr>
            <w:r>
              <w:t>New TAG that supersedes NS-PER-GD-019 (2021) and NS-PER-POL-001 (2021)</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D8B10DC" w14:textId="688BFA52" w:rsidR="001E6057"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9579459" w:history="1">
        <w:r w:rsidR="001E6057" w:rsidRPr="00861F35">
          <w:rPr>
            <w:rStyle w:val="Hyperlink"/>
          </w:rPr>
          <w:t>1.</w:t>
        </w:r>
        <w:r w:rsidR="001E6057">
          <w:rPr>
            <w:rFonts w:asciiTheme="minorHAnsi" w:eastAsiaTheme="minorEastAsia" w:hAnsiTheme="minorHAnsi" w:cstheme="minorBidi"/>
            <w:kern w:val="2"/>
            <w:szCs w:val="24"/>
            <w:lang w:eastAsia="en-GB" w:bidi="ar-SA"/>
            <w14:ligatures w14:val="standardContextual"/>
          </w:rPr>
          <w:tab/>
        </w:r>
        <w:r w:rsidR="001E6057" w:rsidRPr="00861F35">
          <w:rPr>
            <w:rStyle w:val="Hyperlink"/>
          </w:rPr>
          <w:t>Introduction</w:t>
        </w:r>
        <w:r w:rsidR="001E6057">
          <w:rPr>
            <w:webHidden/>
          </w:rPr>
          <w:tab/>
        </w:r>
        <w:r w:rsidR="001E6057">
          <w:rPr>
            <w:webHidden/>
          </w:rPr>
          <w:fldChar w:fldCharType="begin"/>
        </w:r>
        <w:r w:rsidR="001E6057">
          <w:rPr>
            <w:webHidden/>
          </w:rPr>
          <w:instrText xml:space="preserve"> PAGEREF _Toc189579459 \h </w:instrText>
        </w:r>
        <w:r w:rsidR="001E6057">
          <w:rPr>
            <w:webHidden/>
          </w:rPr>
        </w:r>
        <w:r w:rsidR="001E6057">
          <w:rPr>
            <w:webHidden/>
          </w:rPr>
          <w:fldChar w:fldCharType="separate"/>
        </w:r>
        <w:r w:rsidR="001E6057">
          <w:rPr>
            <w:webHidden/>
          </w:rPr>
          <w:t>4</w:t>
        </w:r>
        <w:r w:rsidR="001E6057">
          <w:rPr>
            <w:webHidden/>
          </w:rPr>
          <w:fldChar w:fldCharType="end"/>
        </w:r>
      </w:hyperlink>
    </w:p>
    <w:p w14:paraId="5B12CF3E" w14:textId="05381EDE" w:rsidR="001E6057" w:rsidRDefault="007463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9460" w:history="1">
        <w:r w:rsidR="001E6057" w:rsidRPr="00861F35">
          <w:rPr>
            <w:rStyle w:val="Hyperlink"/>
          </w:rPr>
          <w:t>2.</w:t>
        </w:r>
        <w:r w:rsidR="001E6057">
          <w:rPr>
            <w:rFonts w:asciiTheme="minorHAnsi" w:eastAsiaTheme="minorEastAsia" w:hAnsiTheme="minorHAnsi" w:cstheme="minorBidi"/>
            <w:kern w:val="2"/>
            <w:szCs w:val="24"/>
            <w:lang w:eastAsia="en-GB" w:bidi="ar-SA"/>
            <w14:ligatures w14:val="standardContextual"/>
          </w:rPr>
          <w:tab/>
        </w:r>
        <w:r w:rsidR="001E6057" w:rsidRPr="00861F35">
          <w:rPr>
            <w:rStyle w:val="Hyperlink"/>
          </w:rPr>
          <w:t>Purpose and scope</w:t>
        </w:r>
        <w:r w:rsidR="001E6057">
          <w:rPr>
            <w:webHidden/>
          </w:rPr>
          <w:tab/>
        </w:r>
        <w:r w:rsidR="001E6057">
          <w:rPr>
            <w:webHidden/>
          </w:rPr>
          <w:fldChar w:fldCharType="begin"/>
        </w:r>
        <w:r w:rsidR="001E6057">
          <w:rPr>
            <w:webHidden/>
          </w:rPr>
          <w:instrText xml:space="preserve"> PAGEREF _Toc189579460 \h </w:instrText>
        </w:r>
        <w:r w:rsidR="001E6057">
          <w:rPr>
            <w:webHidden/>
          </w:rPr>
        </w:r>
        <w:r w:rsidR="001E6057">
          <w:rPr>
            <w:webHidden/>
          </w:rPr>
          <w:fldChar w:fldCharType="separate"/>
        </w:r>
        <w:r w:rsidR="001E6057">
          <w:rPr>
            <w:webHidden/>
          </w:rPr>
          <w:t>5</w:t>
        </w:r>
        <w:r w:rsidR="001E6057">
          <w:rPr>
            <w:webHidden/>
          </w:rPr>
          <w:fldChar w:fldCharType="end"/>
        </w:r>
      </w:hyperlink>
    </w:p>
    <w:p w14:paraId="7BA55928" w14:textId="1BC7B6DB" w:rsidR="001E6057" w:rsidRDefault="007463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9461" w:history="1">
        <w:r w:rsidR="001E6057" w:rsidRPr="00861F35">
          <w:rPr>
            <w:rStyle w:val="Hyperlink"/>
          </w:rPr>
          <w:t>3.</w:t>
        </w:r>
        <w:r w:rsidR="001E6057">
          <w:rPr>
            <w:rFonts w:asciiTheme="minorHAnsi" w:eastAsiaTheme="minorEastAsia" w:hAnsiTheme="minorHAnsi" w:cstheme="minorBidi"/>
            <w:kern w:val="2"/>
            <w:szCs w:val="24"/>
            <w:lang w:eastAsia="en-GB" w:bidi="ar-SA"/>
            <w14:ligatures w14:val="standardContextual"/>
          </w:rPr>
          <w:tab/>
        </w:r>
        <w:r w:rsidR="001E6057" w:rsidRPr="00861F35">
          <w:rPr>
            <w:rStyle w:val="Hyperlink"/>
          </w:rPr>
          <w:t>Relationship to licence and other relevant legislation</w:t>
        </w:r>
        <w:r w:rsidR="001E6057">
          <w:rPr>
            <w:webHidden/>
          </w:rPr>
          <w:tab/>
        </w:r>
        <w:r w:rsidR="001E6057">
          <w:rPr>
            <w:webHidden/>
          </w:rPr>
          <w:fldChar w:fldCharType="begin"/>
        </w:r>
        <w:r w:rsidR="001E6057">
          <w:rPr>
            <w:webHidden/>
          </w:rPr>
          <w:instrText xml:space="preserve"> PAGEREF _Toc189579461 \h </w:instrText>
        </w:r>
        <w:r w:rsidR="001E6057">
          <w:rPr>
            <w:webHidden/>
          </w:rPr>
        </w:r>
        <w:r w:rsidR="001E6057">
          <w:rPr>
            <w:webHidden/>
          </w:rPr>
          <w:fldChar w:fldCharType="separate"/>
        </w:r>
        <w:r w:rsidR="001E6057">
          <w:rPr>
            <w:webHidden/>
          </w:rPr>
          <w:t>6</w:t>
        </w:r>
        <w:r w:rsidR="001E6057">
          <w:rPr>
            <w:webHidden/>
          </w:rPr>
          <w:fldChar w:fldCharType="end"/>
        </w:r>
      </w:hyperlink>
    </w:p>
    <w:p w14:paraId="115A595B" w14:textId="4B9D351C" w:rsidR="001E6057" w:rsidRDefault="007463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9462" w:history="1">
        <w:r w:rsidR="001E6057" w:rsidRPr="00861F35">
          <w:rPr>
            <w:rStyle w:val="Hyperlink"/>
          </w:rPr>
          <w:t>4.</w:t>
        </w:r>
        <w:r w:rsidR="001E6057">
          <w:rPr>
            <w:rFonts w:asciiTheme="minorHAnsi" w:eastAsiaTheme="minorEastAsia" w:hAnsiTheme="minorHAnsi" w:cstheme="minorBidi"/>
            <w:kern w:val="2"/>
            <w:szCs w:val="24"/>
            <w:lang w:eastAsia="en-GB" w:bidi="ar-SA"/>
            <w14:ligatures w14:val="standardContextual"/>
          </w:rPr>
          <w:tab/>
        </w:r>
        <w:r w:rsidR="001E6057" w:rsidRPr="00861F35">
          <w:rPr>
            <w:rStyle w:val="Hyperlink"/>
          </w:rPr>
          <w:t>Relationship to Safety Assessment Principles, WENRA Reference Levels, and IAEA Safety Standards and Guides</w:t>
        </w:r>
        <w:r w:rsidR="001E6057">
          <w:rPr>
            <w:webHidden/>
          </w:rPr>
          <w:tab/>
        </w:r>
        <w:r w:rsidR="001E6057">
          <w:rPr>
            <w:webHidden/>
          </w:rPr>
          <w:fldChar w:fldCharType="begin"/>
        </w:r>
        <w:r w:rsidR="001E6057">
          <w:rPr>
            <w:webHidden/>
          </w:rPr>
          <w:instrText xml:space="preserve"> PAGEREF _Toc189579462 \h </w:instrText>
        </w:r>
        <w:r w:rsidR="001E6057">
          <w:rPr>
            <w:webHidden/>
          </w:rPr>
        </w:r>
        <w:r w:rsidR="001E6057">
          <w:rPr>
            <w:webHidden/>
          </w:rPr>
          <w:fldChar w:fldCharType="separate"/>
        </w:r>
        <w:r w:rsidR="001E6057">
          <w:rPr>
            <w:webHidden/>
          </w:rPr>
          <w:t>9</w:t>
        </w:r>
        <w:r w:rsidR="001E6057">
          <w:rPr>
            <w:webHidden/>
          </w:rPr>
          <w:fldChar w:fldCharType="end"/>
        </w:r>
      </w:hyperlink>
    </w:p>
    <w:p w14:paraId="5222BB6B" w14:textId="7E1BEC0C" w:rsidR="001E6057" w:rsidRDefault="007463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9463" w:history="1">
        <w:r w:rsidR="001E6057" w:rsidRPr="00861F35">
          <w:rPr>
            <w:rStyle w:val="Hyperlink"/>
          </w:rPr>
          <w:t>5.</w:t>
        </w:r>
        <w:r w:rsidR="001E6057">
          <w:rPr>
            <w:rFonts w:asciiTheme="minorHAnsi" w:eastAsiaTheme="minorEastAsia" w:hAnsiTheme="minorHAnsi" w:cstheme="minorBidi"/>
            <w:kern w:val="2"/>
            <w:szCs w:val="24"/>
            <w:lang w:eastAsia="en-GB" w:bidi="ar-SA"/>
            <w14:ligatures w14:val="standardContextual"/>
          </w:rPr>
          <w:tab/>
        </w:r>
        <w:r w:rsidR="001E6057" w:rsidRPr="00861F35">
          <w:rPr>
            <w:rStyle w:val="Hyperlink"/>
          </w:rPr>
          <w:t>Advice to inspectors</w:t>
        </w:r>
        <w:r w:rsidR="001E6057">
          <w:rPr>
            <w:webHidden/>
          </w:rPr>
          <w:tab/>
        </w:r>
        <w:r w:rsidR="001E6057">
          <w:rPr>
            <w:webHidden/>
          </w:rPr>
          <w:fldChar w:fldCharType="begin"/>
        </w:r>
        <w:r w:rsidR="001E6057">
          <w:rPr>
            <w:webHidden/>
          </w:rPr>
          <w:instrText xml:space="preserve"> PAGEREF _Toc189579463 \h </w:instrText>
        </w:r>
        <w:r w:rsidR="001E6057">
          <w:rPr>
            <w:webHidden/>
          </w:rPr>
        </w:r>
        <w:r w:rsidR="001E6057">
          <w:rPr>
            <w:webHidden/>
          </w:rPr>
          <w:fldChar w:fldCharType="separate"/>
        </w:r>
        <w:r w:rsidR="001E6057">
          <w:rPr>
            <w:webHidden/>
          </w:rPr>
          <w:t>14</w:t>
        </w:r>
        <w:r w:rsidR="001E6057">
          <w:rPr>
            <w:webHidden/>
          </w:rPr>
          <w:fldChar w:fldCharType="end"/>
        </w:r>
      </w:hyperlink>
    </w:p>
    <w:p w14:paraId="197CDD07" w14:textId="676326B5" w:rsidR="001E6057" w:rsidRDefault="007463B2">
      <w:pPr>
        <w:pStyle w:val="TOC1"/>
        <w:rPr>
          <w:rFonts w:asciiTheme="minorHAnsi" w:eastAsiaTheme="minorEastAsia" w:hAnsiTheme="minorHAnsi" w:cstheme="minorBidi"/>
          <w:kern w:val="2"/>
          <w:szCs w:val="24"/>
          <w:lang w:eastAsia="en-GB" w:bidi="ar-SA"/>
          <w14:ligatures w14:val="standardContextual"/>
        </w:rPr>
      </w:pPr>
      <w:hyperlink w:anchor="_Toc189579464" w:history="1">
        <w:r w:rsidR="001E6057" w:rsidRPr="00861F35">
          <w:rPr>
            <w:rStyle w:val="Hyperlink"/>
          </w:rPr>
          <w:t>References</w:t>
        </w:r>
        <w:r w:rsidR="001E6057">
          <w:rPr>
            <w:webHidden/>
          </w:rPr>
          <w:tab/>
        </w:r>
        <w:r w:rsidR="001E6057">
          <w:rPr>
            <w:webHidden/>
          </w:rPr>
          <w:fldChar w:fldCharType="begin"/>
        </w:r>
        <w:r w:rsidR="001E6057">
          <w:rPr>
            <w:webHidden/>
          </w:rPr>
          <w:instrText xml:space="preserve"> PAGEREF _Toc189579464 \h </w:instrText>
        </w:r>
        <w:r w:rsidR="001E6057">
          <w:rPr>
            <w:webHidden/>
          </w:rPr>
        </w:r>
        <w:r w:rsidR="001E6057">
          <w:rPr>
            <w:webHidden/>
          </w:rPr>
          <w:fldChar w:fldCharType="separate"/>
        </w:r>
        <w:r w:rsidR="001E6057">
          <w:rPr>
            <w:webHidden/>
          </w:rPr>
          <w:t>25</w:t>
        </w:r>
        <w:r w:rsidR="001E6057">
          <w:rPr>
            <w:webHidden/>
          </w:rPr>
          <w:fldChar w:fldCharType="end"/>
        </w:r>
      </w:hyperlink>
    </w:p>
    <w:p w14:paraId="66381142" w14:textId="262122BA" w:rsidR="001E6057" w:rsidRDefault="007463B2">
      <w:pPr>
        <w:pStyle w:val="TOC1"/>
        <w:rPr>
          <w:rFonts w:asciiTheme="minorHAnsi" w:eastAsiaTheme="minorEastAsia" w:hAnsiTheme="minorHAnsi" w:cstheme="minorBidi"/>
          <w:kern w:val="2"/>
          <w:szCs w:val="24"/>
          <w:lang w:eastAsia="en-GB" w:bidi="ar-SA"/>
          <w14:ligatures w14:val="standardContextual"/>
        </w:rPr>
      </w:pPr>
      <w:hyperlink w:anchor="_Toc189579465" w:history="1">
        <w:r w:rsidR="001E6057" w:rsidRPr="00861F35">
          <w:rPr>
            <w:rStyle w:val="Hyperlink"/>
          </w:rPr>
          <w:t>Glossary and abbreviations</w:t>
        </w:r>
        <w:r w:rsidR="001E6057">
          <w:rPr>
            <w:webHidden/>
          </w:rPr>
          <w:tab/>
        </w:r>
        <w:r w:rsidR="001E6057">
          <w:rPr>
            <w:webHidden/>
          </w:rPr>
          <w:fldChar w:fldCharType="begin"/>
        </w:r>
        <w:r w:rsidR="001E6057">
          <w:rPr>
            <w:webHidden/>
          </w:rPr>
          <w:instrText xml:space="preserve"> PAGEREF _Toc189579465 \h </w:instrText>
        </w:r>
        <w:r w:rsidR="001E6057">
          <w:rPr>
            <w:webHidden/>
          </w:rPr>
        </w:r>
        <w:r w:rsidR="001E6057">
          <w:rPr>
            <w:webHidden/>
          </w:rPr>
          <w:fldChar w:fldCharType="separate"/>
        </w:r>
        <w:r w:rsidR="001E6057">
          <w:rPr>
            <w:webHidden/>
          </w:rPr>
          <w:t>28</w:t>
        </w:r>
        <w:r w:rsidR="001E6057">
          <w:rPr>
            <w:webHidden/>
          </w:rPr>
          <w:fldChar w:fldCharType="end"/>
        </w:r>
      </w:hyperlink>
    </w:p>
    <w:p w14:paraId="0FFB0844" w14:textId="5902E7C4" w:rsidR="001E6057" w:rsidRDefault="007463B2">
      <w:pPr>
        <w:pStyle w:val="TOC1"/>
        <w:rPr>
          <w:rFonts w:asciiTheme="minorHAnsi" w:eastAsiaTheme="minorEastAsia" w:hAnsiTheme="minorHAnsi" w:cstheme="minorBidi"/>
          <w:kern w:val="2"/>
          <w:szCs w:val="24"/>
          <w:lang w:eastAsia="en-GB" w:bidi="ar-SA"/>
          <w14:ligatures w14:val="standardContextual"/>
        </w:rPr>
      </w:pPr>
      <w:hyperlink w:anchor="_Toc189579466" w:history="1">
        <w:r w:rsidR="001E6057" w:rsidRPr="00861F35">
          <w:rPr>
            <w:rStyle w:val="Hyperlink"/>
          </w:rPr>
          <w:t>Appendix One – Supporting Information for Delicensing</w:t>
        </w:r>
        <w:r w:rsidR="001E6057">
          <w:rPr>
            <w:webHidden/>
          </w:rPr>
          <w:tab/>
        </w:r>
        <w:r w:rsidR="001E6057">
          <w:rPr>
            <w:webHidden/>
          </w:rPr>
          <w:fldChar w:fldCharType="begin"/>
        </w:r>
        <w:r w:rsidR="001E6057">
          <w:rPr>
            <w:webHidden/>
          </w:rPr>
          <w:instrText xml:space="preserve"> PAGEREF _Toc189579466 \h </w:instrText>
        </w:r>
        <w:r w:rsidR="001E6057">
          <w:rPr>
            <w:webHidden/>
          </w:rPr>
        </w:r>
        <w:r w:rsidR="001E6057">
          <w:rPr>
            <w:webHidden/>
          </w:rPr>
          <w:fldChar w:fldCharType="separate"/>
        </w:r>
        <w:r w:rsidR="001E6057">
          <w:rPr>
            <w:webHidden/>
          </w:rPr>
          <w:t>29</w:t>
        </w:r>
        <w:r w:rsidR="001E6057">
          <w:rPr>
            <w:webHidden/>
          </w:rPr>
          <w:fldChar w:fldCharType="end"/>
        </w:r>
      </w:hyperlink>
    </w:p>
    <w:p w14:paraId="0CC4B54A" w14:textId="2C78D2C6"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9E7409">
      <w:pPr>
        <w:pStyle w:val="Heading1"/>
        <w:numPr>
          <w:ilvl w:val="0"/>
          <w:numId w:val="7"/>
        </w:numPr>
        <w:ind w:left="851" w:hanging="851"/>
      </w:pPr>
      <w:bookmarkStart w:id="1" w:name="_Toc189579459"/>
      <w:bookmarkEnd w:id="0"/>
      <w:r w:rsidRPr="00E90780">
        <w:lastRenderedPageBreak/>
        <w:t>Introduction</w:t>
      </w:r>
      <w:bookmarkEnd w:id="1"/>
    </w:p>
    <w:p w14:paraId="56D71E00" w14:textId="3060B083" w:rsidR="000950B3" w:rsidRPr="00712FD1" w:rsidRDefault="000950B3" w:rsidP="009E7409">
      <w:pPr>
        <w:pStyle w:val="F9-Paragraph"/>
        <w:numPr>
          <w:ilvl w:val="0"/>
          <w:numId w:val="6"/>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581332">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6F95A26D" w14:textId="0703F5C1" w:rsidR="008C2C31" w:rsidRDefault="008C2C31" w:rsidP="009E7409">
      <w:pPr>
        <w:pStyle w:val="F9-Paragraph"/>
        <w:numPr>
          <w:ilvl w:val="0"/>
          <w:numId w:val="6"/>
        </w:numPr>
        <w:ind w:left="851" w:hanging="851"/>
      </w:pPr>
      <w:r>
        <w:t xml:space="preserve">The final stage of the lifecycle of a </w:t>
      </w:r>
      <w:r w:rsidR="0017258D">
        <w:t>n</w:t>
      </w:r>
      <w:r>
        <w:t xml:space="preserve">uclear </w:t>
      </w:r>
      <w:r w:rsidR="0017258D">
        <w:t>l</w:t>
      </w:r>
      <w:r>
        <w:t xml:space="preserve">icenced </w:t>
      </w:r>
      <w:r w:rsidR="0017258D">
        <w:t>s</w:t>
      </w:r>
      <w:r>
        <w:t xml:space="preserve">ite (NLS) is for it to be varied or revoked in all or part; this is referred to as delicensing. This is achievable via the licensee sufficiently demonstrating to ONR that the NLS (or part of) to be delicensed has met the criteria of </w:t>
      </w:r>
      <w:r>
        <w:rPr>
          <w:color w:val="1E1E1E"/>
          <w:shd w:val="clear" w:color="auto" w:fill="FFFFFF"/>
        </w:rPr>
        <w:t xml:space="preserve">no danger from ionising radiations from anything on that part of the site (here after referred to as ‘no danger’), as </w:t>
      </w:r>
      <w:r>
        <w:t xml:space="preserve">specified in the </w:t>
      </w:r>
      <w:r w:rsidRPr="0073160F">
        <w:t>Nuclear Installations Act 1965 (as amended) (NIA65)</w:t>
      </w:r>
      <w:sdt>
        <w:sdtPr>
          <w:id w:val="528840384"/>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This TAG provides guidance to inspectors on the assessment of a delicensing application against the ‘no danger’ criteria</w:t>
      </w:r>
      <w:r w:rsidR="004A395A">
        <w:t xml:space="preserve">. </w:t>
      </w:r>
    </w:p>
    <w:p w14:paraId="5A851A4B" w14:textId="1F830F07" w:rsidR="008C2C31" w:rsidRDefault="008C2C31" w:rsidP="0017258D">
      <w:pPr>
        <w:pStyle w:val="F9-Paragraph"/>
      </w:pPr>
      <w:r>
        <w:t>In 2005, ONR (known then as the Nuclear Installations Inspectorate and was part of the</w:t>
      </w:r>
      <w:r w:rsidR="004D0039">
        <w:t xml:space="preserve"> </w:t>
      </w:r>
      <w:r w:rsidR="004D0039" w:rsidRPr="00DA2418">
        <w:t>Health and Safety Executive</w:t>
      </w:r>
      <w:r>
        <w:t xml:space="preserve"> </w:t>
      </w:r>
      <w:r w:rsidR="004D0039">
        <w:t>(</w:t>
      </w:r>
      <w:r>
        <w:t>HSE</w:t>
      </w:r>
      <w:r w:rsidR="004D0039">
        <w:t>)</w:t>
      </w:r>
      <w:r>
        <w:t xml:space="preserve">) established and published an interpretation of ‘no danger’ called </w:t>
      </w:r>
      <w:r w:rsidR="0017258D">
        <w:t>‘</w:t>
      </w:r>
      <w:r>
        <w:t>Criterion for Delicensing Nuclear Sites</w:t>
      </w:r>
      <w:r w:rsidR="0017258D">
        <w:t>’</w:t>
      </w:r>
      <w:r>
        <w:t xml:space="preserve"> </w:t>
      </w:r>
      <w:sdt>
        <w:sdtPr>
          <w:id w:val="769970703"/>
          <w:citation/>
        </w:sdtPr>
        <w:sdtEndPr/>
        <w:sdtContent>
          <w:r>
            <w:fldChar w:fldCharType="begin"/>
          </w:r>
          <w:r w:rsidR="0017258D">
            <w:instrText xml:space="preserve">CITATION HSEC \l 2057 </w:instrText>
          </w:r>
          <w:r>
            <w:fldChar w:fldCharType="separate"/>
          </w:r>
          <w:r w:rsidR="00581332">
            <w:rPr>
              <w:noProof/>
            </w:rPr>
            <w:t>[3]</w:t>
          </w:r>
          <w:r>
            <w:fldChar w:fldCharType="end"/>
          </w:r>
        </w:sdtContent>
      </w:sdt>
      <w:r>
        <w:t xml:space="preserve">. In 2008, further guidance was written to assist inspectors on the interpretation and implementation of the criterion of no danger and delicensing NLSs </w:t>
      </w:r>
      <w:sdt>
        <w:sdtPr>
          <w:id w:val="-207870194"/>
          <w:citation/>
        </w:sdtPr>
        <w:sdtEndPr/>
        <w:sdtContent>
          <w:r>
            <w:fldChar w:fldCharType="begin"/>
          </w:r>
          <w:r w:rsidR="0017258D">
            <w:instrText xml:space="preserve">CITATION HSECD \l 2057 </w:instrText>
          </w:r>
          <w:r>
            <w:fldChar w:fldCharType="separate"/>
          </w:r>
          <w:r w:rsidR="00581332">
            <w:rPr>
              <w:noProof/>
            </w:rPr>
            <w:t>[4]</w:t>
          </w:r>
          <w:r>
            <w:fldChar w:fldCharType="end"/>
          </w:r>
        </w:sdtContent>
      </w:sdt>
      <w:r>
        <w:t xml:space="preserve">. </w:t>
      </w:r>
      <w:r w:rsidRPr="004E47C8">
        <w:t>In 2013, The Energy Act 2013</w:t>
      </w:r>
      <w:r>
        <w:t xml:space="preserve"> </w:t>
      </w:r>
      <w:sdt>
        <w:sdtPr>
          <w:id w:val="-2026707858"/>
          <w:citation/>
        </w:sdtPr>
        <w:sdtEndPr/>
        <w:sdtContent>
          <w:r>
            <w:fldChar w:fldCharType="begin"/>
          </w:r>
          <w:r w:rsidR="0017258D">
            <w:instrText xml:space="preserve">CITATION TEA13 \l 2057 </w:instrText>
          </w:r>
          <w:r>
            <w:fldChar w:fldCharType="separate"/>
          </w:r>
          <w:r w:rsidR="00581332">
            <w:rPr>
              <w:noProof/>
            </w:rPr>
            <w:t>[5]</w:t>
          </w:r>
          <w:r>
            <w:fldChar w:fldCharType="end"/>
          </w:r>
        </w:sdtContent>
      </w:sdt>
      <w:r>
        <w:t xml:space="preserve"> </w:t>
      </w:r>
      <w:r w:rsidRPr="004E47C8">
        <w:t xml:space="preserve">created ONR as the appropriate national authority in relation to </w:t>
      </w:r>
      <w:r>
        <w:t>NLS</w:t>
      </w:r>
      <w:r w:rsidRPr="004E47C8">
        <w:t xml:space="preserve"> (as defined in NIA65</w:t>
      </w:r>
      <w:r>
        <w:t xml:space="preserve"> </w:t>
      </w:r>
      <w:sdt>
        <w:sdtPr>
          <w:id w:val="-1409214534"/>
          <w:citation/>
        </w:sdtPr>
        <w:sdtEndPr/>
        <w:sdtContent>
          <w:r>
            <w:fldChar w:fldCharType="begin"/>
          </w:r>
          <w:r w:rsidR="0017258D">
            <w:instrText xml:space="preserve">CITATION NIA65 \l 2057 </w:instrText>
          </w:r>
          <w:r>
            <w:fldChar w:fldCharType="separate"/>
          </w:r>
          <w:r w:rsidR="00581332">
            <w:rPr>
              <w:noProof/>
            </w:rPr>
            <w:t>[2]</w:t>
          </w:r>
          <w:r>
            <w:fldChar w:fldCharType="end"/>
          </w:r>
        </w:sdtContent>
      </w:sdt>
      <w:r>
        <w:t>).</w:t>
      </w:r>
      <w:r w:rsidRPr="004E47C8">
        <w:t xml:space="preserve"> ONR adopted this </w:t>
      </w:r>
      <w:r>
        <w:t xml:space="preserve">interpretation of no danger </w:t>
      </w:r>
      <w:r w:rsidRPr="004E47C8">
        <w:t>without making any substantive changes.</w:t>
      </w:r>
      <w:r>
        <w:t xml:space="preserve"> In 2021 these documents had minor updates to reflect changes in legislation and became NS-PER-POL-001 </w:t>
      </w:r>
      <w:sdt>
        <w:sdtPr>
          <w:id w:val="2075458225"/>
          <w:citation/>
        </w:sdtPr>
        <w:sdtEndPr/>
        <w:sdtContent>
          <w:r>
            <w:fldChar w:fldCharType="begin"/>
          </w:r>
          <w:r w:rsidR="0017258D">
            <w:instrText xml:space="preserve">CITATION NSperpol001 \l 2057 </w:instrText>
          </w:r>
          <w:r>
            <w:fldChar w:fldCharType="separate"/>
          </w:r>
          <w:r w:rsidR="00581332">
            <w:rPr>
              <w:noProof/>
            </w:rPr>
            <w:t>[6]</w:t>
          </w:r>
          <w:r>
            <w:fldChar w:fldCharType="end"/>
          </w:r>
        </w:sdtContent>
      </w:sdt>
      <w:r>
        <w:t xml:space="preserve"> and NS-PER-GD-019 </w:t>
      </w:r>
      <w:sdt>
        <w:sdtPr>
          <w:id w:val="-943061232"/>
          <w:citation/>
        </w:sdtPr>
        <w:sdtEndPr/>
        <w:sdtContent>
          <w:r>
            <w:fldChar w:fldCharType="begin"/>
          </w:r>
          <w:r w:rsidR="0017258D">
            <w:instrText xml:space="preserve">CITATION NSGDper019 \l 2057 </w:instrText>
          </w:r>
          <w:r>
            <w:fldChar w:fldCharType="separate"/>
          </w:r>
          <w:r w:rsidR="00581332">
            <w:rPr>
              <w:noProof/>
            </w:rPr>
            <w:t>[7]</w:t>
          </w:r>
          <w:r>
            <w:fldChar w:fldCharType="end"/>
          </w:r>
        </w:sdtContent>
      </w:sdt>
      <w:r>
        <w:t xml:space="preserve">. In 2024 following further updates these documents were amalgamated into this TAG. </w:t>
      </w:r>
    </w:p>
    <w:p w14:paraId="05C598EF" w14:textId="77777777" w:rsidR="008C2C31" w:rsidRDefault="008C2C31" w:rsidP="008C2C31">
      <w:pPr>
        <w:pStyle w:val="F9-Paragraph"/>
        <w:numPr>
          <w:ilvl w:val="0"/>
          <w:numId w:val="0"/>
        </w:numPr>
        <w:ind w:left="851" w:hanging="851"/>
      </w:pPr>
    </w:p>
    <w:p w14:paraId="0216D75B" w14:textId="77777777" w:rsidR="008C2C31" w:rsidRDefault="008C2C31" w:rsidP="008C2C31">
      <w:pPr>
        <w:pStyle w:val="F9-Paragraph"/>
        <w:numPr>
          <w:ilvl w:val="0"/>
          <w:numId w:val="0"/>
        </w:numPr>
        <w:ind w:left="851" w:hanging="851"/>
      </w:pPr>
    </w:p>
    <w:p w14:paraId="42FB8AA8" w14:textId="77777777" w:rsidR="008C2C31" w:rsidRDefault="008C2C31" w:rsidP="008C2C31">
      <w:pPr>
        <w:pStyle w:val="F9-Paragraph"/>
        <w:numPr>
          <w:ilvl w:val="0"/>
          <w:numId w:val="0"/>
        </w:numPr>
        <w:ind w:left="851" w:hanging="851"/>
      </w:pPr>
    </w:p>
    <w:p w14:paraId="5D583ACC" w14:textId="77777777" w:rsidR="008C2C31" w:rsidRDefault="008C2C31" w:rsidP="008C2C31">
      <w:pPr>
        <w:pStyle w:val="F9-Paragraph"/>
        <w:numPr>
          <w:ilvl w:val="0"/>
          <w:numId w:val="0"/>
        </w:numPr>
        <w:ind w:left="851" w:hanging="851"/>
      </w:pPr>
    </w:p>
    <w:p w14:paraId="20FEAD49" w14:textId="77777777" w:rsidR="008C2C31" w:rsidRDefault="008C2C31" w:rsidP="008C2C31">
      <w:pPr>
        <w:pStyle w:val="F9-Paragraph"/>
        <w:numPr>
          <w:ilvl w:val="0"/>
          <w:numId w:val="0"/>
        </w:numPr>
        <w:ind w:left="851" w:hanging="851"/>
      </w:pPr>
    </w:p>
    <w:p w14:paraId="778FDE73" w14:textId="77777777" w:rsidR="008C2C31" w:rsidRDefault="008C2C31" w:rsidP="008C2C31">
      <w:pPr>
        <w:pStyle w:val="F9-Paragraph"/>
        <w:numPr>
          <w:ilvl w:val="0"/>
          <w:numId w:val="0"/>
        </w:numPr>
        <w:ind w:left="851" w:hanging="851"/>
      </w:pPr>
    </w:p>
    <w:p w14:paraId="087F698A" w14:textId="77777777" w:rsidR="008C2C31" w:rsidRDefault="008C2C31" w:rsidP="008C2C31">
      <w:pPr>
        <w:pStyle w:val="F9-Paragraph"/>
        <w:numPr>
          <w:ilvl w:val="0"/>
          <w:numId w:val="0"/>
        </w:numPr>
        <w:ind w:left="851" w:hanging="851"/>
      </w:pPr>
    </w:p>
    <w:p w14:paraId="29D6D700" w14:textId="77777777" w:rsidR="008C2C31" w:rsidRDefault="008C2C31" w:rsidP="008C2C31">
      <w:pPr>
        <w:pStyle w:val="F9-Paragraph"/>
        <w:numPr>
          <w:ilvl w:val="0"/>
          <w:numId w:val="0"/>
        </w:numPr>
        <w:ind w:left="851" w:hanging="851"/>
      </w:pPr>
    </w:p>
    <w:p w14:paraId="05AAE39A" w14:textId="4C861FCD" w:rsidR="008D49A5" w:rsidRDefault="000950B3" w:rsidP="00E90780">
      <w:pPr>
        <w:pStyle w:val="Heading1"/>
      </w:pPr>
      <w:bookmarkStart w:id="3" w:name="_Toc189579460"/>
      <w:r>
        <w:lastRenderedPageBreak/>
        <w:t xml:space="preserve">Purpose and </w:t>
      </w:r>
      <w:r w:rsidR="001C19DE">
        <w:t>s</w:t>
      </w:r>
      <w:r>
        <w:t>cope</w:t>
      </w:r>
      <w:bookmarkEnd w:id="3"/>
    </w:p>
    <w:p w14:paraId="4273EA6B" w14:textId="77777777" w:rsidR="008C2C31" w:rsidRDefault="008C2C31" w:rsidP="008C2C31">
      <w:pPr>
        <w:pStyle w:val="F9-Paragraph"/>
      </w:pPr>
      <w:r>
        <w:t>The aim of this document is to provide guidance to ONR inspectors, principally radiation protection specialist inspectors, when undertaking regulatory judgement, regarding the adequacy of a licensee’s delicensing application.</w:t>
      </w:r>
    </w:p>
    <w:p w14:paraId="73F4EF7F" w14:textId="75D74BDF" w:rsidR="008C2C31" w:rsidRPr="009D5242" w:rsidRDefault="008C2C31" w:rsidP="008C2C31">
      <w:pPr>
        <w:pStyle w:val="F9-Paragraph"/>
        <w:spacing w:before="120"/>
      </w:pPr>
      <w:bookmarkStart w:id="4" w:name="_Ref165442515"/>
      <w:r w:rsidRPr="009D5242">
        <w:t xml:space="preserve">It should be noted that under NIA65 </w:t>
      </w:r>
      <w:sdt>
        <w:sdtPr>
          <w:id w:val="-1105881585"/>
          <w:citation/>
        </w:sdtPr>
        <w:sdtEndPr/>
        <w:sdtContent>
          <w:r w:rsidRPr="009D5242">
            <w:fldChar w:fldCharType="begin"/>
          </w:r>
          <w:r w:rsidR="0017258D">
            <w:instrText xml:space="preserve">CITATION NIA65 \l 2057 </w:instrText>
          </w:r>
          <w:r w:rsidRPr="009D5242">
            <w:fldChar w:fldCharType="separate"/>
          </w:r>
          <w:r w:rsidR="00581332">
            <w:rPr>
              <w:noProof/>
            </w:rPr>
            <w:t>[2]</w:t>
          </w:r>
          <w:r w:rsidRPr="009D5242">
            <w:fldChar w:fldCharType="end"/>
          </w:r>
        </w:sdtContent>
      </w:sdt>
      <w:r w:rsidRPr="009D5242">
        <w:t xml:space="preserve"> a </w:t>
      </w:r>
      <w:r w:rsidRPr="00353262">
        <w:t>nuclear site license</w:t>
      </w:r>
      <w:r w:rsidRPr="009D5242">
        <w:t xml:space="preserve"> can either:</w:t>
      </w:r>
      <w:bookmarkEnd w:id="4"/>
    </w:p>
    <w:p w14:paraId="1694D92B" w14:textId="77777777" w:rsidR="008C2C31" w:rsidRPr="009D5242" w:rsidRDefault="008C2C31" w:rsidP="0017258D">
      <w:pPr>
        <w:pStyle w:val="Bulletlist1"/>
      </w:pPr>
      <w:r w:rsidRPr="00353262">
        <w:t>be surrendered</w:t>
      </w:r>
      <w:r w:rsidRPr="009D5242">
        <w:t>, or</w:t>
      </w:r>
    </w:p>
    <w:p w14:paraId="675C0E2D" w14:textId="77777777" w:rsidR="008C2C31" w:rsidRPr="009D5242" w:rsidRDefault="008C2C31" w:rsidP="0017258D">
      <w:pPr>
        <w:pStyle w:val="Bulletlist1"/>
      </w:pPr>
      <w:r w:rsidRPr="00353262">
        <w:t>be revoked</w:t>
      </w:r>
      <w:r w:rsidRPr="009D5242">
        <w:t>, or</w:t>
      </w:r>
    </w:p>
    <w:p w14:paraId="5198C018" w14:textId="65A83511" w:rsidR="008C2C31" w:rsidRPr="009D5242" w:rsidRDefault="008C2C31" w:rsidP="0017258D">
      <w:pPr>
        <w:pStyle w:val="Bulletlist1"/>
      </w:pPr>
      <w:r w:rsidRPr="00353262">
        <w:t xml:space="preserve">be varied </w:t>
      </w:r>
      <w:r w:rsidRPr="009D5242">
        <w:t>(</w:t>
      </w:r>
      <w:r w:rsidRPr="00353262">
        <w:t xml:space="preserve">this could be </w:t>
      </w:r>
      <w:r w:rsidRPr="009D5242">
        <w:t>part</w:t>
      </w:r>
      <w:r w:rsidRPr="00353262">
        <w:t xml:space="preserve"> or all of the site</w:t>
      </w:r>
      <w:r w:rsidRPr="009D5242">
        <w:t>)</w:t>
      </w:r>
      <w:r w:rsidR="004A395A" w:rsidRPr="009D5242">
        <w:t xml:space="preserve">. </w:t>
      </w:r>
    </w:p>
    <w:p w14:paraId="6C0E3A33" w14:textId="707FCC96" w:rsidR="008C2C31" w:rsidRDefault="008C2C31" w:rsidP="008C2C31">
      <w:pPr>
        <w:pStyle w:val="F9-Paragraph"/>
        <w:numPr>
          <w:ilvl w:val="0"/>
          <w:numId w:val="0"/>
        </w:numPr>
        <w:ind w:left="851"/>
      </w:pPr>
      <w:r w:rsidRPr="009D5242">
        <w:t>Further information on</w:t>
      </w:r>
      <w:r w:rsidRPr="00353262">
        <w:t xml:space="preserve"> the first two</w:t>
      </w:r>
      <w:r w:rsidRPr="009D5242">
        <w:t xml:space="preserve"> options are provided within NS-PER-PROC-004 </w:t>
      </w:r>
      <w:sdt>
        <w:sdtPr>
          <w:id w:val="1074239712"/>
          <w:citation/>
        </w:sdtPr>
        <w:sdtEndPr/>
        <w:sdtContent>
          <w:r w:rsidRPr="009D5242">
            <w:fldChar w:fldCharType="begin"/>
          </w:r>
          <w:r w:rsidR="0017258D">
            <w:instrText xml:space="preserve">CITATION Del24P \l 2057 </w:instrText>
          </w:r>
          <w:r w:rsidRPr="009D5242">
            <w:fldChar w:fldCharType="separate"/>
          </w:r>
          <w:r w:rsidR="00581332">
            <w:rPr>
              <w:noProof/>
            </w:rPr>
            <w:t>[8]</w:t>
          </w:r>
          <w:r w:rsidRPr="009D5242">
            <w:fldChar w:fldCharType="end"/>
          </w:r>
        </w:sdtContent>
      </w:sdt>
      <w:r w:rsidRPr="00353262">
        <w:t xml:space="preserve"> whilst the third option is covered within</w:t>
      </w:r>
      <w:r w:rsidRPr="009D5242">
        <w:t xml:space="preserve"> </w:t>
      </w:r>
      <w:r w:rsidRPr="00353262">
        <w:t>t</w:t>
      </w:r>
      <w:r w:rsidRPr="009D5242">
        <w:t>his TAG</w:t>
      </w:r>
      <w:r w:rsidRPr="00353262">
        <w:t>.</w:t>
      </w:r>
      <w:r w:rsidRPr="009D5242">
        <w:t xml:space="preserve"> </w:t>
      </w:r>
    </w:p>
    <w:p w14:paraId="78DB9C6D" w14:textId="77777777" w:rsidR="008C2C31" w:rsidRDefault="008C2C31" w:rsidP="008C2C31">
      <w:pPr>
        <w:pStyle w:val="F9-Paragraph"/>
      </w:pPr>
      <w:r>
        <w:t xml:space="preserve">This guidance is to cover all facilities and areas within the NLS boundary. Parts of site infrastructure which are located off the NLS (for example waste discharge pipes) are out of scope of this guidance. </w:t>
      </w:r>
    </w:p>
    <w:p w14:paraId="771DC173" w14:textId="53093691" w:rsidR="005D0EA8" w:rsidRDefault="008C2C31" w:rsidP="00111740">
      <w:pPr>
        <w:pStyle w:val="F9-Paragraph"/>
      </w:pPr>
      <w:r>
        <w:t xml:space="preserve">Authorised defence sites (such as His Majesty’s Naval Base Clyde) are out of scope of this guidance. </w:t>
      </w:r>
      <w:r w:rsidR="00111740" w:rsidRPr="00111740">
        <w:t>For Authorised</w:t>
      </w:r>
      <w:r w:rsidR="005D0EA8">
        <w:t xml:space="preserve"> defence</w:t>
      </w:r>
      <w:r w:rsidR="00111740" w:rsidRPr="00111740">
        <w:t xml:space="preserve"> sites, guidance is to be sought from the Defence Nuclear Safety Regulator (DNSR</w:t>
      </w:r>
      <w:r w:rsidR="005D0EA8">
        <w:t>)</w:t>
      </w:r>
      <w:r w:rsidR="002175FE">
        <w:t>.</w:t>
      </w:r>
    </w:p>
    <w:p w14:paraId="3A38E527" w14:textId="3A942EB8" w:rsidR="008C2C31" w:rsidRDefault="008C2C31" w:rsidP="00111740">
      <w:pPr>
        <w:pStyle w:val="F9-Paragraph"/>
      </w:pPr>
      <w:r w:rsidRPr="00AF4487">
        <w:t>As with all guidance, inspectors should use their jud</w:t>
      </w:r>
      <w:r>
        <w:t>g</w:t>
      </w:r>
      <w:r w:rsidRPr="00AF4487">
        <w:t xml:space="preserve">ement and discretion in the depth and scope to which they apply the guidance provided in this TAG. Guidance on the delicensing process is provided in NS-PER-PROC-004 </w:t>
      </w:r>
      <w:sdt>
        <w:sdtPr>
          <w:id w:val="1097983713"/>
          <w:citation/>
        </w:sdtPr>
        <w:sdtEndPr/>
        <w:sdtContent>
          <w:r w:rsidRPr="00AF4487">
            <w:fldChar w:fldCharType="begin"/>
          </w:r>
          <w:r w:rsidR="0017258D">
            <w:instrText xml:space="preserve">CITATION Del24P \l 2057 </w:instrText>
          </w:r>
          <w:r w:rsidRPr="00AF4487">
            <w:fldChar w:fldCharType="separate"/>
          </w:r>
          <w:r w:rsidR="00581332">
            <w:rPr>
              <w:noProof/>
            </w:rPr>
            <w:t>[8]</w:t>
          </w:r>
          <w:r w:rsidRPr="00AF4487">
            <w:fldChar w:fldCharType="end"/>
          </w:r>
        </w:sdtContent>
      </w:sdt>
      <w:r>
        <w:t>.</w:t>
      </w:r>
    </w:p>
    <w:p w14:paraId="7F979090" w14:textId="77777777" w:rsidR="008C2C31" w:rsidRDefault="008C2C31" w:rsidP="008C2C31">
      <w:pPr>
        <w:pStyle w:val="F9-Paragraph"/>
        <w:numPr>
          <w:ilvl w:val="0"/>
          <w:numId w:val="0"/>
        </w:numPr>
        <w:ind w:left="851"/>
      </w:pPr>
    </w:p>
    <w:p w14:paraId="14C13A6C" w14:textId="77777777" w:rsidR="008C2C31" w:rsidRDefault="008C2C31" w:rsidP="008C2C31">
      <w:pPr>
        <w:pStyle w:val="F9-Paragraph"/>
        <w:numPr>
          <w:ilvl w:val="0"/>
          <w:numId w:val="0"/>
        </w:numPr>
        <w:ind w:left="851"/>
      </w:pPr>
    </w:p>
    <w:p w14:paraId="4DA3AF11" w14:textId="77777777" w:rsidR="008C2C31" w:rsidRDefault="008C2C31" w:rsidP="008C2C31">
      <w:pPr>
        <w:pStyle w:val="F9-Paragraph"/>
        <w:numPr>
          <w:ilvl w:val="0"/>
          <w:numId w:val="0"/>
        </w:numPr>
        <w:ind w:left="851"/>
      </w:pPr>
    </w:p>
    <w:p w14:paraId="1B72708A" w14:textId="77777777" w:rsidR="008C2C31" w:rsidRDefault="008C2C31" w:rsidP="008C2C31">
      <w:pPr>
        <w:pStyle w:val="F9-Paragraph"/>
        <w:numPr>
          <w:ilvl w:val="0"/>
          <w:numId w:val="0"/>
        </w:numPr>
        <w:ind w:left="851"/>
      </w:pPr>
    </w:p>
    <w:p w14:paraId="74E212D3" w14:textId="77777777" w:rsidR="008C2C31" w:rsidRDefault="008C2C31" w:rsidP="008C2C31">
      <w:pPr>
        <w:pStyle w:val="F9-Paragraph"/>
        <w:numPr>
          <w:ilvl w:val="0"/>
          <w:numId w:val="0"/>
        </w:numPr>
        <w:ind w:left="851"/>
      </w:pPr>
    </w:p>
    <w:p w14:paraId="7DA922BB" w14:textId="77777777" w:rsidR="008C2C31" w:rsidRDefault="008C2C31" w:rsidP="008C2C31">
      <w:pPr>
        <w:pStyle w:val="F9-Paragraph"/>
        <w:numPr>
          <w:ilvl w:val="0"/>
          <w:numId w:val="0"/>
        </w:numPr>
        <w:ind w:left="851"/>
      </w:pPr>
    </w:p>
    <w:p w14:paraId="56FEF7B3" w14:textId="77777777" w:rsidR="008C2C31" w:rsidRDefault="008C2C31" w:rsidP="008C2C31">
      <w:pPr>
        <w:pStyle w:val="F9-Paragraph"/>
        <w:numPr>
          <w:ilvl w:val="0"/>
          <w:numId w:val="0"/>
        </w:numPr>
        <w:ind w:left="851"/>
      </w:pPr>
    </w:p>
    <w:p w14:paraId="50E875E8" w14:textId="77777777" w:rsidR="008C2C31" w:rsidRPr="00AF4487" w:rsidRDefault="008C2C31" w:rsidP="008C2C31">
      <w:pPr>
        <w:pStyle w:val="F9-Paragraph"/>
        <w:numPr>
          <w:ilvl w:val="0"/>
          <w:numId w:val="0"/>
        </w:numPr>
        <w:ind w:left="851"/>
      </w:pPr>
    </w:p>
    <w:p w14:paraId="6E712D03" w14:textId="03A76960" w:rsidR="009E0E52" w:rsidRDefault="000950B3" w:rsidP="00E90780">
      <w:pPr>
        <w:pStyle w:val="Heading1"/>
      </w:pPr>
      <w:bookmarkStart w:id="5" w:name="_Toc189579461"/>
      <w:r>
        <w:lastRenderedPageBreak/>
        <w:t xml:space="preserve">Relationship to </w:t>
      </w:r>
      <w:r w:rsidR="001C19DE">
        <w:t>l</w:t>
      </w:r>
      <w:r>
        <w:t xml:space="preserve">icence and other </w:t>
      </w:r>
      <w:r w:rsidR="001C19DE">
        <w:t>r</w:t>
      </w:r>
      <w:r>
        <w:t xml:space="preserve">elevant </w:t>
      </w:r>
      <w:r w:rsidR="001C19DE">
        <w:t>l</w:t>
      </w:r>
      <w:r>
        <w:t>egislation</w:t>
      </w:r>
      <w:bookmarkEnd w:id="5"/>
      <w:r>
        <w:t xml:space="preserve"> </w:t>
      </w:r>
    </w:p>
    <w:p w14:paraId="4E60253B" w14:textId="77777777" w:rsidR="008C2C31" w:rsidRDefault="008C2C31" w:rsidP="008C2C31">
      <w:pPr>
        <w:pStyle w:val="Heading2"/>
      </w:pPr>
      <w:r>
        <w:t>Licence Conditions</w:t>
      </w:r>
    </w:p>
    <w:p w14:paraId="598130F5" w14:textId="562C7640" w:rsidR="008C2C31" w:rsidRDefault="008C2C31" w:rsidP="008C2C31">
      <w:pPr>
        <w:pStyle w:val="F9-Paragraph"/>
      </w:pPr>
      <w:r w:rsidRPr="00F2290B">
        <w:t xml:space="preserve">The </w:t>
      </w:r>
      <w:r>
        <w:t>NIA65</w:t>
      </w:r>
      <w:sdt>
        <w:sdtPr>
          <w:id w:val="170536796"/>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rsidRPr="00F2290B">
        <w:t xml:space="preserve"> </w:t>
      </w:r>
      <w:r>
        <w:t>requires</w:t>
      </w:r>
      <w:r w:rsidRPr="00F2290B">
        <w:t xml:space="preserve"> ONR to attach to the site licence such conditions as may appear to be necessary or desirable in the interests of safety. However,</w:t>
      </w:r>
      <w:r>
        <w:t xml:space="preserve"> there are no specific L</w:t>
      </w:r>
      <w:r w:rsidRPr="00F2290B">
        <w:t>icen</w:t>
      </w:r>
      <w:r>
        <w:t>c</w:t>
      </w:r>
      <w:r w:rsidRPr="00F2290B">
        <w:t xml:space="preserve">e </w:t>
      </w:r>
      <w:r>
        <w:t>C</w:t>
      </w:r>
      <w:r w:rsidRPr="00F2290B">
        <w:t>ondition</w:t>
      </w:r>
      <w:r>
        <w:t xml:space="preserve"> (LC) which relate to delicensing.</w:t>
      </w:r>
    </w:p>
    <w:p w14:paraId="4C400FC1" w14:textId="77777777" w:rsidR="008C2C31" w:rsidRDefault="008C2C31" w:rsidP="008C2C31">
      <w:pPr>
        <w:pStyle w:val="F9-Paragraph"/>
      </w:pPr>
      <w:r>
        <w:t>If the licensee is delicensing the whole NLS site</w:t>
      </w:r>
      <w:r w:rsidRPr="00F2290B">
        <w:t xml:space="preserve">, </w:t>
      </w:r>
      <w:r>
        <w:t>LCs</w:t>
      </w:r>
      <w:r w:rsidRPr="00F2290B">
        <w:t xml:space="preserve"> </w:t>
      </w:r>
      <w:r w:rsidRPr="004721AC">
        <w:t xml:space="preserve">will no longer be </w:t>
      </w:r>
      <w:r w:rsidRPr="00F2290B">
        <w:t>applicable.</w:t>
      </w:r>
      <w:r>
        <w:t xml:space="preserve"> If the licensee is to delicense only part of the NLS site, then </w:t>
      </w:r>
      <w:r w:rsidRPr="009E100E">
        <w:t xml:space="preserve">compliance arrangements for </w:t>
      </w:r>
      <w:r>
        <w:t xml:space="preserve">all LCs </w:t>
      </w:r>
      <w:r w:rsidRPr="008B1EE5">
        <w:t xml:space="preserve">are likely </w:t>
      </w:r>
      <w:r>
        <w:t>to be affected for the remaining NLS site.</w:t>
      </w:r>
    </w:p>
    <w:p w14:paraId="50A93667" w14:textId="6D1822C8" w:rsidR="008C2C31" w:rsidRPr="00910902" w:rsidRDefault="008C2C31" w:rsidP="008C2C31">
      <w:pPr>
        <w:pStyle w:val="Heading2"/>
      </w:pPr>
      <w:r w:rsidRPr="00910902">
        <w:t>The Energy Act 2023 (as amended)</w:t>
      </w:r>
    </w:p>
    <w:p w14:paraId="0698FEB7" w14:textId="2ABBDE3B" w:rsidR="008C2C31" w:rsidRDefault="008C2C31" w:rsidP="008C2C31">
      <w:pPr>
        <w:pStyle w:val="F9-Paragraph"/>
      </w:pPr>
      <w:r w:rsidRPr="00DA2418">
        <w:t xml:space="preserve">The no danger criteria </w:t>
      </w:r>
      <w:r w:rsidR="00824669" w:rsidRPr="00DA2418">
        <w:t>require</w:t>
      </w:r>
      <w:r w:rsidR="00824669">
        <w:t>s</w:t>
      </w:r>
      <w:r>
        <w:t xml:space="preserve"> </w:t>
      </w:r>
      <w:r w:rsidRPr="00DA2418">
        <w:t xml:space="preserve">sites to be fully cleaned up/remediated before they can be delicensed. </w:t>
      </w:r>
      <w:r>
        <w:t>Although yet to be given a commencement date, t</w:t>
      </w:r>
      <w:r w:rsidRPr="00DA2418">
        <w:t>he Energy Act 2023 (TEA23)</w:t>
      </w:r>
      <w:r>
        <w:t xml:space="preserve"> </w:t>
      </w:r>
      <w:sdt>
        <w:sdtPr>
          <w:id w:val="-885246736"/>
          <w:citation/>
        </w:sdtPr>
        <w:sdtEndPr/>
        <w:sdtContent>
          <w:r w:rsidR="006C4579">
            <w:fldChar w:fldCharType="begin"/>
          </w:r>
          <w:r w:rsidR="006C4579">
            <w:instrText xml:space="preserve"> CITATION TEA23 \l 2057 </w:instrText>
          </w:r>
          <w:r w:rsidR="006C4579">
            <w:fldChar w:fldCharType="separate"/>
          </w:r>
          <w:r w:rsidR="00581332">
            <w:rPr>
              <w:noProof/>
            </w:rPr>
            <w:t>[9]</w:t>
          </w:r>
          <w:r w:rsidR="006C4579">
            <w:fldChar w:fldCharType="end"/>
          </w:r>
        </w:sdtContent>
      </w:sdt>
      <w:r w:rsidR="006C4579">
        <w:t xml:space="preserve"> </w:t>
      </w:r>
      <w:r w:rsidRPr="00DA2418">
        <w:t>amended NIA65 to provide additional criteria that allows earlier delicensing when sites are in the final stages of decommissioning and the remaining hazards and risks are such that a nuclear site licence is no longer required and</w:t>
      </w:r>
      <w:r>
        <w:t>,</w:t>
      </w:r>
      <w:r w:rsidRPr="00DA2418">
        <w:t xml:space="preserve"> after delicensing</w:t>
      </w:r>
      <w:r>
        <w:t>,</w:t>
      </w:r>
      <w:r w:rsidRPr="00DA2418">
        <w:t xml:space="preserve"> the site can be adequately regulated by the HSE and the relevant environment agency. These new criteria (referred to in NIA65 as “Applicable Conditions”) are based on Organisation for Economic Co-operation (OECD) criteria for when nuclear third-party liability is no longer required. This TAG provides guidance to inspectors on the assessment of a delicensing application against the</w:t>
      </w:r>
      <w:r>
        <w:t xml:space="preserve"> current ‘no danger’</w:t>
      </w:r>
      <w:r w:rsidRPr="00DA2418">
        <w:t xml:space="preserve"> criteria</w:t>
      </w:r>
      <w:r>
        <w:t xml:space="preserve"> and will be revised in line with a future UK Government decision on a commencement date for the amendments</w:t>
      </w:r>
      <w:r w:rsidRPr="00DA2418">
        <w:t>.</w:t>
      </w:r>
    </w:p>
    <w:p w14:paraId="3670582C" w14:textId="42BE6E11" w:rsidR="008C2C31" w:rsidRDefault="008C2C31" w:rsidP="008C2C31">
      <w:pPr>
        <w:pStyle w:val="Heading2"/>
      </w:pPr>
      <w:r>
        <w:t>Nuclear Installations Act 1965 (as amended)</w:t>
      </w:r>
    </w:p>
    <w:p w14:paraId="0EF3517A" w14:textId="77777777" w:rsidR="008C2C31" w:rsidRPr="00353262" w:rsidRDefault="008C2C31" w:rsidP="008C2C31">
      <w:pPr>
        <w:pStyle w:val="F9-Paragraph"/>
      </w:pPr>
      <w:r w:rsidRPr="004900E8">
        <w:t>Within NIA65 sections 3</w:t>
      </w:r>
      <w:r w:rsidRPr="00353262">
        <w:t>(12) allows the appropriate national authority from time to time vary a nuclear site licence by excluding from it any part of the licensed site:</w:t>
      </w:r>
    </w:p>
    <w:p w14:paraId="27895F5B" w14:textId="77777777" w:rsidR="008C2C31" w:rsidRPr="00353262" w:rsidRDefault="008C2C31" w:rsidP="006C4579">
      <w:pPr>
        <w:pStyle w:val="Bulletlist1"/>
      </w:pPr>
      <w:r>
        <w:t>w</w:t>
      </w:r>
      <w:r w:rsidRPr="00353262">
        <w:t>hich the licensee no longer need for any use requiring such a license, and</w:t>
      </w:r>
    </w:p>
    <w:p w14:paraId="5C1BFC13" w14:textId="77777777" w:rsidR="008C2C31" w:rsidRPr="00353262" w:rsidRDefault="008C2C31" w:rsidP="006C4579">
      <w:pPr>
        <w:pStyle w:val="Bulletlist1"/>
        <w:rPr>
          <w:noProof/>
        </w:rPr>
      </w:pPr>
      <w:r>
        <w:t>w</w:t>
      </w:r>
      <w:r w:rsidRPr="00353262">
        <w:rPr>
          <w:noProof/>
        </w:rPr>
        <w:t>ith respect to which the appropriate national authroity is satisife</w:t>
      </w:r>
      <w:r>
        <w:t>d</w:t>
      </w:r>
      <w:r w:rsidRPr="00353262">
        <w:rPr>
          <w:noProof/>
        </w:rPr>
        <w:t xml:space="preserve"> that there is no danger from ionising radiation from anything on that part of the site.</w:t>
      </w:r>
    </w:p>
    <w:p w14:paraId="38A252D3" w14:textId="77777777" w:rsidR="008C2C31" w:rsidRPr="00353262" w:rsidRDefault="008C2C31" w:rsidP="008C2C31">
      <w:pPr>
        <w:pStyle w:val="F9-Paragraph"/>
      </w:pPr>
      <w:r w:rsidRPr="004900E8">
        <w:lastRenderedPageBreak/>
        <w:t>Within the NIA65 section 3</w:t>
      </w:r>
      <w:r w:rsidRPr="00353262">
        <w:t>(13)</w:t>
      </w:r>
      <w:r w:rsidRPr="004900E8">
        <w:t xml:space="preserve">, there is a requirement for ONR to consult with </w:t>
      </w:r>
      <w:r w:rsidRPr="004900E8">
        <w:rPr>
          <w:color w:val="1E1E1E"/>
          <w:shd w:val="clear" w:color="auto" w:fill="FFFFFF"/>
        </w:rPr>
        <w:t>the appropriate environment authority</w:t>
      </w:r>
      <w:r w:rsidRPr="004900E8">
        <w:rPr>
          <w:rStyle w:val="FootnoteReference"/>
          <w:color w:val="1E1E1E"/>
          <w:shd w:val="clear" w:color="auto" w:fill="FFFFFF"/>
        </w:rPr>
        <w:footnoteReference w:id="2"/>
      </w:r>
      <w:r w:rsidRPr="004900E8">
        <w:rPr>
          <w:color w:val="1E1E1E"/>
          <w:shd w:val="clear" w:color="auto" w:fill="FFFFFF"/>
        </w:rPr>
        <w:t xml:space="preserve"> when delicensing.</w:t>
      </w:r>
    </w:p>
    <w:p w14:paraId="46502E09" w14:textId="5E81C5C0" w:rsidR="008C2C31" w:rsidRPr="004900E8" w:rsidRDefault="008C2C31" w:rsidP="008C2C31">
      <w:pPr>
        <w:pStyle w:val="F9-Paragraph"/>
      </w:pPr>
      <w:r>
        <w:t xml:space="preserve">Under NIA65 section 5(15)(a) there is also a requirement for </w:t>
      </w:r>
      <w:r>
        <w:rPr>
          <w:color w:val="1E1E1E"/>
          <w:shd w:val="clear" w:color="auto" w:fill="FFFFFF"/>
        </w:rPr>
        <w:t>the appropriate national authority to give notice in writing to the licensee that in the authority's opinion there has ceased to be any danger from ionising radiations from anything on the site or, as the case may be, on the part of it in question. This is in relation to the revocation and surrender of licenses. Further information on this is provided within NS-PER-PROC-004</w:t>
      </w:r>
      <w:sdt>
        <w:sdtPr>
          <w:rPr>
            <w:color w:val="1E1E1E"/>
            <w:shd w:val="clear" w:color="auto" w:fill="FFFFFF"/>
          </w:rPr>
          <w:id w:val="-1628922751"/>
          <w:citation/>
        </w:sdtPr>
        <w:sdtEndPr/>
        <w:sdtContent>
          <w:r>
            <w:rPr>
              <w:color w:val="1E1E1E"/>
              <w:shd w:val="clear" w:color="auto" w:fill="FFFFFF"/>
            </w:rPr>
            <w:fldChar w:fldCharType="begin"/>
          </w:r>
          <w:r w:rsidR="0017258D">
            <w:rPr>
              <w:color w:val="1E1E1E"/>
              <w:shd w:val="clear" w:color="auto" w:fill="FFFFFF"/>
            </w:rPr>
            <w:instrText xml:space="preserve">CITATION Del24P \l 2057 </w:instrText>
          </w:r>
          <w:r>
            <w:rPr>
              <w:color w:val="1E1E1E"/>
              <w:shd w:val="clear" w:color="auto" w:fill="FFFFFF"/>
            </w:rPr>
            <w:fldChar w:fldCharType="separate"/>
          </w:r>
          <w:r w:rsidR="00581332">
            <w:rPr>
              <w:noProof/>
              <w:color w:val="1E1E1E"/>
              <w:shd w:val="clear" w:color="auto" w:fill="FFFFFF"/>
            </w:rPr>
            <w:t xml:space="preserve"> </w:t>
          </w:r>
          <w:r w:rsidR="00581332" w:rsidRPr="00581332">
            <w:rPr>
              <w:noProof/>
              <w:color w:val="1E1E1E"/>
              <w:shd w:val="clear" w:color="auto" w:fill="FFFFFF"/>
            </w:rPr>
            <w:t>[8]</w:t>
          </w:r>
          <w:r>
            <w:rPr>
              <w:color w:val="1E1E1E"/>
              <w:shd w:val="clear" w:color="auto" w:fill="FFFFFF"/>
            </w:rPr>
            <w:fldChar w:fldCharType="end"/>
          </w:r>
        </w:sdtContent>
      </w:sdt>
      <w:r w:rsidR="006835E0">
        <w:rPr>
          <w:color w:val="1E1E1E"/>
          <w:shd w:val="clear" w:color="auto" w:fill="FFFFFF"/>
        </w:rPr>
        <w:t>.</w:t>
      </w:r>
      <w:r w:rsidR="006835E0">
        <w:t xml:space="preserve"> </w:t>
      </w:r>
    </w:p>
    <w:p w14:paraId="0D02F0C1" w14:textId="71901254" w:rsidR="008C2C31" w:rsidRDefault="008C2C31" w:rsidP="008C2C31">
      <w:pPr>
        <w:pStyle w:val="Heading2"/>
      </w:pPr>
      <w:r>
        <w:t xml:space="preserve">The Nuclear Installations Regulations 1971 </w:t>
      </w:r>
    </w:p>
    <w:p w14:paraId="44DADBA7" w14:textId="721FA5C1" w:rsidR="008C2C31" w:rsidRDefault="008C2C31" w:rsidP="008C2C31">
      <w:pPr>
        <w:pStyle w:val="F9-Paragraph"/>
      </w:pPr>
      <w:r>
        <w:t xml:space="preserve">Section 3 of The Nuclear Installations Regulations 1971 (NIR71) </w:t>
      </w:r>
      <w:sdt>
        <w:sdtPr>
          <w:id w:val="-1581049804"/>
          <w:citation/>
        </w:sdtPr>
        <w:sdtEndPr/>
        <w:sdtContent>
          <w:r w:rsidR="006C4579">
            <w:fldChar w:fldCharType="begin"/>
          </w:r>
          <w:r w:rsidR="006C4579">
            <w:instrText xml:space="preserve"> CITATION NIR71 \l 2057 </w:instrText>
          </w:r>
          <w:r w:rsidR="006C4579">
            <w:fldChar w:fldCharType="separate"/>
          </w:r>
          <w:r w:rsidR="00581332">
            <w:rPr>
              <w:noProof/>
            </w:rPr>
            <w:t>[10]</w:t>
          </w:r>
          <w:r w:rsidR="006C4579">
            <w:fldChar w:fldCharType="end"/>
          </w:r>
        </w:sdtContent>
      </w:sdt>
      <w:r w:rsidR="006C4579">
        <w:t xml:space="preserve"> </w:t>
      </w:r>
      <w:r>
        <w:t xml:space="preserve">provides a list of prescribed installations which are required to have a nuclear site licence as stated within NIA65. </w:t>
      </w:r>
    </w:p>
    <w:p w14:paraId="1B2970B5" w14:textId="34931ECB" w:rsidR="008C2C31" w:rsidRDefault="008C2C31" w:rsidP="008C2C31">
      <w:pPr>
        <w:pStyle w:val="Heading2"/>
      </w:pPr>
      <w:r>
        <w:t xml:space="preserve">The Ionising Radiations Regulations 2017  </w:t>
      </w:r>
    </w:p>
    <w:p w14:paraId="1FD59DD5" w14:textId="026696C5" w:rsidR="008C2C31" w:rsidRDefault="008C2C31" w:rsidP="008C2C31">
      <w:pPr>
        <w:pStyle w:val="F9-Paragraph"/>
      </w:pPr>
      <w:r>
        <w:t>The Ionising Radiations Regulations 2017 (IRR17) and their associated Approved Code of Practice (</w:t>
      </w:r>
      <w:proofErr w:type="spellStart"/>
      <w:r>
        <w:t>ACoP</w:t>
      </w:r>
      <w:proofErr w:type="spellEnd"/>
      <w:r>
        <w:t xml:space="preserve">) </w:t>
      </w:r>
      <w:sdt>
        <w:sdtPr>
          <w:id w:val="752712916"/>
          <w:citation/>
        </w:sdtPr>
        <w:sdtEndPr/>
        <w:sdtContent>
          <w:r w:rsidR="006C4579">
            <w:fldChar w:fldCharType="begin"/>
          </w:r>
          <w:r w:rsidR="006C4579">
            <w:instrText xml:space="preserve"> CITATION L121_2 \l 2057 </w:instrText>
          </w:r>
          <w:r w:rsidR="006C4579">
            <w:fldChar w:fldCharType="separate"/>
          </w:r>
          <w:r w:rsidR="00581332">
            <w:rPr>
              <w:noProof/>
            </w:rPr>
            <w:t>[11]</w:t>
          </w:r>
          <w:r w:rsidR="006C4579">
            <w:fldChar w:fldCharType="end"/>
          </w:r>
        </w:sdtContent>
      </w:sdt>
      <w:r w:rsidR="006C4579">
        <w:t xml:space="preserve"> </w:t>
      </w:r>
      <w:r>
        <w:t>and guidance, provide the framework for the protection of people from ionising radiation arising from work with ionising radiation. The basic requirement is that exposure to ionising radiations will be kept below dose limits and restricted So Far As Is Reasonably Practicable (SFAIRP).</w:t>
      </w:r>
    </w:p>
    <w:p w14:paraId="6114B231" w14:textId="77777777" w:rsidR="008C2C31" w:rsidRDefault="008C2C31" w:rsidP="008C2C31">
      <w:pPr>
        <w:pStyle w:val="F9-Paragraph"/>
      </w:pPr>
      <w:r>
        <w:t xml:space="preserve">It should be noted that for any relevant part which is delicensed from the NLS, exemptions under IRR17 for registration, notification and consent will no longer be applicable. Examples are IRR17 Regulation 6(2)(c) where </w:t>
      </w:r>
      <w:r w:rsidRPr="00976A3D">
        <w:rPr>
          <w:rFonts w:eastAsia="Calibri"/>
        </w:rPr>
        <w:t xml:space="preserve">once a nuclear installation is removed from the nuclear site licence it is no longer legally a nuclear installation and this exemption </w:t>
      </w:r>
      <w:r w:rsidRPr="00FD74F7">
        <w:rPr>
          <w:rFonts w:eastAsia="Calibri"/>
        </w:rPr>
        <w:t xml:space="preserve">(for operation or decommissioning a nuclear installation) </w:t>
      </w:r>
      <w:r w:rsidRPr="00976A3D">
        <w:rPr>
          <w:rFonts w:eastAsia="Calibri"/>
        </w:rPr>
        <w:t>no longer applies. Any further decommissioning involving work with ionising radiations would require registration.</w:t>
      </w:r>
      <w:r>
        <w:t xml:space="preserve"> Another example is IRR17 Regulation 7(1)(h) will become applicable for any operation, decommissioning or closure of any facility for the long-term storage or disposal of radioactive waste. Further information on this is available on the ONR website. </w:t>
      </w:r>
    </w:p>
    <w:p w14:paraId="7204FC61" w14:textId="77777777" w:rsidR="008C2C31" w:rsidRDefault="008C2C31" w:rsidP="008C2C31">
      <w:pPr>
        <w:pStyle w:val="F9-Paragraph"/>
        <w:numPr>
          <w:ilvl w:val="0"/>
          <w:numId w:val="0"/>
        </w:numPr>
        <w:ind w:left="851" w:hanging="851"/>
      </w:pPr>
    </w:p>
    <w:p w14:paraId="44531BBC" w14:textId="77777777" w:rsidR="008C2C31" w:rsidRPr="00976A3D" w:rsidRDefault="008C2C31" w:rsidP="008C2C31">
      <w:pPr>
        <w:pStyle w:val="F9-Paragraph"/>
        <w:numPr>
          <w:ilvl w:val="0"/>
          <w:numId w:val="0"/>
        </w:numPr>
        <w:ind w:left="851" w:hanging="851"/>
      </w:pPr>
    </w:p>
    <w:p w14:paraId="435BD6EF" w14:textId="7EBFBF7C" w:rsidR="008C2C31" w:rsidRDefault="008C2C31" w:rsidP="008C2C31">
      <w:pPr>
        <w:pStyle w:val="Heading2"/>
      </w:pPr>
      <w:r>
        <w:lastRenderedPageBreak/>
        <w:t xml:space="preserve">The Environmental Permitting (England and Wales) Regulations 2016 (as amended) and The Environmental Authorisations (Scotland) Regulations 2018 </w:t>
      </w:r>
    </w:p>
    <w:p w14:paraId="35516E49" w14:textId="4AA03F1F" w:rsidR="008C2C31" w:rsidRDefault="008C2C31" w:rsidP="008C2C31">
      <w:pPr>
        <w:pStyle w:val="F9-Paragraph"/>
      </w:pPr>
      <w:r>
        <w:t>The Environmental Permitting (England and Wales) Regulations 2016 (as amended) (EPR16)</w:t>
      </w:r>
      <w:r w:rsidR="006C4579">
        <w:t xml:space="preserve"> </w:t>
      </w:r>
      <w:sdt>
        <w:sdtPr>
          <w:id w:val="1503936986"/>
          <w:citation/>
        </w:sdtPr>
        <w:sdtEndPr/>
        <w:sdtContent>
          <w:r w:rsidR="006C4579">
            <w:fldChar w:fldCharType="begin"/>
          </w:r>
          <w:r w:rsidR="006C4579">
            <w:instrText xml:space="preserve"> CITATION EPR16 \l 2057 </w:instrText>
          </w:r>
          <w:r w:rsidR="006C4579">
            <w:fldChar w:fldCharType="separate"/>
          </w:r>
          <w:r w:rsidR="00581332">
            <w:rPr>
              <w:noProof/>
            </w:rPr>
            <w:t>[12]</w:t>
          </w:r>
          <w:r w:rsidR="006C4579">
            <w:fldChar w:fldCharType="end"/>
          </w:r>
        </w:sdtContent>
      </w:sdt>
      <w:r>
        <w:t xml:space="preserve">/The Environmental Authorisations (Scotland) Regulations 2018 (EASR18) </w:t>
      </w:r>
      <w:sdt>
        <w:sdtPr>
          <w:id w:val="1209300401"/>
          <w:citation/>
        </w:sdtPr>
        <w:sdtEndPr/>
        <w:sdtContent>
          <w:r w:rsidR="006C4579">
            <w:fldChar w:fldCharType="begin"/>
          </w:r>
          <w:r w:rsidR="006C4579">
            <w:instrText xml:space="preserve"> CITATION EASR18 \l 2057 </w:instrText>
          </w:r>
          <w:r w:rsidR="006C4579">
            <w:fldChar w:fldCharType="separate"/>
          </w:r>
          <w:r w:rsidR="00581332">
            <w:rPr>
              <w:noProof/>
            </w:rPr>
            <w:t>[13]</w:t>
          </w:r>
          <w:r w:rsidR="006C4579">
            <w:fldChar w:fldCharType="end"/>
          </w:r>
        </w:sdtContent>
      </w:sdt>
      <w:r w:rsidR="006C4579">
        <w:t xml:space="preserve"> </w:t>
      </w:r>
      <w:r>
        <w:t xml:space="preserve">allow the relevant environment authority to grant environmental permits to the licensees for radioactive waste disposals on and from NLS in England and Wales, whilst in Scotland this includes management of radioactive waste as well as disposal on a NLS. </w:t>
      </w:r>
      <w:r w:rsidR="006C4579">
        <w:br/>
      </w:r>
      <w:r>
        <w:t xml:space="preserve">The requirements of these regulations will continue to apply after delicensing of a NLS. </w:t>
      </w:r>
    </w:p>
    <w:p w14:paraId="1000A9BC" w14:textId="2FF27314" w:rsidR="008C2C31" w:rsidRDefault="008C2C31" w:rsidP="008C2C31">
      <w:pPr>
        <w:pStyle w:val="Heading2"/>
      </w:pPr>
      <w:r>
        <w:t>Health and Safety at Work etc. Act 1974 (as amended)</w:t>
      </w:r>
    </w:p>
    <w:p w14:paraId="047C4227" w14:textId="7C679FD9" w:rsidR="008C2C31" w:rsidRDefault="008C2C31" w:rsidP="008C2C31">
      <w:pPr>
        <w:pStyle w:val="F9-Paragraph"/>
      </w:pPr>
      <w:r>
        <w:t xml:space="preserve">The Health and Safety at Work etc. Act 1974 (as amended) (HSWA74) </w:t>
      </w:r>
      <w:sdt>
        <w:sdtPr>
          <w:id w:val="744305916"/>
          <w:citation/>
        </w:sdtPr>
        <w:sdtEndPr/>
        <w:sdtContent>
          <w:r w:rsidR="006C4579">
            <w:fldChar w:fldCharType="begin"/>
          </w:r>
          <w:r w:rsidR="006C4579">
            <w:instrText xml:space="preserve"> CITATION HSW74 \l 2057 </w:instrText>
          </w:r>
          <w:r w:rsidR="006C4579">
            <w:fldChar w:fldCharType="separate"/>
          </w:r>
          <w:r w:rsidR="00581332">
            <w:rPr>
              <w:noProof/>
            </w:rPr>
            <w:t>[14]</w:t>
          </w:r>
          <w:r w:rsidR="006C4579">
            <w:fldChar w:fldCharType="end"/>
          </w:r>
        </w:sdtContent>
      </w:sdt>
      <w:r w:rsidR="006C4579">
        <w:t xml:space="preserve"> </w:t>
      </w:r>
      <w:r>
        <w:t>places a duty on the site licensee, in common with all other employers, to conduct their undertaking in such a way as to ensure, SFAIRP, that their employees and persons not in their employment who may be affected are not exposed to risks to their health or safety. The requirements of HSWA74 and relevant regulations under section 15 continue to apply after delicensing of a NLS.</w:t>
      </w:r>
    </w:p>
    <w:p w14:paraId="61743AA0" w14:textId="77777777" w:rsidR="000950B3" w:rsidRDefault="000950B3" w:rsidP="00E90780">
      <w:pPr>
        <w:pStyle w:val="Heading3"/>
        <w:sectPr w:rsidR="000950B3" w:rsidSect="000B2BCD">
          <w:headerReference w:type="default" r:id="rId18"/>
          <w:footerReference w:type="default" r:id="rId19"/>
          <w:pgSz w:w="11906" w:h="16838" w:code="9"/>
          <w:pgMar w:top="1440" w:right="1440" w:bottom="1440" w:left="1440" w:header="397" w:footer="397" w:gutter="0"/>
          <w:cols w:space="312"/>
          <w:docGrid w:linePitch="360"/>
        </w:sectPr>
      </w:pPr>
    </w:p>
    <w:p w14:paraId="219A98D5" w14:textId="41280D76" w:rsidR="00140E1C" w:rsidRDefault="000950B3" w:rsidP="00E90780">
      <w:pPr>
        <w:pStyle w:val="Heading1"/>
      </w:pPr>
      <w:bookmarkStart w:id="6" w:name="_Toc18957946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6"/>
    </w:p>
    <w:p w14:paraId="18503D5E" w14:textId="77777777" w:rsidR="00B44B82" w:rsidRDefault="00B44B82" w:rsidP="00B44B82">
      <w:pPr>
        <w:pStyle w:val="Heading2"/>
      </w:pPr>
      <w:r>
        <w:t>SAPs</w:t>
      </w:r>
    </w:p>
    <w:p w14:paraId="594EF758" w14:textId="225B720B" w:rsidR="00B44B82" w:rsidRPr="0013226B" w:rsidRDefault="00B44B82" w:rsidP="00B44B82">
      <w:pPr>
        <w:pStyle w:val="F9-Paragraph"/>
        <w:spacing w:before="120"/>
      </w:pPr>
      <w:r>
        <w:t>The SAPs [1] can be used to judge whether dutyholder’s safety case has satisfactorily demonstrated that the requirements of the law can be or have been met. There are a number of SAPs</w:t>
      </w:r>
      <w:r w:rsidR="001E2D99">
        <w:t xml:space="preserve"> </w:t>
      </w:r>
      <w:sdt>
        <w:sdtPr>
          <w:id w:val="-1885390941"/>
          <w:citation/>
        </w:sdtPr>
        <w:sdtEndPr/>
        <w:sdtContent>
          <w:r w:rsidR="007E4892">
            <w:fldChar w:fldCharType="begin"/>
          </w:r>
          <w:r w:rsidR="007E4892">
            <w:instrText xml:space="preserve"> CITATION ONR2013 \l 2057 </w:instrText>
          </w:r>
          <w:r w:rsidR="007E4892">
            <w:fldChar w:fldCharType="separate"/>
          </w:r>
          <w:r w:rsidR="00581332">
            <w:rPr>
              <w:noProof/>
            </w:rPr>
            <w:t>[1]</w:t>
          </w:r>
          <w:r w:rsidR="007E4892">
            <w:fldChar w:fldCharType="end"/>
          </w:r>
        </w:sdtContent>
      </w:sdt>
      <w:r>
        <w:t xml:space="preserve"> which should be considered when undertaking a delicensing assessment to guide regulatory decision making. The following principles are of relevance to this TAG:</w:t>
      </w:r>
    </w:p>
    <w:p w14:paraId="4573CDA6" w14:textId="77777777" w:rsidR="00B44B82" w:rsidRDefault="00B44B82" w:rsidP="006C4579">
      <w:pPr>
        <w:pStyle w:val="Bulletlist1"/>
      </w:pPr>
      <w:r>
        <w:t>FP.3 - Protection must be optimised to provide the highest level of safety that is reasonably practicable.</w:t>
      </w:r>
    </w:p>
    <w:p w14:paraId="06A53B9D" w14:textId="77777777" w:rsidR="00B44B82" w:rsidRDefault="00B44B82" w:rsidP="006C4579">
      <w:pPr>
        <w:pStyle w:val="Bulletlist1"/>
      </w:pPr>
      <w:r>
        <w:t>FP.4 – Dutyholders must demonstrate effective understanding and control of the hazards posed by a site or facility through a comprehensive and systematic process of safety assessment.</w:t>
      </w:r>
    </w:p>
    <w:p w14:paraId="0BECB581" w14:textId="77777777" w:rsidR="00B44B82" w:rsidRDefault="00B44B82" w:rsidP="006C4579">
      <w:pPr>
        <w:pStyle w:val="Bulletlist1"/>
      </w:pPr>
      <w:r>
        <w:t xml:space="preserve">FP.5 – Measures for controlling radiation risks must ensure that no individual bears an unacceptable risk of harm. </w:t>
      </w:r>
    </w:p>
    <w:p w14:paraId="12FBC393" w14:textId="77777777" w:rsidR="00B44B82" w:rsidRDefault="00B44B82" w:rsidP="006C4579">
      <w:pPr>
        <w:pStyle w:val="Bulletlist1"/>
      </w:pPr>
      <w:r>
        <w:t>FP.8 – People, present and future, must be adequately protected against radiation risks.</w:t>
      </w:r>
    </w:p>
    <w:p w14:paraId="5F8A8A3C" w14:textId="77777777" w:rsidR="00B44B82" w:rsidRDefault="00B44B82" w:rsidP="006C4579">
      <w:pPr>
        <w:pStyle w:val="Bulletlist1"/>
      </w:pPr>
      <w:r>
        <w:t>MS.3 – Decisions made at all levels in the organisation affecting safety should be informed, rational, objective, transparent and prudent.</w:t>
      </w:r>
    </w:p>
    <w:p w14:paraId="60E6039A" w14:textId="77777777" w:rsidR="00B44B82" w:rsidRDefault="00B44B82" w:rsidP="006C4579">
      <w:pPr>
        <w:pStyle w:val="Bulletlist1"/>
      </w:pPr>
      <w:r>
        <w:t>SC.3 – For each lifecycle stage, control of the hazard should be demonstrated by a valid safety case that takes into account the implications from previous stages and for future stages.</w:t>
      </w:r>
    </w:p>
    <w:p w14:paraId="732502AF" w14:textId="5DA767B7" w:rsidR="00B44B82" w:rsidRDefault="00B44B82" w:rsidP="006C4579">
      <w:pPr>
        <w:pStyle w:val="Bulletlist1"/>
      </w:pPr>
      <w:r>
        <w:t xml:space="preserve">RP.5 – Suitable and </w:t>
      </w:r>
      <w:r w:rsidR="002C5D50">
        <w:t>sufficient</w:t>
      </w:r>
      <w:r>
        <w:t xml:space="preserve"> arrangements for decontaminating people, the facility, its plant and equipment should be provided.</w:t>
      </w:r>
    </w:p>
    <w:p w14:paraId="6DE4E84F" w14:textId="77777777" w:rsidR="00B44B82" w:rsidRDefault="00B44B82" w:rsidP="006C4579">
      <w:pPr>
        <w:pStyle w:val="Bulletlist1"/>
      </w:pPr>
      <w:r>
        <w:t>RP.7 – The dutyholder should establish a hierarchy of control measures to optimise protection in accordance with IRR17.</w:t>
      </w:r>
    </w:p>
    <w:p w14:paraId="01B11EE8" w14:textId="77777777" w:rsidR="00B44B82" w:rsidRDefault="00B44B82" w:rsidP="006C4579">
      <w:pPr>
        <w:pStyle w:val="Bulletlist1"/>
      </w:pPr>
      <w:r>
        <w:t>NT.3 – When comparing the estimates submitted with the targets, inspectors should take account of the assumptions and limitations of the analysis used.</w:t>
      </w:r>
    </w:p>
    <w:p w14:paraId="02FB55AB" w14:textId="77777777" w:rsidR="00B44B82" w:rsidRDefault="00B44B82" w:rsidP="006C4579">
      <w:pPr>
        <w:pStyle w:val="Bulletlist1"/>
      </w:pPr>
      <w:r>
        <w:t>RL.1 – A strategy should be produced for the control and remediation of any radioactively contaminated land on the site.</w:t>
      </w:r>
    </w:p>
    <w:p w14:paraId="7F123B1D" w14:textId="77777777" w:rsidR="00B44B82" w:rsidRDefault="00B44B82" w:rsidP="006C4579">
      <w:pPr>
        <w:pStyle w:val="Bulletlist1"/>
      </w:pPr>
      <w:r>
        <w:lastRenderedPageBreak/>
        <w:t>RL.2 – Steps should be undertaken to identify any areas of radioactively contaminated land or adjacent to the site.</w:t>
      </w:r>
    </w:p>
    <w:p w14:paraId="7972CEFF" w14:textId="77777777" w:rsidR="00B44B82" w:rsidRDefault="00B44B82" w:rsidP="006C4579">
      <w:pPr>
        <w:pStyle w:val="Bulletlist1"/>
      </w:pPr>
      <w:r>
        <w:t>RL.3 – Arrangements should be in place to ensure that leaks and escapes giving rise to radioactive land contamination are promptly identified and controlled.</w:t>
      </w:r>
    </w:p>
    <w:p w14:paraId="447C14EE" w14:textId="77777777" w:rsidR="00B44B82" w:rsidRDefault="00B44B82" w:rsidP="006C4579">
      <w:pPr>
        <w:pStyle w:val="Bulletlist1"/>
      </w:pPr>
      <w:r>
        <w:t>RL.4 – Radioactively contaminated land should be characterised to facilitate its safe and effective control and remediation.</w:t>
      </w:r>
    </w:p>
    <w:p w14:paraId="673BD7E2" w14:textId="77777777" w:rsidR="00B44B82" w:rsidRDefault="00B44B82" w:rsidP="006C4579">
      <w:pPr>
        <w:pStyle w:val="Bulletlist1"/>
      </w:pPr>
      <w:r>
        <w:t xml:space="preserve">RL.5 – Radiological surveys, investigation, monitoring and surveillance of radioactively contaminated land should be carried out such that its characterisation is kept up to date. </w:t>
      </w:r>
    </w:p>
    <w:p w14:paraId="7DD5E8BE" w14:textId="77777777" w:rsidR="00B44B82" w:rsidRDefault="00B44B82" w:rsidP="006C4579">
      <w:pPr>
        <w:pStyle w:val="Bulletlist1"/>
      </w:pPr>
      <w:r>
        <w:t xml:space="preserve">RL.6 – A plan should be prepared and implemented for the safe control and remediation of radioactively contaminated land and should be subject to appropriate stakeholder engagement. </w:t>
      </w:r>
    </w:p>
    <w:p w14:paraId="124EB398" w14:textId="77777777" w:rsidR="00B44B82" w:rsidRDefault="00B44B82" w:rsidP="00B44B82">
      <w:pPr>
        <w:pStyle w:val="Heading2"/>
      </w:pPr>
      <w:r>
        <w:t>WENRA Reference Levels</w:t>
      </w:r>
    </w:p>
    <w:p w14:paraId="704C775A" w14:textId="77777777" w:rsidR="00B44B82" w:rsidRDefault="00B44B82" w:rsidP="00B44B82">
      <w:pPr>
        <w:pStyle w:val="F9-Paragraph"/>
      </w:pPr>
      <w:r w:rsidRPr="00EF5133">
        <w:t>The objective of the Western European Nuclear Regulators Association (WENRA) harmonisation programme is to develop a common approach to nuclear safety in Europe by comparing national approaches to the application of International Atomic Energy Agency (IAEA) safety standards.</w:t>
      </w:r>
    </w:p>
    <w:p w14:paraId="408BAD2F" w14:textId="6DF96200" w:rsidR="00B44B82" w:rsidRDefault="00B44B82" w:rsidP="00B44B82">
      <w:pPr>
        <w:pStyle w:val="F9-Paragraph"/>
        <w:spacing w:before="120"/>
      </w:pPr>
      <w:r>
        <w:t>In relation to delicensing, the WENRA decommissioning safety reference levels report</w:t>
      </w:r>
      <w:sdt>
        <w:sdtPr>
          <w:id w:val="711468340"/>
          <w:citation/>
        </w:sdtPr>
        <w:sdtEndPr/>
        <w:sdtContent>
          <w:r>
            <w:fldChar w:fldCharType="begin"/>
          </w:r>
          <w:r w:rsidR="006C4579">
            <w:instrText xml:space="preserve">CITATION WENRADEC \l 2057 </w:instrText>
          </w:r>
          <w:r>
            <w:fldChar w:fldCharType="separate"/>
          </w:r>
          <w:r w:rsidR="00581332">
            <w:rPr>
              <w:noProof/>
            </w:rPr>
            <w:t xml:space="preserve"> [15]</w:t>
          </w:r>
          <w:r>
            <w:fldChar w:fldCharType="end"/>
          </w:r>
        </w:sdtContent>
      </w:sdt>
      <w:r>
        <w:t xml:space="preserve"> under ‘License termination conditions’, has three reference levels, these are:</w:t>
      </w:r>
    </w:p>
    <w:p w14:paraId="497FB6B8" w14:textId="77777777" w:rsidR="00B44B82" w:rsidRDefault="00B44B82" w:rsidP="006C4579">
      <w:pPr>
        <w:pStyle w:val="Bulletlist1"/>
      </w:pPr>
      <w:r>
        <w:t>DE-60: Before a facility or site can be released from regulatory control, the licensee shall perform a final survey to demonstrate that the end</w:t>
      </w:r>
      <w:r w:rsidRPr="00775D36">
        <w:rPr>
          <w:rFonts w:ascii="Cambria Math" w:hAnsi="Cambria Math" w:cs="Cambria Math"/>
        </w:rPr>
        <w:t>‐</w:t>
      </w:r>
      <w:r>
        <w:t>state, as approved by the regulatory body, has been met.</w:t>
      </w:r>
    </w:p>
    <w:p w14:paraId="43919818" w14:textId="77777777" w:rsidR="00B44B82" w:rsidRDefault="00B44B82" w:rsidP="006C4579">
      <w:pPr>
        <w:pStyle w:val="Bulletlist1"/>
      </w:pPr>
      <w:r>
        <w:t>DE-61: At the completion of decommissioning, the licensee shall not be relieved of responsibility for the facility or site unless the regulatory body has agreed. </w:t>
      </w:r>
    </w:p>
    <w:p w14:paraId="4384B619" w14:textId="6C379859" w:rsidR="00B44B82" w:rsidRDefault="00B44B82" w:rsidP="006C4579">
      <w:pPr>
        <w:pStyle w:val="Bulletlist1"/>
      </w:pPr>
      <w:r>
        <w:t xml:space="preserve">DE-62: In the case of restricted use the licensee shall provide a </w:t>
      </w:r>
      <w:r w:rsidR="002C5D50">
        <w:t>long-term</w:t>
      </w:r>
      <w:r>
        <w:t xml:space="preserve"> impact assessment, an appropriate surveillance regime and any proposed land use restrictions. </w:t>
      </w:r>
    </w:p>
    <w:p w14:paraId="7BB417DC" w14:textId="77777777" w:rsidR="006C4579" w:rsidRDefault="006C4579" w:rsidP="00B44B82">
      <w:pPr>
        <w:pStyle w:val="Heading2"/>
        <w:sectPr w:rsidR="006C4579" w:rsidSect="000B2BCD">
          <w:pgSz w:w="11906" w:h="16838" w:code="9"/>
          <w:pgMar w:top="1440" w:right="1440" w:bottom="1440" w:left="1440" w:header="397" w:footer="397" w:gutter="0"/>
          <w:cols w:space="312"/>
          <w:docGrid w:linePitch="360"/>
        </w:sectPr>
      </w:pPr>
    </w:p>
    <w:p w14:paraId="554AADB4" w14:textId="77777777" w:rsidR="00B44B82" w:rsidRDefault="00B44B82" w:rsidP="00B44B82">
      <w:pPr>
        <w:pStyle w:val="Heading2"/>
      </w:pPr>
      <w:r>
        <w:lastRenderedPageBreak/>
        <w:t>IAEA Safety Standards and Guides</w:t>
      </w:r>
    </w:p>
    <w:p w14:paraId="2CF6BD51" w14:textId="686C9C41" w:rsidR="00B44B82" w:rsidRDefault="00B44B82" w:rsidP="00B44B82">
      <w:pPr>
        <w:pStyle w:val="Heading3"/>
      </w:pPr>
      <w:r>
        <w:t xml:space="preserve">General Safety Requirements Part 3 - Radiation Protection and Safety of Radiation Sources: International Basic Safety Standards </w:t>
      </w:r>
    </w:p>
    <w:p w14:paraId="10C9879F" w14:textId="683BEA84" w:rsidR="00B44B82" w:rsidRDefault="00B44B82" w:rsidP="00B44B82">
      <w:pPr>
        <w:pStyle w:val="F9-Paragraph"/>
      </w:pPr>
      <w:r>
        <w:t xml:space="preserve">This document establishes the </w:t>
      </w:r>
      <w:r w:rsidRPr="00840445">
        <w:t>requirements</w:t>
      </w:r>
      <w:r>
        <w:t xml:space="preserve"> for the protection of people and the environment from harmful effects of ionising radiation and for the safety of radiation sources. The following sections of General Safety Requirements Part 3 (GSR Part 3) </w:t>
      </w:r>
      <w:sdt>
        <w:sdtPr>
          <w:id w:val="-1600946310"/>
          <w:citation/>
        </w:sdtPr>
        <w:sdtEndPr/>
        <w:sdtContent>
          <w:r w:rsidR="006C4579">
            <w:fldChar w:fldCharType="begin"/>
          </w:r>
          <w:r w:rsidR="006C4579">
            <w:instrText xml:space="preserve"> CITATION GSRp3 \l 2057 </w:instrText>
          </w:r>
          <w:r w:rsidR="006C4579">
            <w:fldChar w:fldCharType="separate"/>
          </w:r>
          <w:r w:rsidR="00581332">
            <w:rPr>
              <w:noProof/>
            </w:rPr>
            <w:t>[16]</w:t>
          </w:r>
          <w:r w:rsidR="006C4579">
            <w:fldChar w:fldCharType="end"/>
          </w:r>
        </w:sdtContent>
      </w:sdt>
      <w:r w:rsidR="006C4579">
        <w:t xml:space="preserve"> </w:t>
      </w:r>
      <w:r>
        <w:t>are relevant to the application of no danger from ionising radiation</w:t>
      </w:r>
      <w:r w:rsidR="006C4579">
        <w:t>:</w:t>
      </w:r>
    </w:p>
    <w:p w14:paraId="1E64A546" w14:textId="77777777" w:rsidR="00B44B82" w:rsidRDefault="00B44B82" w:rsidP="006C4579">
      <w:pPr>
        <w:pStyle w:val="Bulletlist1"/>
      </w:pPr>
      <w:r>
        <w:t>Requirement 8: Exemption and Clearance states ‘The government or the regulatory body shall determine which practices or sources within practices are to be exempted from some or all of the requirements of these standards. The regulatory body shall approve which sources, including materials and objects within notified practices or authroized practices may be cleared from regulatory control’.</w:t>
      </w:r>
    </w:p>
    <w:p w14:paraId="16251EFC" w14:textId="77777777" w:rsidR="00B44B82" w:rsidRPr="003607D8" w:rsidRDefault="00B44B82" w:rsidP="006C4579">
      <w:pPr>
        <w:pStyle w:val="Bulletlist1"/>
      </w:pPr>
      <w:r>
        <w:t xml:space="preserve">Schedule I (Exemption and Clearance) provides definitions and the criteria for exemption and clearance. Table I.1 (Levels for exemption of moderate amounts of material without further consideration, exempt activity concentrations and exempt activities of radionuclides) provides information on moderate amount of material where either the total activity of an individual radionuclide present on the premises at any one time or the activity concentration as used in the practice does not exceed the applicable exemption level. Table I.2 (Levels for exemption of bulk amounts of solid material without further consideration and clearance of solid material without further consideration: activity concentrations of radionuclides of artificial origin) provides information on material in bulk amount for which the activity concentration of a given radionuclide of artificial origin used in the practice does not exceed the relevant value. </w:t>
      </w:r>
    </w:p>
    <w:p w14:paraId="29227800" w14:textId="017903CF" w:rsidR="00B44B82" w:rsidRDefault="00B44B82" w:rsidP="00B44B82">
      <w:pPr>
        <w:pStyle w:val="Heading3"/>
      </w:pPr>
      <w:r>
        <w:t>General Safety Guide No.17 - Application of the Concept of Exemption</w:t>
      </w:r>
    </w:p>
    <w:p w14:paraId="2A62524C" w14:textId="3C6690F6" w:rsidR="00B44B82" w:rsidRDefault="00B44B82" w:rsidP="00B44B82">
      <w:pPr>
        <w:pStyle w:val="F9-Paragraph"/>
      </w:pPr>
      <w:r>
        <w:t xml:space="preserve">General Safety Guide No.17 (GSG17) </w:t>
      </w:r>
      <w:sdt>
        <w:sdtPr>
          <w:id w:val="835196758"/>
          <w:citation/>
        </w:sdtPr>
        <w:sdtEndPr/>
        <w:sdtContent>
          <w:r w:rsidR="006C4579">
            <w:fldChar w:fldCharType="begin"/>
          </w:r>
          <w:r w:rsidR="006C4579">
            <w:instrText xml:space="preserve"> CITATION GSG17 \l 2057 </w:instrText>
          </w:r>
          <w:r w:rsidR="006C4579">
            <w:fldChar w:fldCharType="separate"/>
          </w:r>
          <w:r w:rsidR="00581332">
            <w:rPr>
              <w:noProof/>
            </w:rPr>
            <w:t>[17]</w:t>
          </w:r>
          <w:r w:rsidR="006C4579">
            <w:fldChar w:fldCharType="end"/>
          </w:r>
        </w:sdtContent>
      </w:sdt>
      <w:r w:rsidR="006C4579">
        <w:t xml:space="preserve"> </w:t>
      </w:r>
      <w:r>
        <w:t xml:space="preserve">provides </w:t>
      </w:r>
      <w:r w:rsidRPr="009F3882">
        <w:t>recommendations and guidance</w:t>
      </w:r>
      <w:r w:rsidRPr="002A1ED6">
        <w:t xml:space="preserve"> on the application of the </w:t>
      </w:r>
      <w:r>
        <w:t xml:space="preserve">GSR Part 3 </w:t>
      </w:r>
      <w:sdt>
        <w:sdtPr>
          <w:id w:val="1710913796"/>
          <w:citation/>
        </w:sdtPr>
        <w:sdtEndPr/>
        <w:sdtContent>
          <w:r>
            <w:fldChar w:fldCharType="begin"/>
          </w:r>
          <w:r w:rsidR="006C4579">
            <w:instrText xml:space="preserve">CITATION GSRp3 \l 2057 </w:instrText>
          </w:r>
          <w:r>
            <w:fldChar w:fldCharType="separate"/>
          </w:r>
          <w:r w:rsidR="00581332">
            <w:rPr>
              <w:noProof/>
            </w:rPr>
            <w:t>[16]</w:t>
          </w:r>
          <w:r>
            <w:fldChar w:fldCharType="end"/>
          </w:r>
        </w:sdtContent>
      </w:sdt>
      <w:r>
        <w:t xml:space="preserve"> </w:t>
      </w:r>
      <w:r w:rsidRPr="002A1ED6">
        <w:t>concept of exemption within the framework</w:t>
      </w:r>
      <w:r>
        <w:t xml:space="preserve"> </w:t>
      </w:r>
      <w:r w:rsidRPr="001E69AF">
        <w:t>of planned exposure situations.</w:t>
      </w:r>
      <w:r>
        <w:t xml:space="preserve"> In addition, the application of the exemption levels as stated within GSR Part 3 Schedule I.</w:t>
      </w:r>
    </w:p>
    <w:p w14:paraId="18FBED3A" w14:textId="77777777" w:rsidR="00B44B82" w:rsidRPr="005F7D77" w:rsidRDefault="00B44B82" w:rsidP="00B44B82">
      <w:pPr>
        <w:pStyle w:val="F9-Paragraph"/>
      </w:pPr>
      <w:r>
        <w:t xml:space="preserve">It should be noted that this does not directly apply to the release of sites from regulatory control, however the application of the values in Schedule I of GSR Part 3 are defined in greater detail within this document which are used for the purposes of delicensing through the no danger from ionising radiation criteria. </w:t>
      </w:r>
    </w:p>
    <w:p w14:paraId="13C885B7" w14:textId="7BFF0458" w:rsidR="00B44B82" w:rsidRDefault="00B44B82" w:rsidP="00B44B82">
      <w:pPr>
        <w:pStyle w:val="Heading3"/>
      </w:pPr>
      <w:r>
        <w:lastRenderedPageBreak/>
        <w:t>General Safety Guide No.18 - Application of the Concept of Clearance</w:t>
      </w:r>
    </w:p>
    <w:p w14:paraId="0EBE8770" w14:textId="5D443B34" w:rsidR="00B44B82" w:rsidRDefault="006C4579" w:rsidP="00B44B82">
      <w:pPr>
        <w:pStyle w:val="F9-Paragraph"/>
      </w:pPr>
      <w:r>
        <w:t>GSG18</w:t>
      </w:r>
      <w:r w:rsidR="00B44B82">
        <w:t xml:space="preserve"> </w:t>
      </w:r>
      <w:sdt>
        <w:sdtPr>
          <w:id w:val="483046030"/>
          <w:citation/>
        </w:sdtPr>
        <w:sdtEndPr/>
        <w:sdtContent>
          <w:r>
            <w:fldChar w:fldCharType="begin"/>
          </w:r>
          <w:r>
            <w:instrText xml:space="preserve"> CITATION GSG18 \l 2057 </w:instrText>
          </w:r>
          <w:r>
            <w:fldChar w:fldCharType="separate"/>
          </w:r>
          <w:r w:rsidR="00581332">
            <w:rPr>
              <w:noProof/>
            </w:rPr>
            <w:t>[18]</w:t>
          </w:r>
          <w:r>
            <w:fldChar w:fldCharType="end"/>
          </w:r>
        </w:sdtContent>
      </w:sdt>
      <w:r>
        <w:t xml:space="preserve"> </w:t>
      </w:r>
      <w:r w:rsidR="00B44B82">
        <w:t xml:space="preserve">provides </w:t>
      </w:r>
      <w:r w:rsidR="00B44B82" w:rsidRPr="004713B2">
        <w:t>recommendations and guidance</w:t>
      </w:r>
      <w:r w:rsidR="00B44B82" w:rsidRPr="008B5EE3">
        <w:t xml:space="preserve"> </w:t>
      </w:r>
      <w:r w:rsidR="00B44B82">
        <w:t xml:space="preserve">on the application of the GSR Part 3 </w:t>
      </w:r>
      <w:sdt>
        <w:sdtPr>
          <w:id w:val="655726488"/>
          <w:citation/>
        </w:sdtPr>
        <w:sdtEndPr/>
        <w:sdtContent>
          <w:r w:rsidR="00B44B82">
            <w:fldChar w:fldCharType="begin"/>
          </w:r>
          <w:r>
            <w:instrText xml:space="preserve">CITATION GSRp3 \l 2057 </w:instrText>
          </w:r>
          <w:r w:rsidR="00B44B82">
            <w:fldChar w:fldCharType="separate"/>
          </w:r>
          <w:r w:rsidR="00581332">
            <w:rPr>
              <w:noProof/>
            </w:rPr>
            <w:t>[16]</w:t>
          </w:r>
          <w:r w:rsidR="00B44B82">
            <w:fldChar w:fldCharType="end"/>
          </w:r>
        </w:sdtContent>
      </w:sdt>
      <w:r w:rsidR="00B44B82">
        <w:t xml:space="preserve"> concept of clearance for materials (including radioactive waste associated with planned activities), objects and buildings that are to be released from regulatory control. It also provides information on regulatory framework for clearance; the clearance process; the derivation of clearance levels; the application of clearance to solid materials, liquids and gases; and generic clearance and specific clearance using activity concentration and surface contamination clearance levels.</w:t>
      </w:r>
    </w:p>
    <w:p w14:paraId="3E5E91E1" w14:textId="26A68734" w:rsidR="00B44B82" w:rsidRPr="00E11ECB" w:rsidRDefault="00B44B82" w:rsidP="00B44B82">
      <w:pPr>
        <w:pStyle w:val="F9-Paragraph"/>
      </w:pPr>
      <w:r>
        <w:t xml:space="preserve">It should be noted that this does not directly apply to the release of the entire site from regulatory control (this is covered within section </w:t>
      </w:r>
      <w:r w:rsidR="006C4579">
        <w:fldChar w:fldCharType="begin"/>
      </w:r>
      <w:r w:rsidR="006C4579">
        <w:instrText xml:space="preserve"> REF _Ref189642800 \r \h </w:instrText>
      </w:r>
      <w:r w:rsidR="006C4579">
        <w:fldChar w:fldCharType="separate"/>
      </w:r>
      <w:r w:rsidR="006C4579">
        <w:rPr>
          <w:cs/>
        </w:rPr>
        <w:t>‎</w:t>
      </w:r>
      <w:r w:rsidR="006C4579">
        <w:t>4.3.6</w:t>
      </w:r>
      <w:r w:rsidR="006C4579">
        <w:fldChar w:fldCharType="end"/>
      </w:r>
      <w:r>
        <w:t>), however the methodology and approach used for clearance of buildings as well as surface contamination can be used.</w:t>
      </w:r>
    </w:p>
    <w:p w14:paraId="4D0F3570" w14:textId="0ABBA0E7" w:rsidR="00B44B82" w:rsidRDefault="00B44B82" w:rsidP="00B44B82">
      <w:pPr>
        <w:pStyle w:val="Heading3"/>
      </w:pPr>
      <w:r>
        <w:t>Specific Safety Guide No.47 - Decommissioning of Nuclear Power Plants, Research Reactors and Other Nuclear Fuel Cycle Facilities</w:t>
      </w:r>
    </w:p>
    <w:p w14:paraId="5B81D537" w14:textId="41945800" w:rsidR="00B44B82" w:rsidRDefault="006C4579" w:rsidP="00B44B82">
      <w:pPr>
        <w:pStyle w:val="F9-Paragraph"/>
      </w:pPr>
      <w:r>
        <w:t xml:space="preserve">Specific Safety Guide No.47 (SSG47) </w:t>
      </w:r>
      <w:sdt>
        <w:sdtPr>
          <w:id w:val="270286669"/>
          <w:citation/>
        </w:sdtPr>
        <w:sdtEndPr/>
        <w:sdtContent>
          <w:r>
            <w:fldChar w:fldCharType="begin"/>
          </w:r>
          <w:r>
            <w:instrText xml:space="preserve"> CITATION SSG47 \l 2057 </w:instrText>
          </w:r>
          <w:r>
            <w:fldChar w:fldCharType="separate"/>
          </w:r>
          <w:r w:rsidR="00581332">
            <w:rPr>
              <w:noProof/>
            </w:rPr>
            <w:t>[19]</w:t>
          </w:r>
          <w:r>
            <w:fldChar w:fldCharType="end"/>
          </w:r>
        </w:sdtContent>
      </w:sdt>
      <w:r>
        <w:t xml:space="preserve"> </w:t>
      </w:r>
      <w:r w:rsidR="00B44B82" w:rsidRPr="00A24E83">
        <w:t>provide</w:t>
      </w:r>
      <w:r w:rsidR="00B44B82">
        <w:t>s</w:t>
      </w:r>
      <w:r w:rsidR="00B44B82" w:rsidRPr="00A24E83">
        <w:t xml:space="preserve"> guidance for regulatory bodies, licensees, technical support organi</w:t>
      </w:r>
      <w:r w:rsidR="00B44B82">
        <w:t>s</w:t>
      </w:r>
      <w:r w:rsidR="00B44B82" w:rsidRPr="00A24E83">
        <w:t>ations and other interested parties</w:t>
      </w:r>
      <w:r w:rsidR="00B44B82">
        <w:t xml:space="preserve"> on</w:t>
      </w:r>
      <w:r w:rsidR="00B44B82" w:rsidRPr="00A24E83">
        <w:t xml:space="preserve"> planning for decommissioning, conducting decommissioning actions, demonstrating completion of decommissioning and terminating the authori</w:t>
      </w:r>
      <w:r w:rsidR="00B44B82">
        <w:t>s</w:t>
      </w:r>
      <w:r w:rsidR="00B44B82" w:rsidRPr="00A24E83">
        <w:t>ation for decommissioning of facilities.</w:t>
      </w:r>
    </w:p>
    <w:p w14:paraId="1EDD7C6B" w14:textId="77777777" w:rsidR="00B44B82" w:rsidRDefault="00B44B82" w:rsidP="00B44B82">
      <w:pPr>
        <w:pStyle w:val="F9-Paragraph"/>
      </w:pPr>
      <w:r>
        <w:t xml:space="preserve">Section nine provides guidance of how the licensee should complete decommissioning activities on a site, how a regulatory body should verify the end state as well as termination for the authorisation for decommissioning. </w:t>
      </w:r>
    </w:p>
    <w:p w14:paraId="31FADBC1" w14:textId="427FD693" w:rsidR="00B44B82" w:rsidRDefault="00B44B82" w:rsidP="00B44B82">
      <w:pPr>
        <w:pStyle w:val="Heading3"/>
      </w:pPr>
      <w:r>
        <w:t>Specific Safety Guide No.49 - Decommissioning of Medical, Industrial and Research Facilities</w:t>
      </w:r>
    </w:p>
    <w:p w14:paraId="7FCD4E81" w14:textId="182C2452" w:rsidR="00B44B82" w:rsidRDefault="002A2B28" w:rsidP="00B44B82">
      <w:pPr>
        <w:pStyle w:val="F9-Paragraph"/>
      </w:pPr>
      <w:r>
        <w:t>SSG49</w:t>
      </w:r>
      <w:r w:rsidR="00B44B82">
        <w:t xml:space="preserve"> </w:t>
      </w:r>
      <w:sdt>
        <w:sdtPr>
          <w:id w:val="-1248187632"/>
          <w:citation/>
        </w:sdtPr>
        <w:sdtEndPr/>
        <w:sdtContent>
          <w:r>
            <w:fldChar w:fldCharType="begin"/>
          </w:r>
          <w:r>
            <w:instrText xml:space="preserve"> CITATION SSG49 \l 2057 </w:instrText>
          </w:r>
          <w:r>
            <w:fldChar w:fldCharType="separate"/>
          </w:r>
          <w:r w:rsidR="00581332">
            <w:rPr>
              <w:noProof/>
            </w:rPr>
            <w:t>[20]</w:t>
          </w:r>
          <w:r>
            <w:fldChar w:fldCharType="end"/>
          </w:r>
        </w:sdtContent>
      </w:sdt>
      <w:r>
        <w:t xml:space="preserve"> </w:t>
      </w:r>
      <w:r w:rsidR="00B44B82" w:rsidRPr="00F127C9">
        <w:t>provide</w:t>
      </w:r>
      <w:r w:rsidR="00B44B82">
        <w:t>s</w:t>
      </w:r>
      <w:r w:rsidR="00B44B82" w:rsidRPr="00F127C9">
        <w:t xml:space="preserve"> guidance for regulatory bodies, licensees, owners, technical support organi</w:t>
      </w:r>
      <w:r w:rsidR="00B44B82">
        <w:t>s</w:t>
      </w:r>
      <w:r w:rsidR="00B44B82" w:rsidRPr="00F127C9">
        <w:t>ations and other interested parties</w:t>
      </w:r>
      <w:r w:rsidR="00B44B82">
        <w:t xml:space="preserve"> on</w:t>
      </w:r>
      <w:r w:rsidR="00B44B82" w:rsidRPr="00F127C9">
        <w:t xml:space="preserve"> meeting the requirements on planning for decommissioning, conducting decommissioning actions including characterization surveys, demonstrating completion of decommissioning and terminating the authori</w:t>
      </w:r>
      <w:r w:rsidR="00B44B82">
        <w:t>s</w:t>
      </w:r>
      <w:r w:rsidR="00B44B82" w:rsidRPr="00F127C9">
        <w:t>ation for decommissioning of medical, industrial and research facilities.</w:t>
      </w:r>
    </w:p>
    <w:p w14:paraId="0249B170" w14:textId="77777777" w:rsidR="00B44B82" w:rsidRPr="00E84CB6" w:rsidRDefault="00B44B82" w:rsidP="00B44B82">
      <w:pPr>
        <w:pStyle w:val="F9-Paragraph"/>
      </w:pPr>
      <w:r>
        <w:t xml:space="preserve">Section nine provides guidance of how the licensee should complete decommissioning activities on a site, how a regulatory body should verify the end state as well as termination for the authorisation for decommissioning. </w:t>
      </w:r>
    </w:p>
    <w:p w14:paraId="6028D1DA" w14:textId="16D42901" w:rsidR="00B44B82" w:rsidRDefault="00B44B82" w:rsidP="00B44B82">
      <w:pPr>
        <w:pStyle w:val="Heading3"/>
      </w:pPr>
      <w:bookmarkStart w:id="7" w:name="_Ref189642800"/>
      <w:r>
        <w:lastRenderedPageBreak/>
        <w:t>Safety Guide No.WS-G-5.1 – Release of Sites from Regulatory Control on Termination of Practice</w:t>
      </w:r>
      <w:bookmarkEnd w:id="7"/>
    </w:p>
    <w:p w14:paraId="190792EF" w14:textId="70FD21C1" w:rsidR="00B44B82" w:rsidRDefault="00B44B82" w:rsidP="00B44B82">
      <w:pPr>
        <w:pStyle w:val="F9-Paragraph"/>
      </w:pPr>
      <w:r>
        <w:t xml:space="preserve">WS-G-5.1 </w:t>
      </w:r>
      <w:sdt>
        <w:sdtPr>
          <w:id w:val="-932040003"/>
          <w:citation/>
        </w:sdtPr>
        <w:sdtEndPr/>
        <w:sdtContent>
          <w:r w:rsidR="002A2B28">
            <w:fldChar w:fldCharType="begin"/>
          </w:r>
          <w:r w:rsidR="002A2B28">
            <w:instrText xml:space="preserve"> CITATION WSG51A \l 2057 </w:instrText>
          </w:r>
          <w:r w:rsidR="002A2B28">
            <w:fldChar w:fldCharType="separate"/>
          </w:r>
          <w:r w:rsidR="00581332">
            <w:rPr>
              <w:noProof/>
            </w:rPr>
            <w:t>[21]</w:t>
          </w:r>
          <w:r w:rsidR="002A2B28">
            <w:fldChar w:fldCharType="end"/>
          </w:r>
        </w:sdtContent>
      </w:sdt>
      <w:r w:rsidR="002A2B28">
        <w:t xml:space="preserve"> </w:t>
      </w:r>
      <w:r>
        <w:t>provides guidance to the regulatory body as well as licensees on the release of sites or parts of sites from regulatory control after a practice has been terminated. Such release from regulatory control may require the clean-up of contaminated sites, which this guidance also provides information on. This only relates to radiological protection aspects.</w:t>
      </w:r>
    </w:p>
    <w:p w14:paraId="529C932B" w14:textId="6B3CCB21" w:rsidR="00B44B82" w:rsidRDefault="00B44B82" w:rsidP="00B44B82">
      <w:pPr>
        <w:pStyle w:val="F9-Paragraph"/>
      </w:pPr>
      <w:r>
        <w:t xml:space="preserve">Section two of this document states the dose criteria for restricted and un-restricted use of sites from regulatory control. </w:t>
      </w:r>
      <w:r w:rsidR="002A2B28">
        <w:fldChar w:fldCharType="begin"/>
      </w:r>
      <w:r w:rsidR="002A2B28">
        <w:instrText xml:space="preserve"> REF _Ref189642995 \h </w:instrText>
      </w:r>
      <w:r w:rsidR="002A2B28">
        <w:fldChar w:fldCharType="separate"/>
      </w:r>
      <w:r w:rsidR="002A2B28">
        <w:t xml:space="preserve">Figure </w:t>
      </w:r>
      <w:r w:rsidR="002A2B28">
        <w:rPr>
          <w:noProof/>
        </w:rPr>
        <w:t>1</w:t>
      </w:r>
      <w:r w:rsidR="002A2B28">
        <w:fldChar w:fldCharType="end"/>
      </w:r>
      <w:r w:rsidR="002A2B28">
        <w:t xml:space="preserve"> </w:t>
      </w:r>
      <w:r>
        <w:t>provides an overview of this.</w:t>
      </w:r>
    </w:p>
    <w:p w14:paraId="45DFC6DA" w14:textId="77777777" w:rsidR="002A2B28" w:rsidRDefault="00B44B82" w:rsidP="002A2B28">
      <w:pPr>
        <w:pStyle w:val="F9-Paragraph"/>
        <w:keepNext/>
        <w:numPr>
          <w:ilvl w:val="0"/>
          <w:numId w:val="0"/>
        </w:numPr>
        <w:ind w:left="851"/>
      </w:pPr>
      <w:r w:rsidRPr="002B142C">
        <w:rPr>
          <w:noProof/>
        </w:rPr>
        <w:drawing>
          <wp:inline distT="0" distB="0" distL="0" distR="0" wp14:anchorId="694A9190" wp14:editId="6EC98EB1">
            <wp:extent cx="5064685" cy="41624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7608" cy="4205920"/>
                    </a:xfrm>
                    <a:prstGeom prst="rect">
                      <a:avLst/>
                    </a:prstGeom>
                  </pic:spPr>
                </pic:pic>
              </a:graphicData>
            </a:graphic>
          </wp:inline>
        </w:drawing>
      </w:r>
    </w:p>
    <w:p w14:paraId="5BC6C93D" w14:textId="7CFE875D" w:rsidR="00B44B82" w:rsidRDefault="002A2B28" w:rsidP="002A2B28">
      <w:pPr>
        <w:pStyle w:val="Caption"/>
        <w:ind w:left="851"/>
      </w:pPr>
      <w:bookmarkStart w:id="8" w:name="_Ref189642995"/>
      <w:r>
        <w:t xml:space="preserve">Figure </w:t>
      </w:r>
      <w:r>
        <w:fldChar w:fldCharType="begin"/>
      </w:r>
      <w:r>
        <w:instrText xml:space="preserve"> SEQ Figure \* ARABIC </w:instrText>
      </w:r>
      <w:r>
        <w:fldChar w:fldCharType="separate"/>
      </w:r>
      <w:r>
        <w:rPr>
          <w:noProof/>
        </w:rPr>
        <w:t>1</w:t>
      </w:r>
      <w:r>
        <w:fldChar w:fldCharType="end"/>
      </w:r>
      <w:bookmarkEnd w:id="8"/>
      <w:r>
        <w:t xml:space="preserve"> - </w:t>
      </w:r>
      <w:r w:rsidRPr="001A2223">
        <w:t>Constrained optimisation and regions of effective dose for member of the critical group in the release of sites (source of data from</w:t>
      </w:r>
      <w:r>
        <w:t xml:space="preserve"> </w:t>
      </w:r>
      <w:sdt>
        <w:sdtPr>
          <w:id w:val="1229034865"/>
          <w:citation/>
        </w:sdtPr>
        <w:sdtEndPr/>
        <w:sdtContent>
          <w:r>
            <w:fldChar w:fldCharType="begin"/>
          </w:r>
          <w:r>
            <w:instrText xml:space="preserve"> CITATION WSG51A \l 2057 </w:instrText>
          </w:r>
          <w:r>
            <w:fldChar w:fldCharType="separate"/>
          </w:r>
          <w:r w:rsidR="00581332" w:rsidRPr="00581332">
            <w:rPr>
              <w:noProof/>
            </w:rPr>
            <w:t>[21]</w:t>
          </w:r>
          <w:r>
            <w:fldChar w:fldCharType="end"/>
          </w:r>
        </w:sdtContent>
      </w:sdt>
      <w:r w:rsidRPr="001A2223">
        <w:t>)</w:t>
      </w:r>
    </w:p>
    <w:p w14:paraId="287C713C" w14:textId="77777777" w:rsidR="002A2B28" w:rsidRDefault="002A2B28" w:rsidP="00B44B82">
      <w:pPr>
        <w:pStyle w:val="F9-Paragraph"/>
        <w:sectPr w:rsidR="002A2B28" w:rsidSect="000B2BCD">
          <w:pgSz w:w="11906" w:h="16838" w:code="9"/>
          <w:pgMar w:top="1440" w:right="1440" w:bottom="1440" w:left="1440" w:header="397" w:footer="397" w:gutter="0"/>
          <w:cols w:space="312"/>
          <w:docGrid w:linePitch="360"/>
        </w:sectPr>
      </w:pPr>
    </w:p>
    <w:p w14:paraId="7E3F8848" w14:textId="77777777" w:rsidR="00B44B82" w:rsidRDefault="00B44B82" w:rsidP="00B44B82">
      <w:pPr>
        <w:pStyle w:val="F9-Paragraph"/>
      </w:pPr>
      <w:r>
        <w:lastRenderedPageBreak/>
        <w:t>It states that for unrestricted use of a site the effective dose to a member of the critical group</w:t>
      </w:r>
      <w:r>
        <w:rPr>
          <w:rStyle w:val="FootnoteReference"/>
        </w:rPr>
        <w:footnoteReference w:id="3"/>
      </w:r>
      <w:r>
        <w:t xml:space="preserve"> should be below the dose constraint of 300 μSv per year. If the site has restrictions (ways to mitigate the dose) and they were to fail, then a critical group should not receive a dose greater than 1 mSv per year. A lower order of optimisation below which further expenditure on dose reduction is deemed not cost effective is set at 10 µSv per year (this is the level which no danger from ionising radiations criteria is interpreted at).</w:t>
      </w:r>
    </w:p>
    <w:p w14:paraId="665C259E" w14:textId="77777777" w:rsidR="00B44B82" w:rsidRDefault="00B44B82" w:rsidP="00B44B82">
      <w:pPr>
        <w:pStyle w:val="F9-Paragraph"/>
      </w:pPr>
      <w:r>
        <w:t>Defined end points are set out in section four, with examples of clean-up programme requirements within section five which includes monitoring, waste management, record keeping and post clean up (remediation) control.</w:t>
      </w:r>
    </w:p>
    <w:p w14:paraId="781C1B27" w14:textId="77777777" w:rsidR="00B44B82" w:rsidRDefault="00B44B82" w:rsidP="00B44B82">
      <w:pPr>
        <w:spacing w:after="0" w:line="240" w:lineRule="auto"/>
        <w:rPr>
          <w:rFonts w:eastAsia="Times New Roman"/>
          <w:szCs w:val="24"/>
          <w:lang w:bidi="ar-SA"/>
        </w:rPr>
      </w:pPr>
      <w:r>
        <w:br w:type="page"/>
      </w:r>
    </w:p>
    <w:p w14:paraId="5255232C" w14:textId="7A23F3B6" w:rsidR="00F7687C" w:rsidRDefault="00F7687C" w:rsidP="00E90780">
      <w:pPr>
        <w:pStyle w:val="Heading1"/>
      </w:pPr>
      <w:bookmarkStart w:id="9" w:name="_Toc189579463"/>
      <w:r>
        <w:lastRenderedPageBreak/>
        <w:t xml:space="preserve">Advice to </w:t>
      </w:r>
      <w:r w:rsidR="001C19DE">
        <w:t>i</w:t>
      </w:r>
      <w:r>
        <w:t>nspectors</w:t>
      </w:r>
      <w:bookmarkEnd w:id="9"/>
    </w:p>
    <w:p w14:paraId="4041F6BB" w14:textId="1791BFF0" w:rsidR="00B44B82" w:rsidRDefault="00B44B82" w:rsidP="00B44B82">
      <w:pPr>
        <w:pStyle w:val="F9-Paragraph"/>
      </w:pPr>
      <w:r>
        <w:t>For ONR to vary a NLS, NIA65</w:t>
      </w:r>
      <w:sdt>
        <w:sdtPr>
          <w:id w:val="-768776036"/>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xml:space="preserve"> section 3(12) requires that:</w:t>
      </w:r>
    </w:p>
    <w:p w14:paraId="3DA3468A" w14:textId="6362630B" w:rsidR="00B44B82" w:rsidRDefault="00B44B82" w:rsidP="002A2B28">
      <w:pPr>
        <w:pStyle w:val="Bulletlist1"/>
      </w:pPr>
      <w:r>
        <w:t>“</w:t>
      </w:r>
      <w:r w:rsidRPr="00FA1D80">
        <w:t>the licensee no longer need for any use requiring such a license, and</w:t>
      </w:r>
    </w:p>
    <w:p w14:paraId="3BD5F779" w14:textId="3129390F" w:rsidR="00B44B82" w:rsidRDefault="00B44B82" w:rsidP="002A2B28">
      <w:pPr>
        <w:pStyle w:val="Bulletlist1"/>
      </w:pPr>
      <w:r>
        <w:t>w</w:t>
      </w:r>
      <w:r w:rsidRPr="002D0C0D">
        <w:t xml:space="preserve">ith respect to which the appropriate national </w:t>
      </w:r>
      <w:r w:rsidR="00875F23" w:rsidRPr="002D0C0D">
        <w:t>authority</w:t>
      </w:r>
      <w:r w:rsidRPr="002D0C0D">
        <w:t xml:space="preserve"> is </w:t>
      </w:r>
      <w:r w:rsidR="00875F23" w:rsidRPr="002D0C0D">
        <w:t>satisfie</w:t>
      </w:r>
      <w:r w:rsidR="00875F23">
        <w:t>d</w:t>
      </w:r>
      <w:r w:rsidRPr="002D0C0D">
        <w:t xml:space="preserve"> that there is no danger from ionising radiation from anything on that part of the site</w:t>
      </w:r>
      <w:r w:rsidR="00875F23">
        <w:t>”</w:t>
      </w:r>
      <w:r>
        <w:t xml:space="preserve">. </w:t>
      </w:r>
    </w:p>
    <w:p w14:paraId="1A83A08C" w14:textId="3734BEF8" w:rsidR="00B44B82" w:rsidRDefault="00B44B82" w:rsidP="00B44B82">
      <w:pPr>
        <w:pStyle w:val="F9-Paragraph"/>
      </w:pPr>
      <w:r>
        <w:t xml:space="preserve">If the licensee can provide appropriate evidence to demonstrate that the </w:t>
      </w:r>
      <w:r w:rsidRPr="00FA1D80">
        <w:t>licensee no longer need for any use requiring such a license</w:t>
      </w:r>
      <w:r>
        <w:t xml:space="preserve"> and no danger from ionising radiation has been met, ONR may approve the delicensing application and follow the process as defined within NS-PER-PROC-004</w:t>
      </w:r>
      <w:sdt>
        <w:sdtPr>
          <w:id w:val="-1460874909"/>
          <w:citation/>
        </w:sdtPr>
        <w:sdtEndPr/>
        <w:sdtContent>
          <w:r>
            <w:fldChar w:fldCharType="begin"/>
          </w:r>
          <w:r w:rsidR="0017258D">
            <w:instrText xml:space="preserve">CITATION Del24P \l 2057 </w:instrText>
          </w:r>
          <w:r>
            <w:fldChar w:fldCharType="separate"/>
          </w:r>
          <w:r w:rsidR="00581332">
            <w:rPr>
              <w:noProof/>
            </w:rPr>
            <w:t xml:space="preserve"> [8]</w:t>
          </w:r>
          <w:r>
            <w:fldChar w:fldCharType="end"/>
          </w:r>
        </w:sdtContent>
      </w:sdt>
      <w:r>
        <w:t xml:space="preserve">. </w:t>
      </w:r>
    </w:p>
    <w:p w14:paraId="46B2C831" w14:textId="77777777" w:rsidR="00B44B82" w:rsidRPr="00271DF9" w:rsidRDefault="00B44B82" w:rsidP="00B44B82">
      <w:pPr>
        <w:pStyle w:val="F9-Paragraph"/>
      </w:pPr>
      <w:r>
        <w:t>Further information regarding overview of the delicensing application, the interpretation of the no danger and the technical assessment, is provided in the following sub</w:t>
      </w:r>
      <w:r>
        <w:noBreakHyphen/>
        <w:t xml:space="preserve">sections. </w:t>
      </w:r>
      <w:r w:rsidRPr="00D1126E">
        <w:t>Further background information is provided within appendix one</w:t>
      </w:r>
      <w:r w:rsidRPr="00271DF9">
        <w:t>.</w:t>
      </w:r>
    </w:p>
    <w:p w14:paraId="53B6D585" w14:textId="111185A6" w:rsidR="00B44B82" w:rsidRDefault="00B44B82" w:rsidP="00B44B82">
      <w:pPr>
        <w:pStyle w:val="Heading2"/>
      </w:pPr>
      <w:bookmarkStart w:id="10" w:name="_Ref189643315"/>
      <w:r>
        <w:t xml:space="preserve">Overview of </w:t>
      </w:r>
      <w:r w:rsidR="002A2B28">
        <w:t>d</w:t>
      </w:r>
      <w:r>
        <w:t xml:space="preserve">elicensing </w:t>
      </w:r>
      <w:r w:rsidR="002A2B28">
        <w:t>a</w:t>
      </w:r>
      <w:r>
        <w:t>pplication</w:t>
      </w:r>
      <w:bookmarkEnd w:id="10"/>
    </w:p>
    <w:p w14:paraId="282A215D" w14:textId="2806B1D1" w:rsidR="00B44B82" w:rsidRDefault="00B44B82" w:rsidP="00B44B82">
      <w:pPr>
        <w:pStyle w:val="Heading3"/>
      </w:pPr>
      <w:r>
        <w:t xml:space="preserve">Characterisation </w:t>
      </w:r>
      <w:r w:rsidR="002A2B28">
        <w:t>and s</w:t>
      </w:r>
      <w:r>
        <w:t xml:space="preserve">ampling </w:t>
      </w:r>
    </w:p>
    <w:p w14:paraId="734EC2A6" w14:textId="77777777" w:rsidR="00B44B82" w:rsidRDefault="00B44B82" w:rsidP="00B44B82">
      <w:pPr>
        <w:pStyle w:val="F9-Paragraph"/>
      </w:pPr>
      <w:r>
        <w:t>When a licensee chooses to delicense part or all the NLS, characterisation of the relevant part is required to:</w:t>
      </w:r>
    </w:p>
    <w:p w14:paraId="2F8E60A7" w14:textId="77777777" w:rsidR="00B44B82" w:rsidRDefault="00B44B82" w:rsidP="002A2B28">
      <w:pPr>
        <w:pStyle w:val="Bulletlist1"/>
      </w:pPr>
      <w:r>
        <w:t>Determine the location and activity of remaining radiological sources/ contamination;</w:t>
      </w:r>
    </w:p>
    <w:p w14:paraId="041EB45F" w14:textId="77777777" w:rsidR="00B44B82" w:rsidRDefault="00B44B82" w:rsidP="002A2B28">
      <w:pPr>
        <w:pStyle w:val="Bulletlist1"/>
      </w:pPr>
      <w:r>
        <w:t>Provide up to date information regarding the relevant part (for example history records): and</w:t>
      </w:r>
    </w:p>
    <w:p w14:paraId="28FA61DA" w14:textId="77777777" w:rsidR="00B44B82" w:rsidRDefault="00B44B82" w:rsidP="002A2B28">
      <w:pPr>
        <w:pStyle w:val="Bulletlist1"/>
      </w:pPr>
      <w:r>
        <w:t xml:space="preserve">Be used as evidence to demonstrate compliance against the ‘no danger’ criteria. </w:t>
      </w:r>
    </w:p>
    <w:p w14:paraId="2888AAA9" w14:textId="77777777" w:rsidR="00B44B82" w:rsidRDefault="00B44B82" w:rsidP="00B44B82">
      <w:pPr>
        <w:pStyle w:val="F9-Paragraph"/>
      </w:pPr>
      <w:r>
        <w:t>Characterisation can be achieved through several of the following methods:</w:t>
      </w:r>
    </w:p>
    <w:p w14:paraId="1E07CD4B" w14:textId="77777777" w:rsidR="00B44B82" w:rsidRDefault="00B44B82" w:rsidP="002A2B28">
      <w:pPr>
        <w:pStyle w:val="Bulletlist1"/>
      </w:pPr>
      <w:r>
        <w:t xml:space="preserve">Review of appropriate records for the relevant part; </w:t>
      </w:r>
    </w:p>
    <w:p w14:paraId="2C5B7D0E" w14:textId="77777777" w:rsidR="00B44B82" w:rsidRDefault="00B44B82" w:rsidP="002A2B28">
      <w:pPr>
        <w:pStyle w:val="Bulletlist1"/>
      </w:pPr>
      <w:r>
        <w:t>Taking appropriate samples of the relevant part; and</w:t>
      </w:r>
    </w:p>
    <w:p w14:paraId="4CD94E83" w14:textId="77777777" w:rsidR="00B44B82" w:rsidRDefault="00B44B82" w:rsidP="002A2B28">
      <w:pPr>
        <w:pStyle w:val="Bulletlist1"/>
      </w:pPr>
      <w:r>
        <w:t>Radiation and contamination monitoring of the relevant part.</w:t>
      </w:r>
    </w:p>
    <w:p w14:paraId="47A5DBEB" w14:textId="019C3233" w:rsidR="00B44B82" w:rsidRDefault="00B44B82" w:rsidP="00B44B82">
      <w:pPr>
        <w:pStyle w:val="F9-Paragraph"/>
      </w:pPr>
      <w:r>
        <w:t>As a first step, the historical data for the relevant part should be reviewed to provide an initial scope of the potential radiological hazard to the relevant part from the land and buildings (including those buildings that have now been demolished that were previously on the relevant part). Information for the historical data can be acquired from</w:t>
      </w:r>
      <w:sdt>
        <w:sdtPr>
          <w:id w:val="-1768768931"/>
          <w:citation/>
        </w:sdtPr>
        <w:sdtEndPr/>
        <w:sdtContent>
          <w:r>
            <w:fldChar w:fldCharType="begin"/>
          </w:r>
          <w:r w:rsidR="002A2B28">
            <w:instrText xml:space="preserve">CITATION WSG51A \l 2057 </w:instrText>
          </w:r>
          <w:r>
            <w:fldChar w:fldCharType="separate"/>
          </w:r>
          <w:r w:rsidR="00581332">
            <w:rPr>
              <w:noProof/>
            </w:rPr>
            <w:t xml:space="preserve"> [21]</w:t>
          </w:r>
          <w:r>
            <w:fldChar w:fldCharType="end"/>
          </w:r>
        </w:sdtContent>
      </w:sdt>
      <w:r>
        <w:t>:</w:t>
      </w:r>
    </w:p>
    <w:p w14:paraId="40F2A887" w14:textId="77777777" w:rsidR="00B44B82" w:rsidRDefault="00B44B82" w:rsidP="002A2B28">
      <w:pPr>
        <w:pStyle w:val="Bulletlist1"/>
      </w:pPr>
      <w:r>
        <w:lastRenderedPageBreak/>
        <w:t>aerial photographs</w:t>
      </w:r>
    </w:p>
    <w:p w14:paraId="38381AEF" w14:textId="77777777" w:rsidR="00B44B82" w:rsidRDefault="00B44B82" w:rsidP="002A2B28">
      <w:pPr>
        <w:pStyle w:val="Bulletlist1"/>
      </w:pPr>
      <w:r>
        <w:t>survey records</w:t>
      </w:r>
    </w:p>
    <w:p w14:paraId="5B6E1F22" w14:textId="77777777" w:rsidR="00B44B82" w:rsidRDefault="00B44B82" w:rsidP="002A2B28">
      <w:pPr>
        <w:pStyle w:val="Bulletlist1"/>
      </w:pPr>
      <w:r>
        <w:t>operating history</w:t>
      </w:r>
    </w:p>
    <w:p w14:paraId="2AAD532A" w14:textId="77777777" w:rsidR="00B44B82" w:rsidRDefault="00B44B82" w:rsidP="002A2B28">
      <w:pPr>
        <w:pStyle w:val="Bulletlist1"/>
      </w:pPr>
      <w:r>
        <w:t>incident records</w:t>
      </w:r>
    </w:p>
    <w:p w14:paraId="565C36BE" w14:textId="77777777" w:rsidR="00B44B82" w:rsidRDefault="00B44B82" w:rsidP="002A2B28">
      <w:pPr>
        <w:pStyle w:val="Bulletlist1"/>
      </w:pPr>
      <w:r>
        <w:t>interview with personnel who worked at the relevant part, past and present</w:t>
      </w:r>
    </w:p>
    <w:p w14:paraId="2AACF19D" w14:textId="23E06C8E" w:rsidR="00B44B82" w:rsidRDefault="00B44B82" w:rsidP="00B44B82">
      <w:pPr>
        <w:pStyle w:val="F9-Paragraph"/>
      </w:pPr>
      <w:r>
        <w:t xml:space="preserve">With regards to sampling and monitoring of the relevant part, the licensee should undertake a proportionate approach to generate adequate characterisation data to support claims and arguments for delicensing. </w:t>
      </w:r>
      <w:r w:rsidR="002A2B28">
        <w:br/>
      </w:r>
      <w:r>
        <w:t>This means that if it is known that the relevant part to be delicensed is expected to be free from radiological contamination, a high-level sampling and monitoring programme should be undertaken to confirm the assumptions. If it is known the relevant part has radiological contamination or records are incomplete, a more detailed sampling and monitoring regime is required.</w:t>
      </w:r>
    </w:p>
    <w:p w14:paraId="47BDDEAA" w14:textId="77777777" w:rsidR="00B44B82" w:rsidRDefault="00B44B82" w:rsidP="00B44B82">
      <w:pPr>
        <w:pStyle w:val="F9-Paragraph"/>
      </w:pPr>
      <w:r>
        <w:t xml:space="preserve">It is up to the licensee to choose the sampling and monitoring methodology to be used in the delicensing assessment. One approach that has been used is the Data Quality Objectives/Data Quality Assessment. Further information on this process is provided in appendix one. </w:t>
      </w:r>
    </w:p>
    <w:p w14:paraId="5A13F64C" w14:textId="77777777" w:rsidR="00B44B82" w:rsidRDefault="00B44B82" w:rsidP="00B44B82">
      <w:pPr>
        <w:pStyle w:val="F9-Paragraph"/>
      </w:pPr>
      <w:r>
        <w:t>The physical attributes of the relevant part to be delicensed determines the type of sampling to be required. This could involve but not limited to the following:</w:t>
      </w:r>
    </w:p>
    <w:p w14:paraId="4ADCB9F2" w14:textId="77777777" w:rsidR="00B44B82" w:rsidRDefault="00B44B82" w:rsidP="002A2B28">
      <w:pPr>
        <w:pStyle w:val="Bulletlist1"/>
      </w:pPr>
      <w:r>
        <w:t>ground surfaces</w:t>
      </w:r>
    </w:p>
    <w:p w14:paraId="10D647D1" w14:textId="77777777" w:rsidR="00B44B82" w:rsidRDefault="00B44B82" w:rsidP="002A2B28">
      <w:pPr>
        <w:pStyle w:val="Bulletlist1"/>
      </w:pPr>
      <w:r>
        <w:t>building (including internal structures/building fabric)</w:t>
      </w:r>
    </w:p>
    <w:p w14:paraId="078DDAAC" w14:textId="77777777" w:rsidR="00B44B82" w:rsidRDefault="00B44B82" w:rsidP="002A2B28">
      <w:pPr>
        <w:pStyle w:val="Bulletlist1"/>
      </w:pPr>
      <w:r>
        <w:t>underground (including groundwater/fluvial)</w:t>
      </w:r>
    </w:p>
    <w:p w14:paraId="680A9F5F" w14:textId="77777777" w:rsidR="00B44B82" w:rsidRDefault="00B44B82" w:rsidP="00B44B82">
      <w:pPr>
        <w:pStyle w:val="F9-Paragraph"/>
      </w:pPr>
      <w:r>
        <w:t xml:space="preserve">For potential ground surfaces and underground contamination, the depth of sampling to be undertaken is on a case-by case basis, but a proportionate approach should be undertaken by the licensee. For example, if from the records it states a disused effluent pipework at 10 m below ground level, then it is reasonable to undertake samples in that area to below the disused effluent pipe. However, if sampling and characterisation has established that the pipework has leaked over a period of years, then further sampling will be required to determine the depth of the leak as well as confirming if it is still leaking. </w:t>
      </w:r>
    </w:p>
    <w:p w14:paraId="7A90E3C3" w14:textId="77777777" w:rsidR="00B44B82" w:rsidRDefault="00B44B82" w:rsidP="00B44B82">
      <w:pPr>
        <w:pStyle w:val="F9-Paragraph"/>
      </w:pPr>
      <w:r>
        <w:t xml:space="preserve">For buildings remaining after delicensing, appropriate sampling would be on a case-by-case basis (for example, core samples, </w:t>
      </w:r>
      <w:r w:rsidRPr="002C5505">
        <w:t>in situ radiometric methods</w:t>
      </w:r>
      <w:r>
        <w:t xml:space="preserve">) of each building. The licensee may need to take samples below the building to confirm if the ground underneath has been contaminated. </w:t>
      </w:r>
    </w:p>
    <w:p w14:paraId="237EB165" w14:textId="77777777" w:rsidR="00B44B82" w:rsidRDefault="00B44B82" w:rsidP="00B44B82">
      <w:pPr>
        <w:pStyle w:val="F9-Paragraph"/>
      </w:pPr>
      <w:r>
        <w:lastRenderedPageBreak/>
        <w:t xml:space="preserve">If there is a likelihood for underground contamination (including groundwater), then the sampling regime should potentially include sampling to aquifer depth/the water table. The sampling regime should extend away from the area of the source of the contamination consistent with the postulated source, pathway, receptor models used. </w:t>
      </w:r>
    </w:p>
    <w:p w14:paraId="4E68256A" w14:textId="77777777" w:rsidR="00B44B82" w:rsidRDefault="00B44B82" w:rsidP="00B44B82">
      <w:pPr>
        <w:pStyle w:val="F9-Paragraph"/>
      </w:pPr>
      <w:r>
        <w:t>Where appropriate the possibility of off-site contamination via underground pathways, either current or reasonably foreseeable, should be factored into the assessment and discussed with the appropriate environment authority. Decisions on the depth of sampling required will to a great extent depend on the outcome of geological and hydrogeological investigation to identify possible transport mechanisms.</w:t>
      </w:r>
    </w:p>
    <w:p w14:paraId="0C70366B" w14:textId="77777777" w:rsidR="00B44B82" w:rsidRDefault="00B44B82" w:rsidP="00B44B82">
      <w:pPr>
        <w:pStyle w:val="F9-Paragraph"/>
      </w:pPr>
      <w:r>
        <w:t>The above information for characterisation and sampling may already be available from the licensee, examples of where this information could be located are as follows (this is not an exhaustive list):</w:t>
      </w:r>
    </w:p>
    <w:p w14:paraId="47E4515B" w14:textId="77777777" w:rsidR="00B44B82" w:rsidRDefault="00B44B82" w:rsidP="00B44B82">
      <w:pPr>
        <w:pStyle w:val="Bulletlist1"/>
      </w:pPr>
      <w:r>
        <w:t>compliance against relevant LCs (for example LC34 – Leakage and escape of radioactive material and radioactive waste, LC35 – Decommissioning)</w:t>
      </w:r>
    </w:p>
    <w:p w14:paraId="1D11E987" w14:textId="77777777" w:rsidR="00B44B82" w:rsidRDefault="00B44B82" w:rsidP="00B44B82">
      <w:pPr>
        <w:pStyle w:val="Bulletlist1"/>
      </w:pPr>
      <w:r>
        <w:t xml:space="preserve">Site-Wide Environmental Safety Case (SWESC) </w:t>
      </w:r>
    </w:p>
    <w:p w14:paraId="53388EDF" w14:textId="77777777" w:rsidR="00B44B82" w:rsidRDefault="00B44B82" w:rsidP="00B44B82">
      <w:pPr>
        <w:pStyle w:val="Bulletlist1"/>
      </w:pPr>
      <w:r>
        <w:t xml:space="preserve">Waste Management Plan (WMP) </w:t>
      </w:r>
    </w:p>
    <w:p w14:paraId="3BCDEF02" w14:textId="77777777" w:rsidR="00B44B82" w:rsidRDefault="00B44B82" w:rsidP="00B44B82">
      <w:pPr>
        <w:pStyle w:val="Bulletlist1"/>
      </w:pPr>
      <w:r>
        <w:t>Environmental Management Plan</w:t>
      </w:r>
      <w:r>
        <w:rPr>
          <w:rStyle w:val="FootnoteReference"/>
        </w:rPr>
        <w:footnoteReference w:id="4"/>
      </w:r>
    </w:p>
    <w:p w14:paraId="6656EC14" w14:textId="77777777" w:rsidR="00B44B82" w:rsidRPr="004E47C8" w:rsidRDefault="00B44B82" w:rsidP="00B44B82">
      <w:pPr>
        <w:pStyle w:val="Heading4"/>
      </w:pPr>
      <w:r>
        <w:t>Background level subtraction</w:t>
      </w:r>
    </w:p>
    <w:p w14:paraId="2FAB98A1" w14:textId="77777777" w:rsidR="00B44B82" w:rsidRDefault="00B44B82" w:rsidP="00B44B82">
      <w:pPr>
        <w:pStyle w:val="F9-Paragraph"/>
      </w:pPr>
      <w:r>
        <w:t>The natural background radiation level (including gamma from the ground and N</w:t>
      </w:r>
      <w:r w:rsidRPr="006B229D">
        <w:t xml:space="preserve">aturally </w:t>
      </w:r>
      <w:r>
        <w:t>O</w:t>
      </w:r>
      <w:r w:rsidRPr="006B229D">
        <w:t xml:space="preserve">ccurring </w:t>
      </w:r>
      <w:r>
        <w:t>R</w:t>
      </w:r>
      <w:r w:rsidRPr="006B229D">
        <w:t xml:space="preserve">adioactive </w:t>
      </w:r>
      <w:r>
        <w:t>M</w:t>
      </w:r>
      <w:r w:rsidRPr="006B229D">
        <w:t>aterial (NORM)</w:t>
      </w:r>
      <w:r>
        <w:t xml:space="preserve"> activity levels)</w:t>
      </w:r>
      <w:r w:rsidRPr="006B229D">
        <w:t xml:space="preserve"> </w:t>
      </w:r>
      <w:r>
        <w:t>prior to the operation of the NLS needs to be established. This could be from pre</w:t>
      </w:r>
      <w:r>
        <w:noBreakHyphen/>
        <w:t xml:space="preserve">operational surveys or by inference from measurements from the surrounding area (for example a mile away from the site) that are remote from the impact of the operational discharges from the site but similar in geology. It should be noted that if the site has a history of using radioactive substances prior to licensing, any residual contamination, for example </w:t>
      </w:r>
      <w:r w:rsidRPr="002B12AE">
        <w:t>use of radioactive materials for their radioactive, fissile or fertile properties</w:t>
      </w:r>
      <w:r>
        <w:t xml:space="preserve"> would not form part of the natural background radiation level and must be considered in the delicensing application. </w:t>
      </w:r>
    </w:p>
    <w:p w14:paraId="4F085625" w14:textId="77777777" w:rsidR="002A2B28" w:rsidRDefault="002A2B28" w:rsidP="00B44B82">
      <w:pPr>
        <w:pStyle w:val="F9-Paragraph"/>
        <w:sectPr w:rsidR="002A2B28" w:rsidSect="000B2BCD">
          <w:pgSz w:w="11906" w:h="16838" w:code="9"/>
          <w:pgMar w:top="1440" w:right="1440" w:bottom="1440" w:left="1440" w:header="397" w:footer="397" w:gutter="0"/>
          <w:cols w:space="312"/>
          <w:docGrid w:linePitch="360"/>
        </w:sectPr>
      </w:pPr>
    </w:p>
    <w:p w14:paraId="650B1866" w14:textId="77777777" w:rsidR="00B44B82" w:rsidRDefault="00B44B82" w:rsidP="00B44B82">
      <w:pPr>
        <w:pStyle w:val="F9-Paragraph"/>
      </w:pPr>
      <w:r>
        <w:lastRenderedPageBreak/>
        <w:t>The setting of the current baseline natural background radiation level should consider the impact that authorised discharges from the site under consideration, or other nearby sites, may have had. These would have been deemed to be material released from regulatory control</w:t>
      </w:r>
      <w:r>
        <w:rPr>
          <w:rStyle w:val="FootnoteReference"/>
        </w:rPr>
        <w:footnoteReference w:id="5"/>
      </w:r>
      <w:r>
        <w:t xml:space="preserve"> and to present acceptable risks to the public under the standards current at the time of discharge. The licensee should not take into account unauthorised historic discharges from the site under consideration or other nearby sites when calculating the background level.</w:t>
      </w:r>
    </w:p>
    <w:p w14:paraId="75B3FEEE" w14:textId="0DDDA24F" w:rsidR="00B44B82" w:rsidRDefault="00B44B82" w:rsidP="00B44B82">
      <w:pPr>
        <w:pStyle w:val="F9-Paragraph"/>
      </w:pPr>
      <w:r w:rsidRPr="00E30328">
        <w:t>Appropriate natural background radiation levels present at a site need to be determined and justified as part of the assessment. The risk resulting from natural background radiation levels</w:t>
      </w:r>
      <w:r>
        <w:t>, including radon gas from sources not associated with practices that have taken place on the site</w:t>
      </w:r>
      <w:r w:rsidRPr="00E30328">
        <w:t xml:space="preserve"> should not be included in the assessment. In addition, the risk resulting from fallout from weapons testing or incident at other national or international plants </w:t>
      </w:r>
      <w:r w:rsidR="002A2B28">
        <w:br/>
      </w:r>
      <w:r w:rsidRPr="00E30328">
        <w:t>(for example, the Chernobyl accident) should also not be included in the</w:t>
      </w:r>
      <w:r>
        <w:t xml:space="preserve"> delicensing</w:t>
      </w:r>
      <w:r w:rsidRPr="00E30328">
        <w:t xml:space="preserve"> assessment.</w:t>
      </w:r>
    </w:p>
    <w:p w14:paraId="1547F6A9" w14:textId="77777777" w:rsidR="00B44B82" w:rsidRDefault="00B44B82" w:rsidP="00B44B82">
      <w:pPr>
        <w:pStyle w:val="Heading4"/>
      </w:pPr>
      <w:r>
        <w:t>Non-radioactive contamination</w:t>
      </w:r>
    </w:p>
    <w:p w14:paraId="04CE712A" w14:textId="2F5A6AA5" w:rsidR="00B44B82" w:rsidRPr="000D3174" w:rsidRDefault="00B44B82" w:rsidP="00B44B82">
      <w:pPr>
        <w:pStyle w:val="F9-Paragraph"/>
      </w:pPr>
      <w:r w:rsidRPr="005A15CC">
        <w:t>Any contamination remaining on the site solely comprising non-radioactive c</w:t>
      </w:r>
      <w:r>
        <w:t>ontamination</w:t>
      </w:r>
      <w:r w:rsidRPr="005A15CC">
        <w:t xml:space="preserve"> does not preclude delicensing under NIA65 </w:t>
      </w:r>
      <w:sdt>
        <w:sdtPr>
          <w:id w:val="81424909"/>
          <w:citation/>
        </w:sdtPr>
        <w:sdtEndPr/>
        <w:sdtContent>
          <w:r>
            <w:fldChar w:fldCharType="begin"/>
          </w:r>
          <w:r w:rsidR="0017258D">
            <w:instrText xml:space="preserve">CITATION NIA65 \l 2057 </w:instrText>
          </w:r>
          <w:r>
            <w:fldChar w:fldCharType="separate"/>
          </w:r>
          <w:r w:rsidR="00581332">
            <w:rPr>
              <w:noProof/>
            </w:rPr>
            <w:t>[2]</w:t>
          </w:r>
          <w:r>
            <w:fldChar w:fldCharType="end"/>
          </w:r>
        </w:sdtContent>
      </w:sdt>
      <w:r>
        <w:t>.</w:t>
      </w:r>
    </w:p>
    <w:p w14:paraId="7ED7FB78" w14:textId="10EB9BC5" w:rsidR="00B44B82" w:rsidRDefault="00B44B82" w:rsidP="00B44B82">
      <w:pPr>
        <w:pStyle w:val="F9-Paragraph"/>
      </w:pPr>
      <w:r w:rsidRPr="00144138">
        <w:t>Where radioactive contamination is co-located with non-radioactive contamination</w:t>
      </w:r>
      <w:r>
        <w:t>,</w:t>
      </w:r>
      <w:r w:rsidRPr="00144138">
        <w:t xml:space="preserve"> consideration will need to be given to the risks associated with the presence of the non-radioactive contaminants</w:t>
      </w:r>
      <w:r>
        <w:t>, such as asbestos,</w:t>
      </w:r>
      <w:r w:rsidRPr="00144138">
        <w:t xml:space="preserve"> when </w:t>
      </w:r>
      <w:r>
        <w:t>undertaking delicensing</w:t>
      </w:r>
      <w:r w:rsidRPr="00144138">
        <w:t>. Liaison with the appropriate environment authority and the Local Authority (LA)</w:t>
      </w:r>
      <w:r>
        <w:t xml:space="preserve"> will be required</w:t>
      </w:r>
      <w:r w:rsidR="004A395A" w:rsidRPr="00144138">
        <w:t xml:space="preserve">. </w:t>
      </w:r>
    </w:p>
    <w:p w14:paraId="3ED73908" w14:textId="7DC32228" w:rsidR="00B44B82" w:rsidRDefault="00B44B82" w:rsidP="00B44B82">
      <w:pPr>
        <w:pStyle w:val="Heading3"/>
      </w:pPr>
      <w:r>
        <w:t xml:space="preserve">Use of </w:t>
      </w:r>
      <w:r w:rsidR="002A2B28">
        <w:t>t</w:t>
      </w:r>
      <w:r>
        <w:t xml:space="preserve">echnical </w:t>
      </w:r>
      <w:r w:rsidR="002A2B28">
        <w:t>s</w:t>
      </w:r>
      <w:r>
        <w:t xml:space="preserve">upport </w:t>
      </w:r>
      <w:r w:rsidR="002A2B28">
        <w:t>c</w:t>
      </w:r>
      <w:r>
        <w:t>ontractor</w:t>
      </w:r>
    </w:p>
    <w:p w14:paraId="61B3CD48" w14:textId="77777777" w:rsidR="00B44B82" w:rsidRDefault="00B44B82" w:rsidP="00B44B82">
      <w:pPr>
        <w:pStyle w:val="F9-Paragraph"/>
      </w:pPr>
      <w:r>
        <w:t xml:space="preserve">When assessing a licensee’s delicensing application, additional competent independent expertise (Technical Support Contractor (TSC)) may be used by ONR to </w:t>
      </w:r>
      <w:r w:rsidRPr="006825C6">
        <w:t>provide independent assurance on the licensee’s site characterisation data</w:t>
      </w:r>
      <w:r>
        <w:t xml:space="preserve"> and its interpretation. The intention of this is not to reproduce the licensee’s survey but to enable ONR to form a judgement about the adequacy of the licensee’s survey on a proportionate basis for validation and verification purposes. </w:t>
      </w:r>
    </w:p>
    <w:p w14:paraId="49D73A24" w14:textId="77777777" w:rsidR="00B44B82" w:rsidRDefault="00B44B82" w:rsidP="00B44B82">
      <w:pPr>
        <w:pStyle w:val="F9-Paragraph"/>
      </w:pPr>
      <w:r>
        <w:t>The use of a TSC by ONR will be considered on a case-by-case basis. Aspects where a TSC may not be required by ONR are:</w:t>
      </w:r>
    </w:p>
    <w:p w14:paraId="60DE6200" w14:textId="77777777" w:rsidR="00B44B82" w:rsidRDefault="00B44B82" w:rsidP="00B44B82">
      <w:pPr>
        <w:pStyle w:val="Bulletlist1"/>
      </w:pPr>
      <w:r w:rsidRPr="00523338">
        <w:t>The history file is appropriately detailed and provides all necessary information to understand what has occurred on the relevant part</w:t>
      </w:r>
      <w:r>
        <w:t>;</w:t>
      </w:r>
    </w:p>
    <w:p w14:paraId="4E627B8E" w14:textId="77777777" w:rsidR="00B44B82" w:rsidRDefault="00B44B82" w:rsidP="002A2B28">
      <w:pPr>
        <w:pStyle w:val="Bulletlist1"/>
        <w:rPr>
          <w:lang w:bidi="ar-SA"/>
        </w:rPr>
      </w:pPr>
      <w:r>
        <w:lastRenderedPageBreak/>
        <w:t>The area to be delicensed has no history of work being undertaken which could have led to radioactive contamination</w:t>
      </w:r>
      <w:r>
        <w:rPr>
          <w:color w:val="00B0F0"/>
        </w:rPr>
        <w:t xml:space="preserve">, </w:t>
      </w:r>
      <w:r>
        <w:t>including that from any waste disposals, lay down area use, or storage of items that could have been contaminated;</w:t>
      </w:r>
    </w:p>
    <w:p w14:paraId="332AE375" w14:textId="77777777" w:rsidR="00B44B82" w:rsidRPr="009D443F" w:rsidRDefault="00B44B82" w:rsidP="002A2B28">
      <w:pPr>
        <w:pStyle w:val="Bulletlist1"/>
      </w:pPr>
      <w:r w:rsidRPr="009D443F">
        <w:t xml:space="preserve">The initial sampling and monitoring surveys results from the licensee </w:t>
      </w:r>
      <w:r w:rsidRPr="00A044DF">
        <w:rPr>
          <w:szCs w:val="24"/>
        </w:rPr>
        <w:t>are indistinguishable from natural background</w:t>
      </w:r>
      <w:r w:rsidRPr="009D443F">
        <w:t xml:space="preserve"> in the relevant part to be delicensed;</w:t>
      </w:r>
    </w:p>
    <w:p w14:paraId="0F64D66D" w14:textId="68338A26" w:rsidR="00B44B82" w:rsidRDefault="00B44B82" w:rsidP="002A2B28">
      <w:pPr>
        <w:pStyle w:val="Bulletlist1"/>
      </w:pPr>
      <w:r w:rsidRPr="00523338">
        <w:t>The methodology of the sampling and monitoring for the relevant part is considered</w:t>
      </w:r>
      <w:r>
        <w:t xml:space="preserve"> suitable and </w:t>
      </w:r>
      <w:r w:rsidR="009414F9">
        <w:t>sufficient</w:t>
      </w:r>
      <w:r w:rsidRPr="00523338">
        <w:t xml:space="preserve"> and in line with relevant good practice</w:t>
      </w:r>
      <w:r>
        <w:t>;</w:t>
      </w:r>
    </w:p>
    <w:p w14:paraId="2A82BBB0" w14:textId="77777777" w:rsidR="00B44B82" w:rsidRPr="009D443F" w:rsidRDefault="00B44B82" w:rsidP="002A2B28">
      <w:pPr>
        <w:pStyle w:val="Bulletlist1"/>
      </w:pPr>
      <w:r w:rsidRPr="00A044DF">
        <w:t>Confidence has been gained, where appropriate, from previous satisfactory delicensing applications by the licensee and that TSC validation or verification is not needed for this delicensing application; and</w:t>
      </w:r>
    </w:p>
    <w:p w14:paraId="7467093B" w14:textId="77777777" w:rsidR="00B44B82" w:rsidRDefault="00B44B82" w:rsidP="002A2B28">
      <w:pPr>
        <w:pStyle w:val="Bulletlist1"/>
      </w:pPr>
      <w:r w:rsidRPr="00523338">
        <w:t>The licensee uses UK Accreditation Services (UKAS) approved laboratories for assessing the sampling undertaken.</w:t>
      </w:r>
    </w:p>
    <w:p w14:paraId="2FDA026A" w14:textId="77777777" w:rsidR="00B44B82" w:rsidRDefault="00B44B82" w:rsidP="00B44B82">
      <w:pPr>
        <w:pStyle w:val="F9-Paragraph"/>
      </w:pPr>
      <w:r>
        <w:t xml:space="preserve">Although the above list is non-exhaustive, it shows that a TSC may not be required for certain aspects of a delicensing application. In any case, </w:t>
      </w:r>
      <w:r w:rsidRPr="0078560F">
        <w:t>since contractor characterisation and ONR TSC activities usually occur concurrently</w:t>
      </w:r>
      <w:r>
        <w:t>,</w:t>
      </w:r>
      <w:r w:rsidRPr="0078560F">
        <w:t xml:space="preserve"> </w:t>
      </w:r>
      <w:r>
        <w:t xml:space="preserve">discussions with the licensee, and where appropriate their </w:t>
      </w:r>
      <w:r w:rsidRPr="00797CE4">
        <w:t>characterisation</w:t>
      </w:r>
      <w:r>
        <w:t>/remediation</w:t>
      </w:r>
      <w:r w:rsidRPr="00797CE4">
        <w:t xml:space="preserve"> </w:t>
      </w:r>
      <w:r>
        <w:t>contractors, should be undertaken as early as practicable in the delicensing application regarding this matter.</w:t>
      </w:r>
    </w:p>
    <w:p w14:paraId="599B5839" w14:textId="232AA202" w:rsidR="00B44B82" w:rsidRDefault="00B44B82" w:rsidP="00B44B82">
      <w:pPr>
        <w:pStyle w:val="Heading3"/>
      </w:pPr>
      <w:r>
        <w:t xml:space="preserve">Involvement of </w:t>
      </w:r>
      <w:r w:rsidR="002A2B28">
        <w:t>o</w:t>
      </w:r>
      <w:r>
        <w:t xml:space="preserve">ther </w:t>
      </w:r>
      <w:r w:rsidR="002A2B28">
        <w:t>r</w:t>
      </w:r>
      <w:r>
        <w:t>egulators</w:t>
      </w:r>
    </w:p>
    <w:p w14:paraId="379479FE" w14:textId="4987E000" w:rsidR="00B44B82" w:rsidRDefault="00B44B82" w:rsidP="00B44B82">
      <w:pPr>
        <w:pStyle w:val="F9-Paragraph"/>
      </w:pPr>
      <w:r>
        <w:t>A statutory requirement of NIA65</w:t>
      </w:r>
      <w:sdt>
        <w:sdtPr>
          <w:id w:val="351306139"/>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is for ONR to consult with the appropriate environment authority on the delicensing application; early engagement with these regulators regarding any delicensing application is advised.</w:t>
      </w:r>
    </w:p>
    <w:p w14:paraId="5618E5B5" w14:textId="77777777" w:rsidR="00B44B82" w:rsidRDefault="00B44B82" w:rsidP="00B44B82">
      <w:pPr>
        <w:pStyle w:val="F9-Paragraph"/>
      </w:pPr>
      <w:r>
        <w:t>It is up to the inspector to consult with the appropriate environment authority regarding the delicensing application for the following:</w:t>
      </w:r>
    </w:p>
    <w:p w14:paraId="143121D4" w14:textId="77777777" w:rsidR="00B44B82" w:rsidRDefault="00B44B82" w:rsidP="002A2B28">
      <w:pPr>
        <w:pStyle w:val="Bulletlist1"/>
      </w:pPr>
      <w:r>
        <w:t>Sharing of information and documentation;</w:t>
      </w:r>
    </w:p>
    <w:p w14:paraId="3BEB8A06" w14:textId="2601306A" w:rsidR="00B44B82" w:rsidRDefault="00B44B82" w:rsidP="002A2B28">
      <w:pPr>
        <w:pStyle w:val="Bulletlist1"/>
      </w:pPr>
      <w:r>
        <w:t xml:space="preserve">Knowledge management of the site from a </w:t>
      </w:r>
      <w:r w:rsidR="005835A0">
        <w:t>regulator’s</w:t>
      </w:r>
      <w:r>
        <w:t xml:space="preserve"> perspective;</w:t>
      </w:r>
    </w:p>
    <w:p w14:paraId="561AD102" w14:textId="77777777" w:rsidR="00B44B82" w:rsidRDefault="00B44B82" w:rsidP="002A2B28">
      <w:pPr>
        <w:pStyle w:val="Bulletlist1"/>
      </w:pPr>
      <w:r>
        <w:t>Discussion with the appropriate environment authority on the progress of the delicensing application; and</w:t>
      </w:r>
    </w:p>
    <w:p w14:paraId="5DD128D8" w14:textId="77777777" w:rsidR="00B44B82" w:rsidRDefault="00B44B82" w:rsidP="002A2B28">
      <w:pPr>
        <w:pStyle w:val="Bulletlist1"/>
      </w:pPr>
      <w:r>
        <w:t>Discussion with the appropriate environment authority on any significant technical issues arising from the application.</w:t>
      </w:r>
    </w:p>
    <w:p w14:paraId="3C18CE9F" w14:textId="77777777" w:rsidR="00B44B82" w:rsidRDefault="00B44B82" w:rsidP="00B44B82">
      <w:pPr>
        <w:pStyle w:val="F9-Paragraph"/>
      </w:pPr>
      <w:r w:rsidRPr="000F1B35">
        <w:t xml:space="preserve">Depending on the relevant part to be delicensed, a joint </w:t>
      </w:r>
      <w:r>
        <w:t xml:space="preserve">readiness </w:t>
      </w:r>
      <w:r w:rsidRPr="000F1B35">
        <w:t>inspection with the appropriate environment authority may</w:t>
      </w:r>
      <w:r>
        <w:t xml:space="preserve"> </w:t>
      </w:r>
      <w:r w:rsidRPr="000F1B35">
        <w:t>be appropriate, though this should be considered on a case-by-case basis.</w:t>
      </w:r>
    </w:p>
    <w:p w14:paraId="1EBB6FAC" w14:textId="77777777" w:rsidR="00B44B82" w:rsidRDefault="00B44B82" w:rsidP="00B44B82">
      <w:pPr>
        <w:pStyle w:val="F9-Paragraph"/>
      </w:pPr>
      <w:r>
        <w:lastRenderedPageBreak/>
        <w:t xml:space="preserve">Any radioactive contamination that has left the site via groundwater or other transport mechanisms and is not an authorised discharge is a regulatory matter for the LA and the </w:t>
      </w:r>
      <w:r w:rsidRPr="002459D6">
        <w:t>appropriate environment authority</w:t>
      </w:r>
      <w:r>
        <w:t xml:space="preserve"> (once delicensing has been completed). </w:t>
      </w:r>
      <w:r w:rsidRPr="006A7B5C">
        <w:t>The LA may request advice from the appropriate environment authority or may ask them to carry out a detailed inspection on their behalf under the R</w:t>
      </w:r>
      <w:r>
        <w:t xml:space="preserve">adioactive </w:t>
      </w:r>
      <w:r w:rsidRPr="006A7B5C">
        <w:t>C</w:t>
      </w:r>
      <w:r>
        <w:t xml:space="preserve">ontaminated </w:t>
      </w:r>
      <w:r w:rsidRPr="006A7B5C">
        <w:t>L</w:t>
      </w:r>
      <w:r>
        <w:t>and (RCL)</w:t>
      </w:r>
      <w:r w:rsidRPr="006A7B5C">
        <w:t xml:space="preserve"> regime (</w:t>
      </w:r>
      <w:r>
        <w:t xml:space="preserve">the Scottish Environment Protection Agency </w:t>
      </w:r>
      <w:r w:rsidRPr="006A7B5C">
        <w:t xml:space="preserve">make determinations about what is and is not RCL, rather than the </w:t>
      </w:r>
      <w:r>
        <w:t>LA</w:t>
      </w:r>
      <w:r w:rsidRPr="006A7B5C">
        <w:t>)</w:t>
      </w:r>
      <w:r>
        <w:t xml:space="preserve">. This is not an issue for the delicensing assessment. </w:t>
      </w:r>
    </w:p>
    <w:p w14:paraId="17B7DF05" w14:textId="797530FC" w:rsidR="00B44B82" w:rsidRDefault="00B44B82" w:rsidP="00B44B82">
      <w:pPr>
        <w:pStyle w:val="F9-Paragraph"/>
      </w:pPr>
      <w:r>
        <w:t xml:space="preserve">Although it is a statutory requirement to </w:t>
      </w:r>
      <w:r w:rsidR="00DF7EF9">
        <w:t xml:space="preserve">consult </w:t>
      </w:r>
      <w:r>
        <w:t>with the appropriate environment authority under NIA65</w:t>
      </w:r>
      <w:sdt>
        <w:sdtPr>
          <w:id w:val="181247692"/>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xml:space="preserve">, there could be other interested regulators who should be consulted regarding the delicensing of a NLS. </w:t>
      </w:r>
      <w:r w:rsidR="002A2B28">
        <w:br/>
      </w:r>
      <w:r>
        <w:t>For example, DNSR would be interested in a NLS where defence-related work is carried out and was to be delicensed. In addition, the Office for Road and Rail (ORR) would have an interest if a rail or road went through the relevant part to be delicensed. It should be confirmed with the site inspector of the NLS if other regulators apart from the appropriate environment authority</w:t>
      </w:r>
      <w:r w:rsidDel="003D2103">
        <w:t xml:space="preserve"> </w:t>
      </w:r>
      <w:r>
        <w:t xml:space="preserve">have any interest regarding the delicensing application. </w:t>
      </w:r>
    </w:p>
    <w:p w14:paraId="03F38BE0" w14:textId="77777777" w:rsidR="00B44B82" w:rsidRDefault="00B44B82" w:rsidP="00B44B82">
      <w:pPr>
        <w:pStyle w:val="F9-Paragraph"/>
      </w:pPr>
      <w:r>
        <w:t xml:space="preserve">Discussions with the internal regulator for the NLS could be useful to gain regulatory intelligence and assurance, (for example on going activities on relevant part to be delicensed) regarding the progress of the licensee’s delicensing application. </w:t>
      </w:r>
    </w:p>
    <w:p w14:paraId="3149C7AC" w14:textId="693BE158" w:rsidR="00B44B82" w:rsidRDefault="00B44B82" w:rsidP="00B44B82">
      <w:pPr>
        <w:pStyle w:val="F9-Paragraph"/>
      </w:pPr>
      <w:r>
        <w:t>Further information on the involvement of other regulators can be found in NS-PER-PROC-004</w:t>
      </w:r>
      <w:sdt>
        <w:sdtPr>
          <w:id w:val="-1783185596"/>
          <w:citation/>
        </w:sdtPr>
        <w:sdtEndPr/>
        <w:sdtContent>
          <w:r>
            <w:fldChar w:fldCharType="begin"/>
          </w:r>
          <w:r w:rsidR="0017258D">
            <w:instrText xml:space="preserve">CITATION Del24P \l 2057 </w:instrText>
          </w:r>
          <w:r>
            <w:fldChar w:fldCharType="separate"/>
          </w:r>
          <w:r w:rsidR="00581332">
            <w:rPr>
              <w:noProof/>
            </w:rPr>
            <w:t xml:space="preserve"> [8]</w:t>
          </w:r>
          <w:r>
            <w:fldChar w:fldCharType="end"/>
          </w:r>
        </w:sdtContent>
      </w:sdt>
      <w:r>
        <w:t>.</w:t>
      </w:r>
    </w:p>
    <w:p w14:paraId="767DED45" w14:textId="62B64F31" w:rsidR="00B44B82" w:rsidRDefault="00B44B82" w:rsidP="00B44B82">
      <w:pPr>
        <w:pStyle w:val="Heading3"/>
      </w:pPr>
      <w:r>
        <w:t xml:space="preserve">Involvement of </w:t>
      </w:r>
      <w:r w:rsidR="002A2B28">
        <w:t>o</w:t>
      </w:r>
      <w:r>
        <w:t xml:space="preserve">ther ONR </w:t>
      </w:r>
      <w:r w:rsidR="002A2B28">
        <w:t>p</w:t>
      </w:r>
      <w:r>
        <w:t>urposes</w:t>
      </w:r>
    </w:p>
    <w:p w14:paraId="58045D76" w14:textId="77777777" w:rsidR="00B44B82" w:rsidRDefault="00B44B82" w:rsidP="00B44B82">
      <w:pPr>
        <w:pStyle w:val="F9-Paragraph"/>
      </w:pPr>
      <w:r>
        <w:t>Although delicensing application covers nuclear safety, there are aspects which could affect the other ONR purposes (security, safeguards, transport and conventional health and safety).</w:t>
      </w:r>
    </w:p>
    <w:p w14:paraId="3A825933" w14:textId="77777777" w:rsidR="00B44B82" w:rsidRDefault="00B44B82" w:rsidP="00B44B82">
      <w:pPr>
        <w:pStyle w:val="F9-Paragraph"/>
      </w:pPr>
      <w:r>
        <w:t xml:space="preserve">Discussions with the relevant site lead inspectors for security, safeguards, transport and conventional health and safety for the NLS undertaking delicensing should be considered. This is to confirm if there are any significant issues which could affect the progress of the delicensing application as well as keeping them updated on the progress. </w:t>
      </w:r>
    </w:p>
    <w:p w14:paraId="35A4D17E" w14:textId="77777777" w:rsidR="00B44B82" w:rsidRDefault="00B44B82" w:rsidP="00B44B82">
      <w:pPr>
        <w:pStyle w:val="F9-Paragraph"/>
      </w:pPr>
      <w:r>
        <w:t>If aspects are identified which could affect the delicensing application, through discussion with the relevant site lead for the other ONR purposes, a discussion with the licensee should be undertaken to try and resolve any technical issues.</w:t>
      </w:r>
    </w:p>
    <w:p w14:paraId="0F05B20F" w14:textId="51D19202" w:rsidR="00B44B82" w:rsidRDefault="00B44B82" w:rsidP="00B44B82">
      <w:pPr>
        <w:pStyle w:val="Heading3"/>
      </w:pPr>
      <w:r>
        <w:t xml:space="preserve">Licensees </w:t>
      </w:r>
      <w:r w:rsidR="002A2B28">
        <w:t>a</w:t>
      </w:r>
      <w:r>
        <w:t xml:space="preserve">greements and </w:t>
      </w:r>
      <w:r w:rsidR="002A2B28">
        <w:t>a</w:t>
      </w:r>
      <w:r>
        <w:t xml:space="preserve">ssumptions for </w:t>
      </w:r>
      <w:r w:rsidR="002A2B28">
        <w:t>d</w:t>
      </w:r>
      <w:r>
        <w:t>elicensing</w:t>
      </w:r>
    </w:p>
    <w:p w14:paraId="688C9069" w14:textId="77777777" w:rsidR="00B44B82" w:rsidRDefault="00B44B82" w:rsidP="00B44B82">
      <w:pPr>
        <w:pStyle w:val="F9-Paragraph"/>
      </w:pPr>
      <w:r>
        <w:t xml:space="preserve">It is considered good practice for the licensee to have a living document which </w:t>
      </w:r>
      <w:r w:rsidRPr="002E7FD8">
        <w:t>records the common position of the stakeholders on various issues</w:t>
      </w:r>
      <w:r>
        <w:t xml:space="preserve"> that arise during the lifetime of the delicensing project. This could include but not limited to:</w:t>
      </w:r>
    </w:p>
    <w:p w14:paraId="738CF75D" w14:textId="77777777" w:rsidR="00B44B82" w:rsidRDefault="00B44B82" w:rsidP="002A2B28">
      <w:pPr>
        <w:pStyle w:val="Bulletlist1"/>
      </w:pPr>
      <w:r>
        <w:lastRenderedPageBreak/>
        <w:t>summary of work undertaken</w:t>
      </w:r>
    </w:p>
    <w:p w14:paraId="01FAA838" w14:textId="77777777" w:rsidR="00B44B82" w:rsidRDefault="00B44B82" w:rsidP="002A2B28">
      <w:pPr>
        <w:pStyle w:val="Bulletlist1"/>
      </w:pPr>
      <w:r>
        <w:t>technical guidance</w:t>
      </w:r>
    </w:p>
    <w:p w14:paraId="08142285" w14:textId="77777777" w:rsidR="00B44B82" w:rsidRDefault="00B44B82" w:rsidP="002A2B28">
      <w:pPr>
        <w:pStyle w:val="Bulletlist1"/>
      </w:pPr>
      <w:r>
        <w:t>changes to document since last issue</w:t>
      </w:r>
    </w:p>
    <w:p w14:paraId="077D0850" w14:textId="77777777" w:rsidR="00B44B82" w:rsidRDefault="00B44B82" w:rsidP="002A2B28">
      <w:pPr>
        <w:pStyle w:val="Bulletlist1"/>
      </w:pPr>
      <w:r>
        <w:t>arrangements in place (including governance of the process)</w:t>
      </w:r>
    </w:p>
    <w:p w14:paraId="62B48DD0" w14:textId="77777777" w:rsidR="00B44B82" w:rsidRDefault="00B44B82" w:rsidP="002A2B28">
      <w:pPr>
        <w:pStyle w:val="Bulletlist1"/>
      </w:pPr>
      <w:r>
        <w:t>justification for delicensing work to be undertaken</w:t>
      </w:r>
    </w:p>
    <w:p w14:paraId="43B14E51" w14:textId="77777777" w:rsidR="00B44B82" w:rsidRDefault="00B44B82" w:rsidP="00B44B82">
      <w:pPr>
        <w:pStyle w:val="F9-Paragraph"/>
      </w:pPr>
      <w:r>
        <w:t>The inspector should only</w:t>
      </w:r>
      <w:r w:rsidRPr="002E7FD8">
        <w:t xml:space="preserve"> agree to a common position following an appropriate level of assessment and, where appropriate, consultation with</w:t>
      </w:r>
      <w:r>
        <w:t xml:space="preserve"> the TSC</w:t>
      </w:r>
      <w:r w:rsidRPr="002E7FD8">
        <w:t xml:space="preserve"> </w:t>
      </w:r>
      <w:r>
        <w:t xml:space="preserve">and </w:t>
      </w:r>
      <w:r w:rsidRPr="002E7FD8">
        <w:t>the</w:t>
      </w:r>
      <w:r>
        <w:t xml:space="preserve"> appropriate environment authority.</w:t>
      </w:r>
      <w:r w:rsidRPr="002E7FD8">
        <w:t xml:space="preserve"> </w:t>
      </w:r>
    </w:p>
    <w:p w14:paraId="04163FA3" w14:textId="77777777" w:rsidR="00B44B82" w:rsidRPr="002E7FD8" w:rsidRDefault="00B44B82" w:rsidP="00B44B82">
      <w:pPr>
        <w:pStyle w:val="F9-Paragraph"/>
      </w:pPr>
      <w:r>
        <w:t>This document should be regularly updated during routine meetings with all relevant stakeholders.</w:t>
      </w:r>
    </w:p>
    <w:p w14:paraId="64940B42" w14:textId="479B5D77" w:rsidR="00B44B82" w:rsidRDefault="00B44B82" w:rsidP="00B44B82">
      <w:pPr>
        <w:pStyle w:val="Heading2"/>
      </w:pPr>
      <w:r>
        <w:t xml:space="preserve">Interpretation of </w:t>
      </w:r>
      <w:r w:rsidR="002A2B28">
        <w:t>‘n</w:t>
      </w:r>
      <w:r>
        <w:t xml:space="preserve">o </w:t>
      </w:r>
      <w:r w:rsidR="002A2B28">
        <w:t>d</w:t>
      </w:r>
      <w:r>
        <w:t>anger</w:t>
      </w:r>
      <w:r w:rsidR="002A2B28">
        <w:t>’</w:t>
      </w:r>
    </w:p>
    <w:p w14:paraId="1E80C1EA" w14:textId="362E3C68" w:rsidR="00B44B82" w:rsidRDefault="00B44B82" w:rsidP="00B44B82">
      <w:pPr>
        <w:pStyle w:val="F9-Paragraph"/>
      </w:pPr>
      <w:r>
        <w:t>Requiring a licensee to demonstrate ‘no danger’ cannot mean asking the licensee to demonstrate that the site is ‘completely safe’ as, since a</w:t>
      </w:r>
      <w:r w:rsidRPr="0032045D">
        <w:t>ll materials contain low levels of naturally occurring radioactivity</w:t>
      </w:r>
      <w:r>
        <w:t>, this is not feasible, no matter how comprehensively a site is cleaned up and monitored. S</w:t>
      </w:r>
      <w:r w:rsidRPr="00A13236">
        <w:t>ince NIA65</w:t>
      </w:r>
      <w:sdt>
        <w:sdtPr>
          <w:id w:val="-693384988"/>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rsidRPr="00A13236">
        <w:t xml:space="preserve"> </w:t>
      </w:r>
      <w:r>
        <w:t xml:space="preserve">has always </w:t>
      </w:r>
      <w:r w:rsidRPr="00A13236">
        <w:t>allow</w:t>
      </w:r>
      <w:r>
        <w:t>ed</w:t>
      </w:r>
      <w:r w:rsidRPr="00A13236">
        <w:t xml:space="preserve"> for delicensing</w:t>
      </w:r>
      <w:r>
        <w:t>,</w:t>
      </w:r>
      <w:r w:rsidRPr="00A13236">
        <w:t xml:space="preserve"> it is reasonable to assume that </w:t>
      </w:r>
      <w:r>
        <w:t>government</w:t>
      </w:r>
      <w:r w:rsidRPr="00A13236">
        <w:t xml:space="preserve"> must have intended that sites, or parts of sites, should be capable, in some circumstances, of being delicensed</w:t>
      </w:r>
      <w:r>
        <w:t xml:space="preserve"> with some residual and broadly acceptable level of risk</w:t>
      </w:r>
      <w:r w:rsidRPr="00FA01F7">
        <w:t xml:space="preserve"> </w:t>
      </w:r>
      <w:r>
        <w:t xml:space="preserve">within the </w:t>
      </w:r>
      <w:r w:rsidRPr="00FA01F7">
        <w:t>concept of reducing risks</w:t>
      </w:r>
      <w:r>
        <w:t xml:space="preserve"> SFAIRP. Therefore, in the opinion of ONR, once licensable activities have permanently ceased, and following rigorous radiological decontamination and remediation on site, it is acceptable for there to be a small but finite radiological hazard, whose further detection and reduction would be grossly disproportionate to effort and cost. However, the licensee must demonstrate that any residual radiological hazard will not pose a significant ongoing risk to any representative person, regardless of any reasonably foreseeable uses for the site at present and future.</w:t>
      </w:r>
    </w:p>
    <w:p w14:paraId="4C9BE6CE" w14:textId="1EF39AF9" w:rsidR="00B44B82" w:rsidRPr="004E47C8" w:rsidRDefault="00B44B82" w:rsidP="00B44B82">
      <w:pPr>
        <w:pStyle w:val="F9-Paragraph"/>
      </w:pPr>
      <w:r w:rsidRPr="004E47C8">
        <w:t xml:space="preserve">The need to </w:t>
      </w:r>
      <w:r>
        <w:t>interpret</w:t>
      </w:r>
      <w:r w:rsidRPr="004E47C8">
        <w:t xml:space="preserve"> ‘no danger’ is driven by the wording in the</w:t>
      </w:r>
      <w:r>
        <w:t xml:space="preserve"> NIA65</w:t>
      </w:r>
      <w:sdt>
        <w:sdtPr>
          <w:id w:val="1410277903"/>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xml:space="preserve">. Instead of a specific phrase such as </w:t>
      </w:r>
      <w:r w:rsidRPr="004E47C8">
        <w:t xml:space="preserve">“very low risk” </w:t>
      </w:r>
      <w:r>
        <w:t xml:space="preserve">which is not clear, an interpretation </w:t>
      </w:r>
      <w:r w:rsidRPr="004E47C8">
        <w:t>in terms of a numerical risk to human life</w:t>
      </w:r>
      <w:r>
        <w:t xml:space="preserve"> is seen as the best option. </w:t>
      </w:r>
    </w:p>
    <w:p w14:paraId="6AABEDEF" w14:textId="77777777" w:rsidR="002A2B28" w:rsidRDefault="002A2B28" w:rsidP="00B44B82">
      <w:pPr>
        <w:pStyle w:val="F9-Paragraph"/>
        <w:sectPr w:rsidR="002A2B28" w:rsidSect="000B2BCD">
          <w:pgSz w:w="11906" w:h="16838" w:code="9"/>
          <w:pgMar w:top="1440" w:right="1440" w:bottom="1440" w:left="1440" w:header="397" w:footer="397" w:gutter="0"/>
          <w:cols w:space="312"/>
          <w:docGrid w:linePitch="360"/>
        </w:sectPr>
      </w:pPr>
    </w:p>
    <w:p w14:paraId="13F23A8A" w14:textId="04A10A74" w:rsidR="00B44B82" w:rsidRDefault="00B44B82" w:rsidP="00B44B82">
      <w:pPr>
        <w:pStyle w:val="F9-Paragraph"/>
      </w:pPr>
      <w:r>
        <w:lastRenderedPageBreak/>
        <w:t>Based on existing published guidance</w:t>
      </w:r>
      <w:r>
        <w:rPr>
          <w:rStyle w:val="FootnoteReference"/>
        </w:rPr>
        <w:footnoteReference w:id="6"/>
      </w:r>
      <w:r>
        <w:t xml:space="preserve">, an additional risk of death to an individual of one in a million per year is ‘broadly acceptable’ to society. Applying this to a NLS, any residual radioactivity above the average natural background, which can be demonstrated to pose a risk less than one in a million per year, would be acceptable. This criterion is the basis of ONR’s interpretation of ‘no danger’ for the purposes of NIA65 </w:t>
      </w:r>
      <w:sdt>
        <w:sdtPr>
          <w:id w:val="336430372"/>
          <w:citation/>
        </w:sdtPr>
        <w:sdtEndPr/>
        <w:sdtContent>
          <w:r>
            <w:fldChar w:fldCharType="begin"/>
          </w:r>
          <w:r w:rsidR="0017258D">
            <w:instrText xml:space="preserve">CITATION NIA65 \l 2057 </w:instrText>
          </w:r>
          <w:r>
            <w:fldChar w:fldCharType="separate"/>
          </w:r>
          <w:r w:rsidR="00581332">
            <w:rPr>
              <w:noProof/>
            </w:rPr>
            <w:t>[2]</w:t>
          </w:r>
          <w:r>
            <w:fldChar w:fldCharType="end"/>
          </w:r>
        </w:sdtContent>
      </w:sdt>
      <w:r>
        <w:t xml:space="preserve">. </w:t>
      </w:r>
    </w:p>
    <w:p w14:paraId="4EBC8178" w14:textId="5CE6E425" w:rsidR="00B44B82" w:rsidRPr="004E47C8" w:rsidRDefault="00B44B82" w:rsidP="00B44B82">
      <w:pPr>
        <w:pStyle w:val="F9-Paragraph"/>
      </w:pPr>
      <w:r>
        <w:t>Within WS-G-5.1</w:t>
      </w:r>
      <w:sdt>
        <w:sdtPr>
          <w:id w:val="172384972"/>
          <w:citation/>
        </w:sdtPr>
        <w:sdtEndPr/>
        <w:sdtContent>
          <w:r>
            <w:fldChar w:fldCharType="begin"/>
          </w:r>
          <w:r w:rsidR="002A2B28">
            <w:instrText xml:space="preserve">CITATION WSG51A \l 2057 </w:instrText>
          </w:r>
          <w:r>
            <w:fldChar w:fldCharType="separate"/>
          </w:r>
          <w:r w:rsidR="00581332">
            <w:rPr>
              <w:noProof/>
            </w:rPr>
            <w:t xml:space="preserve"> [21]</w:t>
          </w:r>
          <w:r>
            <w:fldChar w:fldCharType="end"/>
          </w:r>
        </w:sdtContent>
      </w:sdt>
      <w:r>
        <w:t xml:space="preserve"> it states that ‘dose constraints should be applied prospectively to exposure from radioactive residues expected to remain in human habitats after the termination of a practice. The site dose release criteria should thus be based on an optimization of protection under this constraint, with account taken of the fact that optimization below the order of 10 μSv per year might not be warranted on radiological protection grounds.’ T</w:t>
      </w:r>
      <w:r w:rsidRPr="004E47C8">
        <w:t xml:space="preserve">his </w:t>
      </w:r>
      <w:r>
        <w:t xml:space="preserve">level of </w:t>
      </w:r>
      <w:r w:rsidRPr="004E47C8">
        <w:t xml:space="preserve">dose broadly equates to the one in a million per year ‘no danger’ criterion as well as being consistent with other legislation and international advice relating to the radiological protection of the public. </w:t>
      </w:r>
    </w:p>
    <w:p w14:paraId="30BFC16B" w14:textId="1B404010" w:rsidR="00B44B82" w:rsidRPr="004E47C8" w:rsidRDefault="00B44B82" w:rsidP="00B44B82">
      <w:pPr>
        <w:pStyle w:val="F9-Paragraph"/>
      </w:pPr>
      <w:r>
        <w:t>E</w:t>
      </w:r>
      <w:r w:rsidRPr="004E47C8">
        <w:t xml:space="preserve">quating ‘no danger’ with this criterion is </w:t>
      </w:r>
      <w:r>
        <w:t>seen as a</w:t>
      </w:r>
      <w:r w:rsidRPr="004E47C8">
        <w:t xml:space="preserve"> pragmatic approach to</w:t>
      </w:r>
      <w:r>
        <w:t xml:space="preserve"> be compliant with NIA65</w:t>
      </w:r>
      <w:sdt>
        <w:sdtPr>
          <w:id w:val="-495729806"/>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as this</w:t>
      </w:r>
      <w:r w:rsidRPr="004E47C8">
        <w:t xml:space="preserve"> could be perceived as an </w:t>
      </w:r>
      <w:r>
        <w:t>u</w:t>
      </w:r>
      <w:r w:rsidRPr="004E47C8">
        <w:t>nachievable requirement</w:t>
      </w:r>
      <w:r>
        <w:t xml:space="preserve"> without this criterion. I</w:t>
      </w:r>
      <w:r w:rsidRPr="004E47C8">
        <w:t xml:space="preserve">t should be noted that the average risk of death in the UK from naturally occurring radioactivity is estimated to be around 1 in </w:t>
      </w:r>
      <w:r>
        <w:t>7,700</w:t>
      </w:r>
      <w:r w:rsidRPr="004E47C8">
        <w:t xml:space="preserve"> per year</w:t>
      </w:r>
      <w:r w:rsidRPr="004E47C8">
        <w:rPr>
          <w:rStyle w:val="FootnoteReference"/>
        </w:rPr>
        <w:footnoteReference w:id="7"/>
      </w:r>
      <w:r w:rsidRPr="004E47C8">
        <w:t xml:space="preserve"> .</w:t>
      </w:r>
    </w:p>
    <w:p w14:paraId="476C0421" w14:textId="236161AF" w:rsidR="00B44B82" w:rsidRPr="004E47C8" w:rsidRDefault="00B44B82" w:rsidP="00B44B82">
      <w:pPr>
        <w:pStyle w:val="F9-Paragraph"/>
      </w:pPr>
      <w:r w:rsidRPr="004E47C8">
        <w:t xml:space="preserve">If a licensee can demonstrate that </w:t>
      </w:r>
      <w:r>
        <w:t>‘no danger’ has been met</w:t>
      </w:r>
      <w:r w:rsidRPr="004E47C8">
        <w:t xml:space="preserve">, the overarching requirements of the </w:t>
      </w:r>
      <w:r>
        <w:t>HSWA74</w:t>
      </w:r>
      <w:sdt>
        <w:sdtPr>
          <w:id w:val="377443521"/>
          <w:citation/>
        </w:sdtPr>
        <w:sdtEndPr/>
        <w:sdtContent>
          <w:r>
            <w:fldChar w:fldCharType="begin"/>
          </w:r>
          <w:r w:rsidR="006C4579">
            <w:instrText xml:space="preserve">CITATION HSW74 \l 2057 </w:instrText>
          </w:r>
          <w:r>
            <w:fldChar w:fldCharType="separate"/>
          </w:r>
          <w:r w:rsidR="00581332">
            <w:rPr>
              <w:noProof/>
            </w:rPr>
            <w:t xml:space="preserve"> [14]</w:t>
          </w:r>
          <w:r>
            <w:fldChar w:fldCharType="end"/>
          </w:r>
        </w:sdtContent>
      </w:sdt>
      <w:r w:rsidRPr="004E47C8">
        <w:t>, which requires operators to ensure health and safety ‘</w:t>
      </w:r>
      <w:r>
        <w:t>SFAIRP</w:t>
      </w:r>
      <w:r w:rsidRPr="004E47C8">
        <w:t xml:space="preserve"> (or, equivalently, that risks are reduced As Low As Reasonably Practicable </w:t>
      </w:r>
      <w:r>
        <w:t>(</w:t>
      </w:r>
      <w:r w:rsidRPr="004E47C8">
        <w:t>ALARP)</w:t>
      </w:r>
      <w:r>
        <w:t>)</w:t>
      </w:r>
      <w:r w:rsidRPr="004E47C8">
        <w:t xml:space="preserve"> also apply</w:t>
      </w:r>
      <w:r>
        <w:t>. The</w:t>
      </w:r>
      <w:r w:rsidRPr="004E47C8">
        <w:t xml:space="preserve"> expect</w:t>
      </w:r>
      <w:r>
        <w:t>ation is</w:t>
      </w:r>
      <w:r w:rsidRPr="004E47C8">
        <w:t xml:space="preserve"> the licensee </w:t>
      </w:r>
      <w:r>
        <w:t>can</w:t>
      </w:r>
      <w:r w:rsidRPr="004E47C8">
        <w:t xml:space="preserve"> demonstrate it has also considered these overarching ALARP requirements.</w:t>
      </w:r>
      <w:r>
        <w:t xml:space="preserve"> For example, </w:t>
      </w:r>
      <w:r w:rsidRPr="004E47C8">
        <w:t>no further low-cost clean-up activities</w:t>
      </w:r>
      <w:r>
        <w:t xml:space="preserve"> be</w:t>
      </w:r>
      <w:r w:rsidRPr="004E47C8">
        <w:t xml:space="preserve"> carried out</w:t>
      </w:r>
      <w:r w:rsidRPr="004E47C8">
        <w:rPr>
          <w:rStyle w:val="FootnoteReference"/>
        </w:rPr>
        <w:footnoteReference w:id="8"/>
      </w:r>
      <w:r w:rsidRPr="004E47C8">
        <w:t xml:space="preserve">, </w:t>
      </w:r>
      <w:r>
        <w:t xml:space="preserve">if </w:t>
      </w:r>
      <w:r w:rsidRPr="004E47C8">
        <w:t xml:space="preserve">the licensee has demonstrated that residual risk has been reduced to less than </w:t>
      </w:r>
      <w:r>
        <w:t>one</w:t>
      </w:r>
      <w:r w:rsidRPr="004E47C8">
        <w:t xml:space="preserve"> in a million</w:t>
      </w:r>
      <w:r>
        <w:t>.</w:t>
      </w:r>
    </w:p>
    <w:p w14:paraId="15E75329" w14:textId="40E7CC94" w:rsidR="00B44B82" w:rsidRDefault="00B44B82" w:rsidP="00B44B82">
      <w:pPr>
        <w:pStyle w:val="Heading2"/>
      </w:pPr>
      <w:r>
        <w:lastRenderedPageBreak/>
        <w:t xml:space="preserve">Assessment of </w:t>
      </w:r>
      <w:r w:rsidR="002A2B28">
        <w:t>‘n</w:t>
      </w:r>
      <w:r>
        <w:t xml:space="preserve">o </w:t>
      </w:r>
      <w:r w:rsidR="002A2B28">
        <w:t>d</w:t>
      </w:r>
      <w:r>
        <w:t>anger</w:t>
      </w:r>
      <w:r w:rsidR="002A2B28">
        <w:t>’</w:t>
      </w:r>
    </w:p>
    <w:p w14:paraId="666E1852" w14:textId="377B2689" w:rsidR="00B44B82" w:rsidRDefault="00B44B82" w:rsidP="00B44B82">
      <w:pPr>
        <w:pStyle w:val="F9-Paragraph"/>
      </w:pPr>
      <w:r>
        <w:t xml:space="preserve">Before delicensing can occur, the licensee must demonstrate to ONR that activities for which a licence is required (NIA65 section 1 </w:t>
      </w:r>
      <w:sdt>
        <w:sdtPr>
          <w:id w:val="415749453"/>
          <w:citation/>
        </w:sdtPr>
        <w:sdtEndPr/>
        <w:sdtContent>
          <w:r>
            <w:fldChar w:fldCharType="begin"/>
          </w:r>
          <w:r w:rsidR="0017258D">
            <w:instrText xml:space="preserve">CITATION NIA65 \l 2057 </w:instrText>
          </w:r>
          <w:r>
            <w:fldChar w:fldCharType="separate"/>
          </w:r>
          <w:r w:rsidR="00581332">
            <w:rPr>
              <w:noProof/>
            </w:rPr>
            <w:t>[2]</w:t>
          </w:r>
          <w:r>
            <w:fldChar w:fldCharType="end"/>
          </w:r>
        </w:sdtContent>
      </w:sdt>
      <w:r>
        <w:t xml:space="preserve"> and NIR71 </w:t>
      </w:r>
      <w:sdt>
        <w:sdtPr>
          <w:id w:val="-1486150929"/>
          <w:citation/>
        </w:sdtPr>
        <w:sdtEndPr/>
        <w:sdtContent>
          <w:r>
            <w:fldChar w:fldCharType="begin"/>
          </w:r>
          <w:r w:rsidR="006C4579">
            <w:instrText xml:space="preserve">CITATION NIR71 \l 2057 </w:instrText>
          </w:r>
          <w:r>
            <w:fldChar w:fldCharType="separate"/>
          </w:r>
          <w:r w:rsidR="00581332">
            <w:rPr>
              <w:noProof/>
            </w:rPr>
            <w:t>[10]</w:t>
          </w:r>
          <w:r>
            <w:fldChar w:fldCharType="end"/>
          </w:r>
        </w:sdtContent>
      </w:sdt>
      <w:r>
        <w:t>) are no longer being conducted on the relevant part to be delicensed and no danger from ionising radiations remains.</w:t>
      </w:r>
    </w:p>
    <w:p w14:paraId="28A7E61F" w14:textId="712BAC17" w:rsidR="00B44B82" w:rsidRDefault="00B44B82" w:rsidP="00B44B82">
      <w:pPr>
        <w:pStyle w:val="F9-Paragraph"/>
      </w:pPr>
      <w:r>
        <w:t xml:space="preserve">Arrangements for the removal from the relevant </w:t>
      </w:r>
      <w:r w:rsidR="00961B82">
        <w:t>part or</w:t>
      </w:r>
      <w:r>
        <w:t xml:space="preserve"> shut down of all sources of ionising radiation (for example radiographic or calibration sources, accelerators, charge generators) that have the possibility of giving rise to dose or risk in excess of 10µSv a year, should be made prior to delicensing. Such sources of ionising radiation may be re-installed post delicensing in accordance with IRR17</w:t>
      </w:r>
      <w:sdt>
        <w:sdtPr>
          <w:id w:val="-1937745548"/>
          <w:citation/>
        </w:sdtPr>
        <w:sdtEndPr/>
        <w:sdtContent>
          <w:r>
            <w:fldChar w:fldCharType="begin"/>
          </w:r>
          <w:r w:rsidR="006C4579">
            <w:instrText xml:space="preserve">CITATION L121_2 \l 2057 </w:instrText>
          </w:r>
          <w:r>
            <w:fldChar w:fldCharType="separate"/>
          </w:r>
          <w:r w:rsidR="00581332">
            <w:rPr>
              <w:noProof/>
            </w:rPr>
            <w:t xml:space="preserve"> [11]</w:t>
          </w:r>
          <w:r>
            <w:fldChar w:fldCharType="end"/>
          </w:r>
        </w:sdtContent>
      </w:sdt>
      <w:r>
        <w:t>, and EPR16</w:t>
      </w:r>
      <w:sdt>
        <w:sdtPr>
          <w:id w:val="188959575"/>
          <w:citation/>
        </w:sdtPr>
        <w:sdtEndPr/>
        <w:sdtContent>
          <w:r>
            <w:fldChar w:fldCharType="begin"/>
          </w:r>
          <w:r w:rsidR="006C4579">
            <w:instrText xml:space="preserve">CITATION EPR16 \l 2057 </w:instrText>
          </w:r>
          <w:r>
            <w:fldChar w:fldCharType="separate"/>
          </w:r>
          <w:r w:rsidR="00581332">
            <w:rPr>
              <w:noProof/>
            </w:rPr>
            <w:t xml:space="preserve"> [12]</w:t>
          </w:r>
          <w:r>
            <w:fldChar w:fldCharType="end"/>
          </w:r>
        </w:sdtContent>
      </w:sdt>
      <w:r>
        <w:t>/EASR18</w:t>
      </w:r>
      <w:sdt>
        <w:sdtPr>
          <w:id w:val="-1195685514"/>
          <w:citation/>
        </w:sdtPr>
        <w:sdtEndPr/>
        <w:sdtContent>
          <w:r>
            <w:fldChar w:fldCharType="begin"/>
          </w:r>
          <w:r w:rsidR="006C4579">
            <w:instrText xml:space="preserve">CITATION EASR18 \l 2057 </w:instrText>
          </w:r>
          <w:r>
            <w:fldChar w:fldCharType="separate"/>
          </w:r>
          <w:r w:rsidR="00581332">
            <w:rPr>
              <w:noProof/>
            </w:rPr>
            <w:t xml:space="preserve"> [13]</w:t>
          </w:r>
          <w:r>
            <w:fldChar w:fldCharType="end"/>
          </w:r>
        </w:sdtContent>
      </w:sdt>
      <w:r>
        <w:t>, as long as they are not activities which require a nuclear stie license under NIA65 section 1</w:t>
      </w:r>
      <w:sdt>
        <w:sdtPr>
          <w:id w:val="-500590456"/>
          <w:citation/>
        </w:sdtPr>
        <w:sdtEndPr/>
        <w:sdtContent>
          <w:r>
            <w:fldChar w:fldCharType="begin"/>
          </w:r>
          <w:r w:rsidR="0017258D">
            <w:instrText xml:space="preserve">CITATION NIA65 \l 2057 </w:instrText>
          </w:r>
          <w:r>
            <w:fldChar w:fldCharType="separate"/>
          </w:r>
          <w:r w:rsidR="00581332">
            <w:rPr>
              <w:noProof/>
            </w:rPr>
            <w:t xml:space="preserve"> [2]</w:t>
          </w:r>
          <w:r>
            <w:fldChar w:fldCharType="end"/>
          </w:r>
        </w:sdtContent>
      </w:sdt>
      <w:r>
        <w:t xml:space="preserve"> or NIR71 </w:t>
      </w:r>
      <w:sdt>
        <w:sdtPr>
          <w:id w:val="2106913761"/>
          <w:citation/>
        </w:sdtPr>
        <w:sdtEndPr/>
        <w:sdtContent>
          <w:r>
            <w:fldChar w:fldCharType="begin"/>
          </w:r>
          <w:r w:rsidR="006C4579">
            <w:instrText xml:space="preserve">CITATION NIR71 \l 2057 </w:instrText>
          </w:r>
          <w:r>
            <w:fldChar w:fldCharType="separate"/>
          </w:r>
          <w:r w:rsidR="00581332">
            <w:rPr>
              <w:noProof/>
            </w:rPr>
            <w:t>[10]</w:t>
          </w:r>
          <w:r>
            <w:fldChar w:fldCharType="end"/>
          </w:r>
        </w:sdtContent>
      </w:sdt>
      <w:r>
        <w:t xml:space="preserve"> as well as following the procedures/arrangements stipulated by the relevant environment agency.</w:t>
      </w:r>
    </w:p>
    <w:p w14:paraId="4C33EF0E" w14:textId="77777777" w:rsidR="00B44B82" w:rsidRDefault="00B44B82" w:rsidP="00B44B82">
      <w:pPr>
        <w:pStyle w:val="F9-Paragraph"/>
      </w:pPr>
      <w:r>
        <w:t xml:space="preserve">Inspectors need to consider the balance of risks for the removal or shut down of sources of ionising radiation against the actual and potential risks to employees and the public in doing so. Considerations may include for example: </w:t>
      </w:r>
    </w:p>
    <w:p w14:paraId="7F66C3F9" w14:textId="77777777" w:rsidR="00B44B82" w:rsidRDefault="00B44B82" w:rsidP="00B44B82">
      <w:pPr>
        <w:pStyle w:val="Bulletlist1"/>
        <w:spacing w:before="120"/>
        <w:ind w:left="1417"/>
      </w:pPr>
      <w:r>
        <w:t xml:space="preserve">The need to do things safely, and not to do anything which increases risk if it can be avoided; </w:t>
      </w:r>
    </w:p>
    <w:p w14:paraId="24792A22" w14:textId="77777777" w:rsidR="00B44B82" w:rsidRDefault="00B44B82" w:rsidP="00B44B82">
      <w:pPr>
        <w:pStyle w:val="Bulletlist1"/>
        <w:spacing w:before="120"/>
        <w:ind w:left="1417"/>
      </w:pPr>
      <w:r>
        <w:t xml:space="preserve">The desirability of minimising the burden on licensees and avoiding unnecessary bureaucracy; and </w:t>
      </w:r>
    </w:p>
    <w:p w14:paraId="57522BCC" w14:textId="77777777" w:rsidR="00B44B82" w:rsidRDefault="00B44B82" w:rsidP="00B44B82">
      <w:pPr>
        <w:pStyle w:val="Bulletlist1"/>
      </w:pPr>
      <w:r>
        <w:t>Can the sources be removed from site and returned (for example c</w:t>
      </w:r>
      <w:r w:rsidRPr="00A651A3">
        <w:t xml:space="preserve">an </w:t>
      </w:r>
      <w:r>
        <w:t xml:space="preserve">it </w:t>
      </w:r>
      <w:r w:rsidRPr="00A651A3">
        <w:t>be demonstrated that their presence does not mask any other sources of radiation that may be present in the relevant part</w:t>
      </w:r>
      <w:r>
        <w:t>).</w:t>
      </w:r>
    </w:p>
    <w:p w14:paraId="06671BF6" w14:textId="77777777" w:rsidR="00B44B82" w:rsidRDefault="00B44B82" w:rsidP="00B44B82">
      <w:pPr>
        <w:pStyle w:val="F9-Paragraph"/>
      </w:pPr>
      <w:r>
        <w:t>The licensee can put forward alternative proposals, although they have to satisfy the criteria previously stated.</w:t>
      </w:r>
    </w:p>
    <w:p w14:paraId="3CA86098" w14:textId="4F8E8695" w:rsidR="00B44B82" w:rsidRPr="004E47C8" w:rsidRDefault="00B44B82" w:rsidP="00B44B82">
      <w:pPr>
        <w:pStyle w:val="F9-Paragraph"/>
      </w:pPr>
      <w:r w:rsidRPr="004E47C8">
        <w:t xml:space="preserve">A licensee’s application for delicensing of the </w:t>
      </w:r>
      <w:r>
        <w:t>relevant part</w:t>
      </w:r>
      <w:r w:rsidRPr="004E47C8">
        <w:t xml:space="preserve"> will need to be supported </w:t>
      </w:r>
      <w:r>
        <w:t>a</w:t>
      </w:r>
      <w:r w:rsidRPr="004E47C8">
        <w:t xml:space="preserve">s a minimum </w:t>
      </w:r>
      <w:r>
        <w:t xml:space="preserve">by aspects covered in section </w:t>
      </w:r>
      <w:r w:rsidR="002A2B28">
        <w:fldChar w:fldCharType="begin"/>
      </w:r>
      <w:r w:rsidR="002A2B28">
        <w:instrText xml:space="preserve"> REF _Ref189643315 \r \h </w:instrText>
      </w:r>
      <w:r w:rsidR="002A2B28">
        <w:fldChar w:fldCharType="separate"/>
      </w:r>
      <w:r w:rsidR="002A2B28">
        <w:rPr>
          <w:cs/>
        </w:rPr>
        <w:t>‎</w:t>
      </w:r>
      <w:r w:rsidR="002A2B28">
        <w:t>5.1</w:t>
      </w:r>
      <w:r w:rsidR="002A2B28">
        <w:fldChar w:fldCharType="end"/>
      </w:r>
      <w:r>
        <w:t xml:space="preserve"> and</w:t>
      </w:r>
      <w:r w:rsidRPr="004E47C8">
        <w:t xml:space="preserve"> the following:</w:t>
      </w:r>
    </w:p>
    <w:p w14:paraId="228E71D9" w14:textId="77777777" w:rsidR="00B44B82" w:rsidRPr="004E47C8" w:rsidRDefault="00B44B82" w:rsidP="002A2B28">
      <w:pPr>
        <w:pStyle w:val="Bulletlist1"/>
      </w:pPr>
      <w:r w:rsidRPr="004E47C8">
        <w:t>The identification</w:t>
      </w:r>
      <w:r>
        <w:t xml:space="preserve"> and appropriate characterisation</w:t>
      </w:r>
      <w:r w:rsidRPr="004E47C8">
        <w:t xml:space="preserve"> of contaminated areas of the site, and areas where past operations, practices and incidents contributed significantly to radiation exposure</w:t>
      </w:r>
      <w:r>
        <w:t xml:space="preserve"> (to include information of the significant radionuclides present)</w:t>
      </w:r>
      <w:r w:rsidRPr="004E47C8">
        <w:t xml:space="preserve">. Details of the methods employed for their remediation and of the work to reduce levels of radioactive materials on the site to below </w:t>
      </w:r>
      <w:r>
        <w:t xml:space="preserve">level required to demonstrate compliance with the </w:t>
      </w:r>
      <w:r w:rsidRPr="004E47C8">
        <w:t>10</w:t>
      </w:r>
      <w:r>
        <w:t> </w:t>
      </w:r>
      <w:r w:rsidRPr="004E47C8">
        <w:t xml:space="preserve">µSv </w:t>
      </w:r>
      <w:r>
        <w:t>per</w:t>
      </w:r>
      <w:r w:rsidRPr="004E47C8">
        <w:t xml:space="preserve"> year.</w:t>
      </w:r>
    </w:p>
    <w:p w14:paraId="4DB26860" w14:textId="77777777" w:rsidR="00B44B82" w:rsidRPr="004E47C8" w:rsidRDefault="00B44B82" w:rsidP="002A2B28">
      <w:pPr>
        <w:pStyle w:val="Bulletlist1"/>
      </w:pPr>
      <w:r w:rsidRPr="004E47C8">
        <w:t xml:space="preserve">Documentation, records and results of radiological surveys and analysis of samples taken on the site. </w:t>
      </w:r>
    </w:p>
    <w:p w14:paraId="505AFCD9" w14:textId="77777777" w:rsidR="00B44B82" w:rsidRPr="004E47C8" w:rsidRDefault="00B44B82" w:rsidP="002A2B28">
      <w:pPr>
        <w:pStyle w:val="Bulletlist1"/>
      </w:pPr>
      <w:r w:rsidRPr="004E47C8">
        <w:lastRenderedPageBreak/>
        <w:t>An assessment of dose and risk to the public following delicensing, to demonstrate that any reasonably foreseeable future use</w:t>
      </w:r>
      <w:r>
        <w:rPr>
          <w:rStyle w:val="FootnoteReference"/>
        </w:rPr>
        <w:footnoteReference w:id="9"/>
      </w:r>
      <w:r w:rsidRPr="004E47C8">
        <w:t xml:space="preserve"> the land presents </w:t>
      </w:r>
      <w:r>
        <w:t>‘</w:t>
      </w:r>
      <w:r w:rsidRPr="004E47C8">
        <w:t>no danger</w:t>
      </w:r>
      <w:r>
        <w:t>’</w:t>
      </w:r>
      <w:r w:rsidRPr="004E47C8">
        <w:t xml:space="preserve"> of risks to the public in excess of </w:t>
      </w:r>
      <w:r>
        <w:t>one</w:t>
      </w:r>
      <w:r w:rsidRPr="004E47C8">
        <w:t xml:space="preserve"> in a million of fatality per year. This will in general require the use of models to show that the measured quantities, Bq/g or Bq/cm</w:t>
      </w:r>
      <w:r w:rsidRPr="004E47C8">
        <w:rPr>
          <w:vertAlign w:val="superscript"/>
        </w:rPr>
        <w:t>2</w:t>
      </w:r>
      <w:r w:rsidRPr="004E47C8">
        <w:t xml:space="preserve">, of residual  activity equate to risk values of less than </w:t>
      </w:r>
      <w:r>
        <w:t>one</w:t>
      </w:r>
      <w:r w:rsidRPr="004E47C8">
        <w:t xml:space="preserve"> in a million per year.</w:t>
      </w:r>
    </w:p>
    <w:p w14:paraId="202B65E3" w14:textId="2D190350" w:rsidR="00B44B82" w:rsidRDefault="00B44B82" w:rsidP="008646C3">
      <w:pPr>
        <w:pStyle w:val="Bulletlist1"/>
      </w:pPr>
      <w:r w:rsidRPr="004E47C8">
        <w:t>Methods by which the licensee will maintain adequate records and facilitate arrangements for the continued keeping of records</w:t>
      </w:r>
      <w:r>
        <w:t xml:space="preserve"> (for example</w:t>
      </w:r>
      <w:r w:rsidRPr="004E47C8">
        <w:t xml:space="preserve"> </w:t>
      </w:r>
      <w:r>
        <w:t xml:space="preserve"> in a relevant </w:t>
      </w:r>
      <w:r w:rsidRPr="004E47C8">
        <w:t>public register</w:t>
      </w:r>
      <w:r>
        <w:t>)</w:t>
      </w:r>
      <w:r w:rsidRPr="004E47C8">
        <w:t>.</w:t>
      </w:r>
      <w:r w:rsidR="002A2B28">
        <w:t xml:space="preserve"> </w:t>
      </w:r>
      <w:r>
        <w:t>Retention of any records for a period required under the licensee’s arrangements or relevant legislation.</w:t>
      </w:r>
    </w:p>
    <w:p w14:paraId="3BF0736E" w14:textId="3BA9AEAD" w:rsidR="00B44B82" w:rsidRDefault="00B44B82" w:rsidP="00B44B82">
      <w:pPr>
        <w:pStyle w:val="F9-Paragraph"/>
      </w:pPr>
      <w:r w:rsidRPr="004E47C8">
        <w:t>At such low risk levels, it would not be reasonabl</w:t>
      </w:r>
      <w:r>
        <w:t>y practicable</w:t>
      </w:r>
      <w:r w:rsidRPr="004E47C8">
        <w:t xml:space="preserve">, nor would ONR expect a licensee to expend significant resource pursuing an even greater risk reduction. While ONR considers that a risk of a fatality of </w:t>
      </w:r>
      <w:r>
        <w:t>one</w:t>
      </w:r>
      <w:r w:rsidRPr="004E47C8">
        <w:t xml:space="preserve"> in a million per year is low enough to satisfy</w:t>
      </w:r>
      <w:r>
        <w:t xml:space="preserve"> no danger</w:t>
      </w:r>
      <w:r w:rsidRPr="004E47C8">
        <w:t>, this cannot guarantee that other, particularly environmental, legislation will not impose ongoing management requirements on the delicensed land</w:t>
      </w:r>
      <w:r w:rsidRPr="004E47C8">
        <w:rPr>
          <w:rStyle w:val="FootnoteReference"/>
        </w:rPr>
        <w:footnoteReference w:id="10"/>
      </w:r>
      <w:r w:rsidRPr="004E47C8">
        <w:t>. Therefore, it would be prudent for any licensee submitting a delicensing application to have regard for any legislation other than the NIA65</w:t>
      </w:r>
      <w:r>
        <w:t xml:space="preserve"> </w:t>
      </w:r>
      <w:sdt>
        <w:sdtPr>
          <w:id w:val="439801215"/>
          <w:citation/>
        </w:sdtPr>
        <w:sdtEndPr/>
        <w:sdtContent>
          <w:r>
            <w:fldChar w:fldCharType="begin"/>
          </w:r>
          <w:r w:rsidR="0017258D">
            <w:instrText xml:space="preserve">CITATION NIA65 \l 2057 </w:instrText>
          </w:r>
          <w:r>
            <w:fldChar w:fldCharType="separate"/>
          </w:r>
          <w:r w:rsidR="00581332">
            <w:rPr>
              <w:noProof/>
            </w:rPr>
            <w:t>[2]</w:t>
          </w:r>
          <w:r>
            <w:fldChar w:fldCharType="end"/>
          </w:r>
        </w:sdtContent>
      </w:sdt>
      <w:r w:rsidRPr="004E47C8">
        <w:t xml:space="preserve"> that might apply to the delicensed site and to seek the views of the appropriate government department,</w:t>
      </w:r>
      <w:r>
        <w:t xml:space="preserve"> </w:t>
      </w:r>
      <w:r w:rsidRPr="004E47C8">
        <w:t xml:space="preserve"> </w:t>
      </w:r>
      <w:r>
        <w:t xml:space="preserve">appropriate </w:t>
      </w:r>
      <w:r w:rsidRPr="004E47C8">
        <w:t xml:space="preserve">environment </w:t>
      </w:r>
      <w:r>
        <w:t>authority</w:t>
      </w:r>
      <w:r w:rsidRPr="004E47C8">
        <w:t xml:space="preserve">, and </w:t>
      </w:r>
      <w:r>
        <w:t>LA.</w:t>
      </w:r>
    </w:p>
    <w:p w14:paraId="1289251F" w14:textId="77777777" w:rsidR="00B44B82" w:rsidRDefault="00B44B82" w:rsidP="00B44B82">
      <w:pPr>
        <w:pStyle w:val="Heading3"/>
      </w:pPr>
      <w:r>
        <w:t>Appropriate published documents</w:t>
      </w:r>
    </w:p>
    <w:p w14:paraId="3261C7CA" w14:textId="77777777" w:rsidR="00B44B82" w:rsidRDefault="00B44B82" w:rsidP="00B44B82">
      <w:pPr>
        <w:pStyle w:val="F9-Paragraph"/>
      </w:pPr>
      <w:r w:rsidRPr="00533ACA">
        <w:t xml:space="preserve">To help calculate the appropriate </w:t>
      </w:r>
      <w:r>
        <w:t>activity</w:t>
      </w:r>
      <w:r w:rsidRPr="00533ACA">
        <w:t xml:space="preserve"> levels for different radionuclides</w:t>
      </w:r>
      <w:r>
        <w:t xml:space="preserve"> to meet the no danger level</w:t>
      </w:r>
      <w:r w:rsidRPr="00533ACA">
        <w:t xml:space="preserve">, there are a number of published </w:t>
      </w:r>
      <w:r w:rsidRPr="00236DAB">
        <w:t>documents</w:t>
      </w:r>
      <w:r w:rsidRPr="00533ACA">
        <w:t xml:space="preserve">. </w:t>
      </w:r>
    </w:p>
    <w:p w14:paraId="6C3A6CB1" w14:textId="1CB2FA99" w:rsidR="00B44B82" w:rsidRPr="00533ACA" w:rsidRDefault="00B44B82" w:rsidP="00B44B82">
      <w:pPr>
        <w:pStyle w:val="F9-Paragraph"/>
      </w:pPr>
      <w:r>
        <w:t>The ‘Scope of and exemptions from the radioactive substances legislation in England, Wales and Northern Ireland’</w:t>
      </w:r>
      <w:sdt>
        <w:sdtPr>
          <w:id w:val="-1684890981"/>
          <w:citation/>
        </w:sdtPr>
        <w:sdtEndPr/>
        <w:sdtContent>
          <w:r>
            <w:fldChar w:fldCharType="begin"/>
          </w:r>
          <w:r w:rsidR="006B44AD">
            <w:instrText xml:space="preserve">CITATION EAguidance \l 2057 </w:instrText>
          </w:r>
          <w:r>
            <w:fldChar w:fldCharType="separate"/>
          </w:r>
          <w:r w:rsidR="00581332">
            <w:rPr>
              <w:noProof/>
            </w:rPr>
            <w:t xml:space="preserve"> [22]</w:t>
          </w:r>
          <w:r>
            <w:fldChar w:fldCharType="end"/>
          </w:r>
        </w:sdtContent>
      </w:sdt>
      <w:r>
        <w:t xml:space="preserve"> provides guidance on numerical values for artificial radionuclides, and for NORM used for their radioactive, fissile or fertile properties (sometimes referred to as a ‘practice’) which are based on a radiation dose of 10 µSv per year. These are provided within table 2.3 and 3.1 within the guidance document. </w:t>
      </w:r>
    </w:p>
    <w:p w14:paraId="7FC8FBAF" w14:textId="77777777" w:rsidR="002A2B28" w:rsidRDefault="002A2B28" w:rsidP="00B44B82">
      <w:pPr>
        <w:pStyle w:val="F9-Paragraph"/>
        <w:sectPr w:rsidR="002A2B28" w:rsidSect="000B2BCD">
          <w:pgSz w:w="11906" w:h="16838" w:code="9"/>
          <w:pgMar w:top="1440" w:right="1440" w:bottom="1440" w:left="1440" w:header="397" w:footer="397" w:gutter="0"/>
          <w:cols w:space="312"/>
          <w:docGrid w:linePitch="360"/>
        </w:sectPr>
      </w:pPr>
    </w:p>
    <w:p w14:paraId="1868BA1D" w14:textId="7906A058" w:rsidR="00B44B82" w:rsidRPr="00533ACA" w:rsidRDefault="00B44B82" w:rsidP="00B44B82">
      <w:pPr>
        <w:pStyle w:val="F9-Paragraph"/>
      </w:pPr>
      <w:r>
        <w:lastRenderedPageBreak/>
        <w:t xml:space="preserve">IAEA </w:t>
      </w:r>
      <w:r w:rsidRPr="00533ACA">
        <w:t>GS</w:t>
      </w:r>
      <w:r>
        <w:t>R</w:t>
      </w:r>
      <w:r w:rsidRPr="00533ACA">
        <w:t xml:space="preserve"> Part 3</w:t>
      </w:r>
      <w:r>
        <w:t xml:space="preserve"> </w:t>
      </w:r>
      <w:sdt>
        <w:sdtPr>
          <w:id w:val="1549341549"/>
          <w:citation/>
        </w:sdtPr>
        <w:sdtEndPr/>
        <w:sdtContent>
          <w:r>
            <w:fldChar w:fldCharType="begin"/>
          </w:r>
          <w:r w:rsidR="006C4579">
            <w:instrText xml:space="preserve">CITATION GSRp3 \l 2057 </w:instrText>
          </w:r>
          <w:r>
            <w:fldChar w:fldCharType="separate"/>
          </w:r>
          <w:r w:rsidR="00581332">
            <w:rPr>
              <w:noProof/>
            </w:rPr>
            <w:t>[16]</w:t>
          </w:r>
          <w:r>
            <w:fldChar w:fldCharType="end"/>
          </w:r>
        </w:sdtContent>
      </w:sdt>
      <w:r w:rsidRPr="00533ACA">
        <w:t xml:space="preserve"> </w:t>
      </w:r>
      <w:r w:rsidRPr="001D6834">
        <w:t>provides definitions and the criteria for exemption and clearance. Table I.1 provides levels for exemption of moderate amounts of material without further consideration exempt activity concentrations and exempt activities of radionuclides</w:t>
      </w:r>
      <w:r>
        <w:t>.</w:t>
      </w:r>
      <w:r w:rsidRPr="001D6834">
        <w:t xml:space="preserve"> Table I.2 provides levels for exemption of bulk amounts of solid material without further consideration and clearance of solid material without further consideration: activity concentrations of radionuclides of artificial origin. These tables are reproduced within GSG</w:t>
      </w:r>
      <w:r>
        <w:t xml:space="preserve"> </w:t>
      </w:r>
      <w:r w:rsidRPr="001D6834">
        <w:t>17</w:t>
      </w:r>
      <w:r>
        <w:t xml:space="preserve"> </w:t>
      </w:r>
      <w:sdt>
        <w:sdtPr>
          <w:id w:val="758265245"/>
          <w:citation/>
        </w:sdtPr>
        <w:sdtEndPr/>
        <w:sdtContent>
          <w:r>
            <w:fldChar w:fldCharType="begin"/>
          </w:r>
          <w:r w:rsidR="006C4579">
            <w:instrText xml:space="preserve">CITATION GSG17 \l 2057 </w:instrText>
          </w:r>
          <w:r>
            <w:fldChar w:fldCharType="separate"/>
          </w:r>
          <w:r w:rsidR="00581332">
            <w:rPr>
              <w:noProof/>
            </w:rPr>
            <w:t>[17]</w:t>
          </w:r>
          <w:r>
            <w:fldChar w:fldCharType="end"/>
          </w:r>
        </w:sdtContent>
      </w:sdt>
      <w:r w:rsidRPr="001D6834">
        <w:t xml:space="preserve"> where further information is provided</w:t>
      </w:r>
      <w:r>
        <w:t>. I</w:t>
      </w:r>
      <w:r w:rsidRPr="001D6834">
        <w:t xml:space="preserve">t states that for artificial radionuclides which are bulk amounts (solids) the values in </w:t>
      </w:r>
      <w:r>
        <w:t>t</w:t>
      </w:r>
      <w:r w:rsidRPr="001D6834">
        <w:t>able I.2 should be used. These values have been calculated to a dose of 10</w:t>
      </w:r>
      <w:r>
        <w:t xml:space="preserve"> </w:t>
      </w:r>
      <w:r w:rsidRPr="001D6834">
        <w:t xml:space="preserve">µSv </w:t>
      </w:r>
      <w:r>
        <w:t>per</w:t>
      </w:r>
      <w:r w:rsidRPr="001D6834">
        <w:t xml:space="preserve"> year. </w:t>
      </w:r>
      <w:r w:rsidRPr="00533ACA">
        <w:t xml:space="preserve">This is nuclide specific and considers the most limiting activity concentration from the different pathways for each nuclide. </w:t>
      </w:r>
    </w:p>
    <w:p w14:paraId="04B8AF19" w14:textId="09810016" w:rsidR="00B44B82" w:rsidRPr="00533ACA" w:rsidRDefault="00B44B82" w:rsidP="00B44B82">
      <w:pPr>
        <w:pStyle w:val="F9-Paragraph"/>
      </w:pPr>
      <w:r w:rsidRPr="00533ACA">
        <w:t xml:space="preserve">It is recommended that the licensee use the values in </w:t>
      </w:r>
      <w:r>
        <w:t>t</w:t>
      </w:r>
      <w:r w:rsidRPr="00533ACA">
        <w:t xml:space="preserve">able I.2 within GSR </w:t>
      </w:r>
      <w:r>
        <w:t>P</w:t>
      </w:r>
      <w:r w:rsidRPr="00533ACA">
        <w:t>art 3</w:t>
      </w:r>
      <w:r>
        <w:t xml:space="preserve"> </w:t>
      </w:r>
      <w:sdt>
        <w:sdtPr>
          <w:id w:val="-1884166325"/>
          <w:citation/>
        </w:sdtPr>
        <w:sdtEndPr/>
        <w:sdtContent>
          <w:r>
            <w:fldChar w:fldCharType="begin"/>
          </w:r>
          <w:r w:rsidR="006C4579">
            <w:instrText xml:space="preserve">CITATION GSRp3 \l 2057 </w:instrText>
          </w:r>
          <w:r>
            <w:fldChar w:fldCharType="separate"/>
          </w:r>
          <w:r w:rsidR="00581332">
            <w:rPr>
              <w:noProof/>
            </w:rPr>
            <w:t>[16]</w:t>
          </w:r>
          <w:r>
            <w:fldChar w:fldCharType="end"/>
          </w:r>
        </w:sdtContent>
      </w:sdt>
      <w:r w:rsidRPr="00533ACA">
        <w:t xml:space="preserve"> as the basis of comparison with licensee’s residual activity concentrations, hence demonstrate achievement of </w:t>
      </w:r>
      <w:r>
        <w:t>no danger</w:t>
      </w:r>
      <w:r w:rsidRPr="00533ACA">
        <w:t>.</w:t>
      </w:r>
      <w:r>
        <w:t xml:space="preserve"> Within GSG 17 </w:t>
      </w:r>
      <w:sdt>
        <w:sdtPr>
          <w:id w:val="607240551"/>
          <w:citation/>
        </w:sdtPr>
        <w:sdtEndPr/>
        <w:sdtContent>
          <w:r>
            <w:fldChar w:fldCharType="begin"/>
          </w:r>
          <w:r w:rsidR="006C4579">
            <w:instrText xml:space="preserve">CITATION GSG17 \l 2057 </w:instrText>
          </w:r>
          <w:r>
            <w:fldChar w:fldCharType="separate"/>
          </w:r>
          <w:r w:rsidR="00581332">
            <w:rPr>
              <w:noProof/>
            </w:rPr>
            <w:t>[17]</w:t>
          </w:r>
          <w:r>
            <w:fldChar w:fldCharType="end"/>
          </w:r>
        </w:sdtContent>
      </w:sdt>
      <w:r>
        <w:t>, further information is provided of how to use the values in table I.2 for mixture of radionuclides in paragraph 4.23.</w:t>
      </w:r>
      <w:r w:rsidRPr="00533ACA">
        <w:t xml:space="preserve"> </w:t>
      </w:r>
    </w:p>
    <w:p w14:paraId="3C220D47" w14:textId="77777777" w:rsidR="00B44B82" w:rsidRPr="007001FD" w:rsidRDefault="00B44B82" w:rsidP="00B44B82">
      <w:pPr>
        <w:pStyle w:val="F9-Paragraph"/>
      </w:pPr>
      <w:r w:rsidRPr="00533ACA">
        <w:t xml:space="preserve">Where it is not suitable to use the values in GSR </w:t>
      </w:r>
      <w:r>
        <w:t>P</w:t>
      </w:r>
      <w:r w:rsidRPr="00533ACA">
        <w:t>art 3</w:t>
      </w:r>
      <w:r>
        <w:t xml:space="preserve"> (for example radium radionuclides are not covered within the table)</w:t>
      </w:r>
      <w:r w:rsidRPr="00533ACA">
        <w:t xml:space="preserve">, the licensee may present other values and arguments to demonstrate that the risks are reduced </w:t>
      </w:r>
      <w:r w:rsidRPr="00FB0B48">
        <w:t>to</w:t>
      </w:r>
      <w:r w:rsidRPr="00533ACA">
        <w:t xml:space="preserve"> meet </w:t>
      </w:r>
      <w:r>
        <w:t>the no danger level</w:t>
      </w:r>
      <w:r w:rsidRPr="00533ACA">
        <w:t xml:space="preserve">. </w:t>
      </w:r>
    </w:p>
    <w:p w14:paraId="0164234E" w14:textId="298AEFAA" w:rsidR="00B44B82" w:rsidRPr="00375D44" w:rsidRDefault="00B44B82" w:rsidP="00B44B82">
      <w:pPr>
        <w:pStyle w:val="F9-Paragraph"/>
      </w:pPr>
      <w:bookmarkStart w:id="11" w:name="_Ref165467618"/>
      <w:r w:rsidRPr="00375D44">
        <w:t xml:space="preserve">The risks for all reasonably foreseeable future uses of the site given its nature and location, including for example agriculture and water abstraction, should be addressed. All current and reasonably predictable sources, pathways and target receptor groups should be considered. </w:t>
      </w:r>
      <w:r>
        <w:t>I</w:t>
      </w:r>
      <w:r w:rsidRPr="00375D44">
        <w:t xml:space="preserve">nformation to undertake this work to internationally acceptable methodologies exist. </w:t>
      </w:r>
      <w:r w:rsidR="002A2B28">
        <w:br/>
      </w:r>
      <w:r w:rsidRPr="00375D44">
        <w:t>For example, the UK Health Security Agency (UKHSA) publication NRPB-W36 (Methodology for Estimating Doses to Members of the Public from Future Use of Land Previously contaminated with Radioactivity)</w:t>
      </w:r>
      <w:r>
        <w:t xml:space="preserve"> </w:t>
      </w:r>
      <w:sdt>
        <w:sdtPr>
          <w:id w:val="-1541659642"/>
          <w:citation/>
        </w:sdtPr>
        <w:sdtEndPr/>
        <w:sdtContent>
          <w:r>
            <w:fldChar w:fldCharType="begin"/>
          </w:r>
          <w:r w:rsidR="002A2B28">
            <w:instrText xml:space="preserve">CITATION NRPBw36 \l 2057 </w:instrText>
          </w:r>
          <w:r>
            <w:fldChar w:fldCharType="separate"/>
          </w:r>
          <w:r w:rsidR="00581332">
            <w:rPr>
              <w:noProof/>
            </w:rPr>
            <w:t>[23]</w:t>
          </w:r>
          <w:r>
            <w:fldChar w:fldCharType="end"/>
          </w:r>
        </w:sdtContent>
      </w:sdt>
      <w:r w:rsidRPr="00375D44">
        <w:t>.</w:t>
      </w:r>
      <w:bookmarkEnd w:id="11"/>
      <w:r w:rsidRPr="00375D44">
        <w:t xml:space="preserve"> </w:t>
      </w:r>
    </w:p>
    <w:p w14:paraId="79AB17E3" w14:textId="09CF9EDE" w:rsidR="00B44B82" w:rsidRPr="000E169E" w:rsidRDefault="00B44B82" w:rsidP="00B44B82">
      <w:pPr>
        <w:pStyle w:val="F9-Paragraph"/>
      </w:pPr>
      <w:r w:rsidRPr="00CC146F">
        <w:t xml:space="preserve">The extension of the application of the contaminated land regime under Part IIA of </w:t>
      </w:r>
      <w:r>
        <w:t xml:space="preserve">Environmental Protection Act 1990 </w:t>
      </w:r>
      <w:sdt>
        <w:sdtPr>
          <w:id w:val="1993293256"/>
          <w:citation/>
        </w:sdtPr>
        <w:sdtEndPr/>
        <w:sdtContent>
          <w:r>
            <w:fldChar w:fldCharType="begin"/>
          </w:r>
          <w:r>
            <w:instrText xml:space="preserve"> CITATION EPA90 \l 2057 </w:instrText>
          </w:r>
          <w:r>
            <w:fldChar w:fldCharType="separate"/>
          </w:r>
          <w:r w:rsidR="00581332">
            <w:rPr>
              <w:noProof/>
            </w:rPr>
            <w:t>[24]</w:t>
          </w:r>
          <w:r>
            <w:fldChar w:fldCharType="end"/>
          </w:r>
        </w:sdtContent>
      </w:sdt>
      <w:r w:rsidRPr="00CC146F">
        <w:t xml:space="preserve">  to radioactive contaminated land may apply. Separate regimes apply in England, Wales and Scotland. This adds clarity to the Government’s requirements on the standards required for the remediation of formally identified radioactive contaminated land and bring them into line with those for non-radioactive contaminated land. However, these regimes are intended to apply to intervention situations and will not necessarily be applicable to the situation on delicensing sites, which is akin to a ‘practice’. Additionally, any site that is decontaminated to the levels where delicensing is agreed will not be subject to these regimes.</w:t>
      </w:r>
    </w:p>
    <w:p w14:paraId="245D2690" w14:textId="77777777" w:rsidR="002A2B28" w:rsidRDefault="002A2B28" w:rsidP="00B44B82">
      <w:pPr>
        <w:pStyle w:val="Heading3"/>
        <w:sectPr w:rsidR="002A2B28" w:rsidSect="000B2BCD">
          <w:pgSz w:w="11906" w:h="16838" w:code="9"/>
          <w:pgMar w:top="1440" w:right="1440" w:bottom="1440" w:left="1440" w:header="397" w:footer="397" w:gutter="0"/>
          <w:cols w:space="312"/>
          <w:docGrid w:linePitch="360"/>
        </w:sectPr>
      </w:pPr>
    </w:p>
    <w:p w14:paraId="33C05448" w14:textId="77777777" w:rsidR="00B44B82" w:rsidRDefault="00B44B82" w:rsidP="00B44B82">
      <w:pPr>
        <w:pStyle w:val="Heading3"/>
      </w:pPr>
      <w:r>
        <w:lastRenderedPageBreak/>
        <w:t>Consideration of the effect of delicensing a site or part of site</w:t>
      </w:r>
    </w:p>
    <w:p w14:paraId="746E1410" w14:textId="77777777" w:rsidR="00B44B82" w:rsidRDefault="00B44B82" w:rsidP="00B44B82">
      <w:pPr>
        <w:pStyle w:val="F9-Paragraph"/>
      </w:pPr>
      <w:r>
        <w:t>The possible risk factors to a part of a site considered for delicensing from the remaining NLS should be addressed in the assessment. The effects of delicensing part of a site on the remaining NLS should also be considered. These include factors that may affect the continued operational safety of the remaining part of the site, for example shared services, emergency arrangements, security arrangements, access/egress for the NLS.</w:t>
      </w:r>
    </w:p>
    <w:p w14:paraId="08F0172B" w14:textId="3E0495B6" w:rsidR="00F7687C" w:rsidRDefault="00B44B82" w:rsidP="00B44B82">
      <w:pPr>
        <w:pStyle w:val="F9-Paragraph"/>
        <w:sectPr w:rsidR="00F7687C" w:rsidSect="000B2BCD">
          <w:pgSz w:w="11906" w:h="16838" w:code="9"/>
          <w:pgMar w:top="1440" w:right="1440" w:bottom="1440" w:left="1440" w:header="397" w:footer="397" w:gutter="0"/>
          <w:cols w:space="312"/>
          <w:docGrid w:linePitch="360"/>
        </w:sectPr>
      </w:pPr>
      <w:r>
        <w:t>Potentially the licensee should inform the LA of the scope and criteria of the delicensing so the LA can take it into account when assessing subsequent planning decisions or local emergency planning arrangements.</w:t>
      </w:r>
    </w:p>
    <w:bookmarkStart w:id="12" w:name="_Toc189579464"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2"/>
        </w:p>
        <w:sdt>
          <w:sdtPr>
            <w:id w:val="700524479"/>
            <w:bibliography/>
          </w:sdtPr>
          <w:sdtEndPr/>
          <w:sdtContent>
            <w:p w14:paraId="1CDC54D4" w14:textId="77777777" w:rsidR="00581332"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Style w:val="Box1"/>
                <w:tblW w:w="5003" w:type="pct"/>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10"/>
                <w:gridCol w:w="8321"/>
              </w:tblGrid>
              <w:tr w:rsidR="00A34DE1" w14:paraId="28997C7E" w14:textId="77777777" w:rsidTr="00505D04">
                <w:trPr>
                  <w:divId w:val="1367366198"/>
                  <w:cantSplit/>
                </w:trPr>
                <w:tc>
                  <w:tcPr>
                    <w:tcW w:w="393" w:type="pct"/>
                    <w:hideMark/>
                  </w:tcPr>
                  <w:p w14:paraId="74F904A2" w14:textId="7420795A" w:rsidR="00581332" w:rsidRDefault="00581332" w:rsidP="00505D04">
                    <w:pPr>
                      <w:pStyle w:val="Bibliography"/>
                      <w:widowControl w:val="0"/>
                      <w:spacing w:after="120"/>
                      <w:rPr>
                        <w:noProof/>
                        <w:szCs w:val="24"/>
                      </w:rPr>
                    </w:pPr>
                    <w:r>
                      <w:rPr>
                        <w:noProof/>
                      </w:rPr>
                      <w:t xml:space="preserve">[1] </w:t>
                    </w:r>
                  </w:p>
                </w:tc>
                <w:tc>
                  <w:tcPr>
                    <w:tcW w:w="4607" w:type="pct"/>
                    <w:hideMark/>
                  </w:tcPr>
                  <w:p w14:paraId="1033A6FA" w14:textId="77777777" w:rsidR="00581332" w:rsidRDefault="00581332" w:rsidP="00505D04">
                    <w:pPr>
                      <w:pStyle w:val="Bibliography"/>
                      <w:widowControl w:val="0"/>
                      <w:spacing w:after="120"/>
                      <w:rPr>
                        <w:noProof/>
                      </w:rPr>
                    </w:pPr>
                    <w:r>
                      <w:rPr>
                        <w:noProof/>
                      </w:rPr>
                      <w:t>ONR, “Safety Assessment Principles (SAPs) for Nuclear Facilities - 2014 Edition (Revision 1),” 2020.</w:t>
                    </w:r>
                  </w:p>
                </w:tc>
              </w:tr>
              <w:tr w:rsidR="00A34DE1" w14:paraId="767D8070" w14:textId="77777777" w:rsidTr="00505D04">
                <w:trPr>
                  <w:divId w:val="1367366198"/>
                  <w:cantSplit/>
                </w:trPr>
                <w:tc>
                  <w:tcPr>
                    <w:tcW w:w="393" w:type="pct"/>
                    <w:hideMark/>
                  </w:tcPr>
                  <w:p w14:paraId="2349C60B" w14:textId="77777777" w:rsidR="00581332" w:rsidRDefault="00581332" w:rsidP="00505D04">
                    <w:pPr>
                      <w:pStyle w:val="Bibliography"/>
                      <w:widowControl w:val="0"/>
                      <w:spacing w:after="120"/>
                      <w:rPr>
                        <w:noProof/>
                      </w:rPr>
                    </w:pPr>
                    <w:r>
                      <w:rPr>
                        <w:noProof/>
                      </w:rPr>
                      <w:t xml:space="preserve">[2] </w:t>
                    </w:r>
                  </w:p>
                </w:tc>
                <w:tc>
                  <w:tcPr>
                    <w:tcW w:w="4607" w:type="pct"/>
                    <w:hideMark/>
                  </w:tcPr>
                  <w:p w14:paraId="603F466C" w14:textId="77777777" w:rsidR="00581332" w:rsidRDefault="00581332" w:rsidP="00505D04">
                    <w:pPr>
                      <w:pStyle w:val="Bibliography"/>
                      <w:widowControl w:val="0"/>
                      <w:spacing w:after="120"/>
                      <w:rPr>
                        <w:noProof/>
                      </w:rPr>
                    </w:pPr>
                    <w:r>
                      <w:rPr>
                        <w:noProof/>
                      </w:rPr>
                      <w:t>HM Government, “Nuclear Installations Act 1965 (as amended),” 1965. [Online]. Available: https://www.legislation.gov.uk/ukpga/1965/57.</w:t>
                    </w:r>
                  </w:p>
                </w:tc>
              </w:tr>
              <w:tr w:rsidR="00A34DE1" w14:paraId="50967030" w14:textId="77777777" w:rsidTr="00505D04">
                <w:trPr>
                  <w:divId w:val="1367366198"/>
                  <w:cantSplit/>
                </w:trPr>
                <w:tc>
                  <w:tcPr>
                    <w:tcW w:w="393" w:type="pct"/>
                    <w:hideMark/>
                  </w:tcPr>
                  <w:p w14:paraId="47B53569" w14:textId="77777777" w:rsidR="00581332" w:rsidRDefault="00581332" w:rsidP="00505D04">
                    <w:pPr>
                      <w:pStyle w:val="Bibliography"/>
                      <w:widowControl w:val="0"/>
                      <w:spacing w:after="120"/>
                      <w:rPr>
                        <w:noProof/>
                      </w:rPr>
                    </w:pPr>
                    <w:r>
                      <w:rPr>
                        <w:noProof/>
                      </w:rPr>
                      <w:t xml:space="preserve">[3] </w:t>
                    </w:r>
                  </w:p>
                </w:tc>
                <w:tc>
                  <w:tcPr>
                    <w:tcW w:w="4607" w:type="pct"/>
                    <w:hideMark/>
                  </w:tcPr>
                  <w:p w14:paraId="0DCEC634" w14:textId="77777777" w:rsidR="00581332" w:rsidRDefault="00581332" w:rsidP="00505D04">
                    <w:pPr>
                      <w:pStyle w:val="Bibliography"/>
                      <w:widowControl w:val="0"/>
                      <w:spacing w:after="120"/>
                      <w:rPr>
                        <w:noProof/>
                      </w:rPr>
                    </w:pPr>
                    <w:r>
                      <w:rPr>
                        <w:noProof/>
                      </w:rPr>
                      <w:t>HSE, “Criterion for Delicenisng Nuclear Sites,” 2005.</w:t>
                    </w:r>
                  </w:p>
                </w:tc>
              </w:tr>
              <w:tr w:rsidR="00A34DE1" w14:paraId="4F74C3C7" w14:textId="77777777" w:rsidTr="00505D04">
                <w:trPr>
                  <w:divId w:val="1367366198"/>
                  <w:cantSplit/>
                </w:trPr>
                <w:tc>
                  <w:tcPr>
                    <w:tcW w:w="393" w:type="pct"/>
                    <w:hideMark/>
                  </w:tcPr>
                  <w:p w14:paraId="365ABD3A" w14:textId="77777777" w:rsidR="00581332" w:rsidRDefault="00581332" w:rsidP="00505D04">
                    <w:pPr>
                      <w:pStyle w:val="Bibliography"/>
                      <w:widowControl w:val="0"/>
                      <w:spacing w:after="120"/>
                      <w:rPr>
                        <w:noProof/>
                      </w:rPr>
                    </w:pPr>
                    <w:r>
                      <w:rPr>
                        <w:noProof/>
                      </w:rPr>
                      <w:t xml:space="preserve">[4] </w:t>
                    </w:r>
                  </w:p>
                </w:tc>
                <w:tc>
                  <w:tcPr>
                    <w:tcW w:w="4607" w:type="pct"/>
                    <w:hideMark/>
                  </w:tcPr>
                  <w:p w14:paraId="521A211A" w14:textId="77777777" w:rsidR="00581332" w:rsidRDefault="00581332" w:rsidP="00505D04">
                    <w:pPr>
                      <w:pStyle w:val="Bibliography"/>
                      <w:widowControl w:val="0"/>
                      <w:spacing w:after="120"/>
                      <w:rPr>
                        <w:noProof/>
                      </w:rPr>
                    </w:pPr>
                    <w:r>
                      <w:rPr>
                        <w:noProof/>
                      </w:rPr>
                      <w:t>HSE, “Delicensing Guidance: Guidance to inspectors on the interpretation and implementation of the HSE policy criterion of no danger for the delicensing of nuclear sites,” 2008.</w:t>
                    </w:r>
                  </w:p>
                </w:tc>
              </w:tr>
              <w:tr w:rsidR="00A34DE1" w14:paraId="7C88454D" w14:textId="77777777" w:rsidTr="00505D04">
                <w:trPr>
                  <w:divId w:val="1367366198"/>
                  <w:cantSplit/>
                </w:trPr>
                <w:tc>
                  <w:tcPr>
                    <w:tcW w:w="393" w:type="pct"/>
                    <w:hideMark/>
                  </w:tcPr>
                  <w:p w14:paraId="4D878142" w14:textId="77777777" w:rsidR="00581332" w:rsidRDefault="00581332" w:rsidP="00505D04">
                    <w:pPr>
                      <w:pStyle w:val="Bibliography"/>
                      <w:widowControl w:val="0"/>
                      <w:spacing w:after="120"/>
                      <w:rPr>
                        <w:noProof/>
                      </w:rPr>
                    </w:pPr>
                    <w:r>
                      <w:rPr>
                        <w:noProof/>
                      </w:rPr>
                      <w:t xml:space="preserve">[5] </w:t>
                    </w:r>
                  </w:p>
                </w:tc>
                <w:tc>
                  <w:tcPr>
                    <w:tcW w:w="4607" w:type="pct"/>
                    <w:hideMark/>
                  </w:tcPr>
                  <w:p w14:paraId="6276A441" w14:textId="77777777" w:rsidR="00581332" w:rsidRDefault="00581332" w:rsidP="00505D04">
                    <w:pPr>
                      <w:pStyle w:val="Bibliography"/>
                      <w:widowControl w:val="0"/>
                      <w:spacing w:after="120"/>
                      <w:rPr>
                        <w:noProof/>
                      </w:rPr>
                    </w:pPr>
                    <w:r>
                      <w:rPr>
                        <w:noProof/>
                      </w:rPr>
                      <w:t>HM Government, “The Energy Act 2013,” 2013. [Online]. Available: https://www.legislation.gov.uk/ukpga/2013/32/contents/enacted.</w:t>
                    </w:r>
                  </w:p>
                </w:tc>
              </w:tr>
              <w:tr w:rsidR="00A34DE1" w14:paraId="593FAAB1" w14:textId="77777777" w:rsidTr="00505D04">
                <w:trPr>
                  <w:divId w:val="1367366198"/>
                  <w:cantSplit/>
                </w:trPr>
                <w:tc>
                  <w:tcPr>
                    <w:tcW w:w="393" w:type="pct"/>
                    <w:hideMark/>
                  </w:tcPr>
                  <w:p w14:paraId="12D78633" w14:textId="77777777" w:rsidR="00581332" w:rsidRDefault="00581332" w:rsidP="00505D04">
                    <w:pPr>
                      <w:pStyle w:val="Bibliography"/>
                      <w:widowControl w:val="0"/>
                      <w:spacing w:after="120"/>
                      <w:rPr>
                        <w:noProof/>
                      </w:rPr>
                    </w:pPr>
                    <w:r>
                      <w:rPr>
                        <w:noProof/>
                      </w:rPr>
                      <w:t xml:space="preserve">[6] </w:t>
                    </w:r>
                  </w:p>
                </w:tc>
                <w:tc>
                  <w:tcPr>
                    <w:tcW w:w="4607" w:type="pct"/>
                    <w:hideMark/>
                  </w:tcPr>
                  <w:p w14:paraId="7144034E" w14:textId="77777777" w:rsidR="00581332" w:rsidRDefault="00581332" w:rsidP="00505D04">
                    <w:pPr>
                      <w:pStyle w:val="Bibliography"/>
                      <w:widowControl w:val="0"/>
                      <w:spacing w:after="120"/>
                      <w:rPr>
                        <w:noProof/>
                      </w:rPr>
                    </w:pPr>
                    <w:r>
                      <w:rPr>
                        <w:noProof/>
                      </w:rPr>
                      <w:t>ONR, “NS-PER-POL-001 - Criterion for Delicensing Nuclear Sites (Issue 1),” 2021.</w:t>
                    </w:r>
                  </w:p>
                </w:tc>
              </w:tr>
              <w:tr w:rsidR="00A34DE1" w14:paraId="3DD62729" w14:textId="77777777" w:rsidTr="00505D04">
                <w:trPr>
                  <w:divId w:val="1367366198"/>
                  <w:cantSplit/>
                </w:trPr>
                <w:tc>
                  <w:tcPr>
                    <w:tcW w:w="393" w:type="pct"/>
                    <w:hideMark/>
                  </w:tcPr>
                  <w:p w14:paraId="7A841CBE" w14:textId="77777777" w:rsidR="00581332" w:rsidRDefault="00581332" w:rsidP="00505D04">
                    <w:pPr>
                      <w:pStyle w:val="Bibliography"/>
                      <w:widowControl w:val="0"/>
                      <w:spacing w:after="120"/>
                      <w:rPr>
                        <w:noProof/>
                      </w:rPr>
                    </w:pPr>
                    <w:r>
                      <w:rPr>
                        <w:noProof/>
                      </w:rPr>
                      <w:t xml:space="preserve">[7] </w:t>
                    </w:r>
                  </w:p>
                </w:tc>
                <w:tc>
                  <w:tcPr>
                    <w:tcW w:w="4607" w:type="pct"/>
                    <w:hideMark/>
                  </w:tcPr>
                  <w:p w14:paraId="394F9A10" w14:textId="77777777" w:rsidR="00581332" w:rsidRDefault="00581332" w:rsidP="00505D04">
                    <w:pPr>
                      <w:pStyle w:val="Bibliography"/>
                      <w:widowControl w:val="0"/>
                      <w:spacing w:after="120"/>
                      <w:rPr>
                        <w:noProof/>
                      </w:rPr>
                    </w:pPr>
                    <w:r>
                      <w:rPr>
                        <w:noProof/>
                      </w:rPr>
                      <w:t>ONR, “NS-GD-PER-019 - Guidance to inspectors on the interpretation and implementation of the ONR criterion of no danger for the delicensing of nuclear sites (Issue 1),” 2021.</w:t>
                    </w:r>
                  </w:p>
                </w:tc>
              </w:tr>
              <w:tr w:rsidR="00A34DE1" w14:paraId="550FCF79" w14:textId="77777777" w:rsidTr="00505D04">
                <w:trPr>
                  <w:divId w:val="1367366198"/>
                  <w:cantSplit/>
                </w:trPr>
                <w:tc>
                  <w:tcPr>
                    <w:tcW w:w="393" w:type="pct"/>
                    <w:hideMark/>
                  </w:tcPr>
                  <w:p w14:paraId="5BA93772" w14:textId="77777777" w:rsidR="00581332" w:rsidRDefault="00581332" w:rsidP="00505D04">
                    <w:pPr>
                      <w:pStyle w:val="Bibliography"/>
                      <w:widowControl w:val="0"/>
                      <w:spacing w:after="120"/>
                      <w:rPr>
                        <w:noProof/>
                      </w:rPr>
                    </w:pPr>
                    <w:r>
                      <w:rPr>
                        <w:noProof/>
                      </w:rPr>
                      <w:t xml:space="preserve">[8] </w:t>
                    </w:r>
                  </w:p>
                </w:tc>
                <w:tc>
                  <w:tcPr>
                    <w:tcW w:w="4607" w:type="pct"/>
                    <w:hideMark/>
                  </w:tcPr>
                  <w:p w14:paraId="05C0EB4E" w14:textId="77777777" w:rsidR="00581332" w:rsidRDefault="00581332" w:rsidP="00505D04">
                    <w:pPr>
                      <w:pStyle w:val="Bibliography"/>
                      <w:widowControl w:val="0"/>
                      <w:spacing w:after="120"/>
                      <w:rPr>
                        <w:noProof/>
                      </w:rPr>
                    </w:pPr>
                    <w:r>
                      <w:rPr>
                        <w:noProof/>
                      </w:rPr>
                      <w:t>ONR, “NS-PER-PROC-004 - Regulatory Processes for Delicensing Nuclear Licensed Sites (Issue 4),” 2024.</w:t>
                    </w:r>
                  </w:p>
                </w:tc>
              </w:tr>
              <w:tr w:rsidR="00A34DE1" w14:paraId="4E7F7BEE" w14:textId="77777777" w:rsidTr="00505D04">
                <w:trPr>
                  <w:divId w:val="1367366198"/>
                  <w:cantSplit/>
                </w:trPr>
                <w:tc>
                  <w:tcPr>
                    <w:tcW w:w="393" w:type="pct"/>
                    <w:hideMark/>
                  </w:tcPr>
                  <w:p w14:paraId="5A974161" w14:textId="77777777" w:rsidR="00581332" w:rsidRDefault="00581332" w:rsidP="00505D04">
                    <w:pPr>
                      <w:pStyle w:val="Bibliography"/>
                      <w:widowControl w:val="0"/>
                      <w:spacing w:after="120"/>
                      <w:rPr>
                        <w:noProof/>
                      </w:rPr>
                    </w:pPr>
                    <w:r>
                      <w:rPr>
                        <w:noProof/>
                      </w:rPr>
                      <w:t xml:space="preserve">[9] </w:t>
                    </w:r>
                  </w:p>
                </w:tc>
                <w:tc>
                  <w:tcPr>
                    <w:tcW w:w="4607" w:type="pct"/>
                    <w:hideMark/>
                  </w:tcPr>
                  <w:p w14:paraId="77B3F9B5" w14:textId="77777777" w:rsidR="00581332" w:rsidRDefault="00581332" w:rsidP="00505D04">
                    <w:pPr>
                      <w:pStyle w:val="Bibliography"/>
                      <w:widowControl w:val="0"/>
                      <w:spacing w:after="120"/>
                      <w:rPr>
                        <w:noProof/>
                      </w:rPr>
                    </w:pPr>
                    <w:r>
                      <w:rPr>
                        <w:noProof/>
                      </w:rPr>
                      <w:t>HM Government, “The Energy Act 2023,” 2023. [Online]. Available: https://www.legislation.gov.uk/ukpga/2023/52/contents/enacted.</w:t>
                    </w:r>
                  </w:p>
                </w:tc>
              </w:tr>
              <w:tr w:rsidR="00A34DE1" w14:paraId="6DAF528D" w14:textId="77777777" w:rsidTr="00505D04">
                <w:trPr>
                  <w:divId w:val="1367366198"/>
                  <w:cantSplit/>
                </w:trPr>
                <w:tc>
                  <w:tcPr>
                    <w:tcW w:w="393" w:type="pct"/>
                    <w:hideMark/>
                  </w:tcPr>
                  <w:p w14:paraId="0BC237F3" w14:textId="77777777" w:rsidR="00581332" w:rsidRDefault="00581332" w:rsidP="00505D04">
                    <w:pPr>
                      <w:pStyle w:val="Bibliography"/>
                      <w:widowControl w:val="0"/>
                      <w:spacing w:after="120"/>
                      <w:rPr>
                        <w:noProof/>
                      </w:rPr>
                    </w:pPr>
                    <w:r>
                      <w:rPr>
                        <w:noProof/>
                      </w:rPr>
                      <w:t xml:space="preserve">[10] </w:t>
                    </w:r>
                  </w:p>
                </w:tc>
                <w:tc>
                  <w:tcPr>
                    <w:tcW w:w="4607" w:type="pct"/>
                    <w:hideMark/>
                  </w:tcPr>
                  <w:p w14:paraId="34E91AA1" w14:textId="77777777" w:rsidR="00581332" w:rsidRDefault="00581332" w:rsidP="00505D04">
                    <w:pPr>
                      <w:pStyle w:val="Bibliography"/>
                      <w:widowControl w:val="0"/>
                      <w:spacing w:after="120"/>
                      <w:rPr>
                        <w:noProof/>
                      </w:rPr>
                    </w:pPr>
                    <w:r>
                      <w:rPr>
                        <w:noProof/>
                      </w:rPr>
                      <w:t>HM Government, “The Nuclear Installations Regulations 1971,” 1971. [Online]. Available: https://www.legislation.gov.uk/uksi/1971/381/contents/made.</w:t>
                    </w:r>
                  </w:p>
                </w:tc>
              </w:tr>
              <w:tr w:rsidR="00A34DE1" w14:paraId="51F1F34E" w14:textId="77777777" w:rsidTr="00505D04">
                <w:trPr>
                  <w:divId w:val="1367366198"/>
                  <w:cantSplit/>
                </w:trPr>
                <w:tc>
                  <w:tcPr>
                    <w:tcW w:w="393" w:type="pct"/>
                    <w:hideMark/>
                  </w:tcPr>
                  <w:p w14:paraId="79FED0AC" w14:textId="77777777" w:rsidR="00581332" w:rsidRDefault="00581332" w:rsidP="00505D04">
                    <w:pPr>
                      <w:pStyle w:val="Bibliography"/>
                      <w:widowControl w:val="0"/>
                      <w:spacing w:after="120"/>
                      <w:rPr>
                        <w:noProof/>
                      </w:rPr>
                    </w:pPr>
                    <w:r>
                      <w:rPr>
                        <w:noProof/>
                      </w:rPr>
                      <w:t xml:space="preserve">[11] </w:t>
                    </w:r>
                  </w:p>
                </w:tc>
                <w:tc>
                  <w:tcPr>
                    <w:tcW w:w="4607" w:type="pct"/>
                    <w:hideMark/>
                  </w:tcPr>
                  <w:p w14:paraId="3F985497" w14:textId="77777777" w:rsidR="00581332" w:rsidRDefault="00581332" w:rsidP="00505D04">
                    <w:pPr>
                      <w:pStyle w:val="Bibliography"/>
                      <w:widowControl w:val="0"/>
                      <w:spacing w:after="120"/>
                      <w:rPr>
                        <w:noProof/>
                      </w:rPr>
                    </w:pPr>
                    <w:r>
                      <w:rPr>
                        <w:noProof/>
                      </w:rPr>
                      <w:t xml:space="preserve">HSE, Working with Ionising Radiation. Ionising Radiations Regulations 2017. Approved Code of Practice and Guidance, L121 Second Edition, March 2018, ISBN 978-0-7176-6662-1, HSE, 2018. </w:t>
                    </w:r>
                  </w:p>
                </w:tc>
              </w:tr>
              <w:tr w:rsidR="00A34DE1" w14:paraId="4E48A641" w14:textId="77777777" w:rsidTr="00505D04">
                <w:trPr>
                  <w:divId w:val="1367366198"/>
                  <w:cantSplit/>
                </w:trPr>
                <w:tc>
                  <w:tcPr>
                    <w:tcW w:w="393" w:type="pct"/>
                    <w:hideMark/>
                  </w:tcPr>
                  <w:p w14:paraId="4A0FD7FE" w14:textId="77777777" w:rsidR="00581332" w:rsidRDefault="00581332" w:rsidP="00505D04">
                    <w:pPr>
                      <w:pStyle w:val="Bibliography"/>
                      <w:widowControl w:val="0"/>
                      <w:spacing w:after="120"/>
                      <w:rPr>
                        <w:noProof/>
                      </w:rPr>
                    </w:pPr>
                    <w:r>
                      <w:rPr>
                        <w:noProof/>
                      </w:rPr>
                      <w:t xml:space="preserve">[12] </w:t>
                    </w:r>
                  </w:p>
                </w:tc>
                <w:tc>
                  <w:tcPr>
                    <w:tcW w:w="4607" w:type="pct"/>
                    <w:hideMark/>
                  </w:tcPr>
                  <w:p w14:paraId="5CDE1140" w14:textId="77777777" w:rsidR="00581332" w:rsidRDefault="00581332" w:rsidP="00505D04">
                    <w:pPr>
                      <w:pStyle w:val="Bibliography"/>
                      <w:widowControl w:val="0"/>
                      <w:spacing w:after="120"/>
                      <w:rPr>
                        <w:noProof/>
                      </w:rPr>
                    </w:pPr>
                    <w:r>
                      <w:rPr>
                        <w:noProof/>
                      </w:rPr>
                      <w:t>HM Government, “The Environmental Permitting (England and Wales) Regulations 2016 (as amended),” 2016. [Online]. Available: https://www.legislation.gov.uk/uksi/2016/1154/pdfs/uksi_20161154_en.pdf.</w:t>
                    </w:r>
                  </w:p>
                </w:tc>
              </w:tr>
              <w:tr w:rsidR="00A34DE1" w14:paraId="618D7026" w14:textId="77777777" w:rsidTr="00505D04">
                <w:trPr>
                  <w:divId w:val="1367366198"/>
                  <w:cantSplit/>
                </w:trPr>
                <w:tc>
                  <w:tcPr>
                    <w:tcW w:w="393" w:type="pct"/>
                    <w:hideMark/>
                  </w:tcPr>
                  <w:p w14:paraId="541EFBEE" w14:textId="77777777" w:rsidR="00581332" w:rsidRDefault="00581332" w:rsidP="00505D04">
                    <w:pPr>
                      <w:pStyle w:val="Bibliography"/>
                      <w:widowControl w:val="0"/>
                      <w:spacing w:after="120"/>
                      <w:rPr>
                        <w:noProof/>
                      </w:rPr>
                    </w:pPr>
                    <w:r>
                      <w:rPr>
                        <w:noProof/>
                      </w:rPr>
                      <w:t xml:space="preserve">[13] </w:t>
                    </w:r>
                  </w:p>
                </w:tc>
                <w:tc>
                  <w:tcPr>
                    <w:tcW w:w="4607" w:type="pct"/>
                    <w:hideMark/>
                  </w:tcPr>
                  <w:p w14:paraId="43B3BE04" w14:textId="77777777" w:rsidR="00581332" w:rsidRDefault="00581332" w:rsidP="00505D04">
                    <w:pPr>
                      <w:pStyle w:val="Bibliography"/>
                      <w:widowControl w:val="0"/>
                      <w:spacing w:after="120"/>
                      <w:rPr>
                        <w:noProof/>
                      </w:rPr>
                    </w:pPr>
                    <w:r>
                      <w:rPr>
                        <w:noProof/>
                      </w:rPr>
                      <w:t>HM Government, “The Environmental Authorisations (Scotland) Regulations 2018,” 2018. [Online]. Available: https://www.legislation.gov.uk/sdsi/2018/9780111039014/contents.</w:t>
                    </w:r>
                  </w:p>
                </w:tc>
              </w:tr>
              <w:tr w:rsidR="00A34DE1" w14:paraId="2F25F954" w14:textId="77777777" w:rsidTr="00505D04">
                <w:trPr>
                  <w:divId w:val="1367366198"/>
                  <w:cantSplit/>
                </w:trPr>
                <w:tc>
                  <w:tcPr>
                    <w:tcW w:w="393" w:type="pct"/>
                    <w:hideMark/>
                  </w:tcPr>
                  <w:p w14:paraId="0A1453B3" w14:textId="77777777" w:rsidR="00581332" w:rsidRDefault="00581332" w:rsidP="00505D04">
                    <w:pPr>
                      <w:pStyle w:val="Bibliography"/>
                      <w:widowControl w:val="0"/>
                      <w:spacing w:after="120"/>
                      <w:rPr>
                        <w:noProof/>
                      </w:rPr>
                    </w:pPr>
                    <w:r>
                      <w:rPr>
                        <w:noProof/>
                      </w:rPr>
                      <w:lastRenderedPageBreak/>
                      <w:t xml:space="preserve">[14] </w:t>
                    </w:r>
                  </w:p>
                </w:tc>
                <w:tc>
                  <w:tcPr>
                    <w:tcW w:w="4607" w:type="pct"/>
                    <w:hideMark/>
                  </w:tcPr>
                  <w:p w14:paraId="48DBB119" w14:textId="77777777" w:rsidR="00581332" w:rsidRDefault="00581332" w:rsidP="00505D04">
                    <w:pPr>
                      <w:pStyle w:val="Bibliography"/>
                      <w:widowControl w:val="0"/>
                      <w:spacing w:after="120"/>
                      <w:rPr>
                        <w:noProof/>
                      </w:rPr>
                    </w:pPr>
                    <w:r>
                      <w:rPr>
                        <w:noProof/>
                      </w:rPr>
                      <w:t>HM Government, “Health and Safety at Work etc. Act 1974 (as amended),” 1974. [Online]. Available: https://www.legislation.gov.uk/ukpga/1974/37/contents.</w:t>
                    </w:r>
                  </w:p>
                </w:tc>
              </w:tr>
              <w:tr w:rsidR="00A34DE1" w14:paraId="45443DBA" w14:textId="77777777" w:rsidTr="00505D04">
                <w:trPr>
                  <w:divId w:val="1367366198"/>
                  <w:cantSplit/>
                </w:trPr>
                <w:tc>
                  <w:tcPr>
                    <w:tcW w:w="393" w:type="pct"/>
                    <w:hideMark/>
                  </w:tcPr>
                  <w:p w14:paraId="5EDADEE9" w14:textId="77777777" w:rsidR="00581332" w:rsidRDefault="00581332" w:rsidP="00505D04">
                    <w:pPr>
                      <w:pStyle w:val="Bibliography"/>
                      <w:widowControl w:val="0"/>
                      <w:spacing w:after="120"/>
                      <w:rPr>
                        <w:noProof/>
                      </w:rPr>
                    </w:pPr>
                    <w:r>
                      <w:rPr>
                        <w:noProof/>
                      </w:rPr>
                      <w:t xml:space="preserve">[15] </w:t>
                    </w:r>
                  </w:p>
                </w:tc>
                <w:tc>
                  <w:tcPr>
                    <w:tcW w:w="4607" w:type="pct"/>
                    <w:hideMark/>
                  </w:tcPr>
                  <w:p w14:paraId="0DA670DB" w14:textId="77777777" w:rsidR="00581332" w:rsidRDefault="00581332" w:rsidP="00505D04">
                    <w:pPr>
                      <w:pStyle w:val="Bibliography"/>
                      <w:widowControl w:val="0"/>
                      <w:spacing w:after="120"/>
                      <w:rPr>
                        <w:noProof/>
                      </w:rPr>
                    </w:pPr>
                    <w:r>
                      <w:rPr>
                        <w:noProof/>
                      </w:rPr>
                      <w:t>WENRA, “Decommissioning Safety Reference Levels, Version 2.2,” April 2015. [Online]. Available: https://www.wenra.eu/sites/default/files/publications/wgwd_report_decommissioning_srls_v2_2.pdf.</w:t>
                    </w:r>
                  </w:p>
                </w:tc>
              </w:tr>
              <w:tr w:rsidR="00A34DE1" w14:paraId="1AF0A44D" w14:textId="77777777" w:rsidTr="00505D04">
                <w:trPr>
                  <w:divId w:val="1367366198"/>
                  <w:cantSplit/>
                </w:trPr>
                <w:tc>
                  <w:tcPr>
                    <w:tcW w:w="393" w:type="pct"/>
                    <w:hideMark/>
                  </w:tcPr>
                  <w:p w14:paraId="6600DCF0" w14:textId="77777777" w:rsidR="00581332" w:rsidRDefault="00581332" w:rsidP="00505D04">
                    <w:pPr>
                      <w:pStyle w:val="Bibliography"/>
                      <w:widowControl w:val="0"/>
                      <w:spacing w:after="120"/>
                      <w:rPr>
                        <w:noProof/>
                      </w:rPr>
                    </w:pPr>
                    <w:r>
                      <w:rPr>
                        <w:noProof/>
                      </w:rPr>
                      <w:t xml:space="preserve">[16] </w:t>
                    </w:r>
                  </w:p>
                </w:tc>
                <w:tc>
                  <w:tcPr>
                    <w:tcW w:w="4607" w:type="pct"/>
                    <w:hideMark/>
                  </w:tcPr>
                  <w:p w14:paraId="4A28D142" w14:textId="77777777" w:rsidR="00581332" w:rsidRDefault="00581332" w:rsidP="00505D04">
                    <w:pPr>
                      <w:pStyle w:val="Bibliography"/>
                      <w:widowControl w:val="0"/>
                      <w:spacing w:after="120"/>
                      <w:rPr>
                        <w:noProof/>
                      </w:rPr>
                    </w:pPr>
                    <w:r>
                      <w:rPr>
                        <w:noProof/>
                      </w:rPr>
                      <w:t>IAEA, “IAEA, General Safety Requirements Part 3 - Radiation Protection and Safety of Radiation Sources: International Basic Safety Standards,” IAEA, Vienna, 2014.</w:t>
                    </w:r>
                  </w:p>
                </w:tc>
              </w:tr>
              <w:tr w:rsidR="00A34DE1" w14:paraId="59A7980A" w14:textId="77777777" w:rsidTr="00505D04">
                <w:trPr>
                  <w:divId w:val="1367366198"/>
                  <w:cantSplit/>
                </w:trPr>
                <w:tc>
                  <w:tcPr>
                    <w:tcW w:w="393" w:type="pct"/>
                    <w:hideMark/>
                  </w:tcPr>
                  <w:p w14:paraId="1CDBD0DA" w14:textId="77777777" w:rsidR="00581332" w:rsidRDefault="00581332" w:rsidP="00505D04">
                    <w:pPr>
                      <w:pStyle w:val="Bibliography"/>
                      <w:widowControl w:val="0"/>
                      <w:spacing w:after="120"/>
                      <w:rPr>
                        <w:noProof/>
                      </w:rPr>
                    </w:pPr>
                    <w:r>
                      <w:rPr>
                        <w:noProof/>
                      </w:rPr>
                      <w:t xml:space="preserve">[17] </w:t>
                    </w:r>
                  </w:p>
                </w:tc>
                <w:tc>
                  <w:tcPr>
                    <w:tcW w:w="4607" w:type="pct"/>
                    <w:hideMark/>
                  </w:tcPr>
                  <w:p w14:paraId="37E7FB7C" w14:textId="77777777" w:rsidR="00581332" w:rsidRDefault="00581332" w:rsidP="00505D04">
                    <w:pPr>
                      <w:pStyle w:val="Bibliography"/>
                      <w:widowControl w:val="0"/>
                      <w:spacing w:after="120"/>
                      <w:rPr>
                        <w:noProof/>
                      </w:rPr>
                    </w:pPr>
                    <w:r>
                      <w:rPr>
                        <w:noProof/>
                      </w:rPr>
                      <w:t>IAEA, “General Safety Guide No.17 - Application of the Concept of Exemption,” IAEA, Vienna, 2023.</w:t>
                    </w:r>
                  </w:p>
                </w:tc>
              </w:tr>
              <w:tr w:rsidR="00A34DE1" w14:paraId="4EA53938" w14:textId="77777777" w:rsidTr="00505D04">
                <w:trPr>
                  <w:divId w:val="1367366198"/>
                  <w:cantSplit/>
                </w:trPr>
                <w:tc>
                  <w:tcPr>
                    <w:tcW w:w="393" w:type="pct"/>
                    <w:hideMark/>
                  </w:tcPr>
                  <w:p w14:paraId="0D80A93A" w14:textId="77777777" w:rsidR="00581332" w:rsidRDefault="00581332" w:rsidP="00505D04">
                    <w:pPr>
                      <w:pStyle w:val="Bibliography"/>
                      <w:widowControl w:val="0"/>
                      <w:spacing w:after="120"/>
                      <w:rPr>
                        <w:noProof/>
                      </w:rPr>
                    </w:pPr>
                    <w:r>
                      <w:rPr>
                        <w:noProof/>
                      </w:rPr>
                      <w:t xml:space="preserve">[18] </w:t>
                    </w:r>
                  </w:p>
                </w:tc>
                <w:tc>
                  <w:tcPr>
                    <w:tcW w:w="4607" w:type="pct"/>
                    <w:hideMark/>
                  </w:tcPr>
                  <w:p w14:paraId="1BE8D7A3" w14:textId="77777777" w:rsidR="00581332" w:rsidRDefault="00581332" w:rsidP="00505D04">
                    <w:pPr>
                      <w:pStyle w:val="Bibliography"/>
                      <w:widowControl w:val="0"/>
                      <w:spacing w:after="120"/>
                      <w:rPr>
                        <w:noProof/>
                      </w:rPr>
                    </w:pPr>
                    <w:r>
                      <w:rPr>
                        <w:noProof/>
                      </w:rPr>
                      <w:t>IAEA, “General Safety Guide No.18 - Application of the Concept of Clearance,” IAEA, Vienna, 2023.</w:t>
                    </w:r>
                  </w:p>
                </w:tc>
              </w:tr>
              <w:tr w:rsidR="00A34DE1" w14:paraId="0816575F" w14:textId="77777777" w:rsidTr="00505D04">
                <w:trPr>
                  <w:divId w:val="1367366198"/>
                  <w:cantSplit/>
                </w:trPr>
                <w:tc>
                  <w:tcPr>
                    <w:tcW w:w="393" w:type="pct"/>
                    <w:hideMark/>
                  </w:tcPr>
                  <w:p w14:paraId="3390EB3E" w14:textId="77777777" w:rsidR="00581332" w:rsidRDefault="00581332" w:rsidP="00505D04">
                    <w:pPr>
                      <w:pStyle w:val="Bibliography"/>
                      <w:widowControl w:val="0"/>
                      <w:spacing w:after="120"/>
                      <w:rPr>
                        <w:noProof/>
                      </w:rPr>
                    </w:pPr>
                    <w:r>
                      <w:rPr>
                        <w:noProof/>
                      </w:rPr>
                      <w:t xml:space="preserve">[19] </w:t>
                    </w:r>
                  </w:p>
                </w:tc>
                <w:tc>
                  <w:tcPr>
                    <w:tcW w:w="4607" w:type="pct"/>
                    <w:hideMark/>
                  </w:tcPr>
                  <w:p w14:paraId="599D7174" w14:textId="77777777" w:rsidR="00581332" w:rsidRDefault="00581332" w:rsidP="00505D04">
                    <w:pPr>
                      <w:pStyle w:val="Bibliography"/>
                      <w:widowControl w:val="0"/>
                      <w:spacing w:after="120"/>
                      <w:rPr>
                        <w:noProof/>
                      </w:rPr>
                    </w:pPr>
                    <w:r>
                      <w:rPr>
                        <w:noProof/>
                      </w:rPr>
                      <w:t>IAEA, “Specific Safety Guide No.47 - Decommissioning of Nuclear Power Plants, Research Reactors and Other Nuclear Fuel Cycle Facilties,” IAEA, Vienna, 2018.</w:t>
                    </w:r>
                  </w:p>
                </w:tc>
              </w:tr>
              <w:tr w:rsidR="00A34DE1" w14:paraId="4BBDE76F" w14:textId="77777777" w:rsidTr="00505D04">
                <w:trPr>
                  <w:divId w:val="1367366198"/>
                  <w:cantSplit/>
                </w:trPr>
                <w:tc>
                  <w:tcPr>
                    <w:tcW w:w="393" w:type="pct"/>
                    <w:hideMark/>
                  </w:tcPr>
                  <w:p w14:paraId="5C227E06" w14:textId="77777777" w:rsidR="00581332" w:rsidRDefault="00581332" w:rsidP="00505D04">
                    <w:pPr>
                      <w:pStyle w:val="Bibliography"/>
                      <w:widowControl w:val="0"/>
                      <w:spacing w:after="120"/>
                      <w:rPr>
                        <w:noProof/>
                      </w:rPr>
                    </w:pPr>
                    <w:r>
                      <w:rPr>
                        <w:noProof/>
                      </w:rPr>
                      <w:t xml:space="preserve">[20] </w:t>
                    </w:r>
                  </w:p>
                </w:tc>
                <w:tc>
                  <w:tcPr>
                    <w:tcW w:w="4607" w:type="pct"/>
                    <w:hideMark/>
                  </w:tcPr>
                  <w:p w14:paraId="324993F5" w14:textId="77777777" w:rsidR="00581332" w:rsidRDefault="00581332" w:rsidP="00505D04">
                    <w:pPr>
                      <w:pStyle w:val="Bibliography"/>
                      <w:widowControl w:val="0"/>
                      <w:spacing w:after="120"/>
                      <w:rPr>
                        <w:noProof/>
                      </w:rPr>
                    </w:pPr>
                    <w:r>
                      <w:rPr>
                        <w:noProof/>
                      </w:rPr>
                      <w:t>IAEA, “Specific Safety Guide No.49 - Decommissioining of Medical, Industrial and Research Facilities,” IAEA, Vienna, 2019.</w:t>
                    </w:r>
                  </w:p>
                </w:tc>
              </w:tr>
              <w:tr w:rsidR="00A34DE1" w14:paraId="4F43366A" w14:textId="77777777" w:rsidTr="00505D04">
                <w:trPr>
                  <w:divId w:val="1367366198"/>
                  <w:cantSplit/>
                </w:trPr>
                <w:tc>
                  <w:tcPr>
                    <w:tcW w:w="393" w:type="pct"/>
                    <w:hideMark/>
                  </w:tcPr>
                  <w:p w14:paraId="4F646776" w14:textId="77777777" w:rsidR="00581332" w:rsidRDefault="00581332" w:rsidP="00505D04">
                    <w:pPr>
                      <w:pStyle w:val="Bibliography"/>
                      <w:widowControl w:val="0"/>
                      <w:spacing w:after="120"/>
                      <w:rPr>
                        <w:noProof/>
                      </w:rPr>
                    </w:pPr>
                    <w:r>
                      <w:rPr>
                        <w:noProof/>
                      </w:rPr>
                      <w:t xml:space="preserve">[21] </w:t>
                    </w:r>
                  </w:p>
                </w:tc>
                <w:tc>
                  <w:tcPr>
                    <w:tcW w:w="4607" w:type="pct"/>
                    <w:hideMark/>
                  </w:tcPr>
                  <w:p w14:paraId="59E20769" w14:textId="77777777" w:rsidR="00581332" w:rsidRDefault="00581332" w:rsidP="00505D04">
                    <w:pPr>
                      <w:pStyle w:val="Bibliography"/>
                      <w:widowControl w:val="0"/>
                      <w:spacing w:after="120"/>
                      <w:rPr>
                        <w:noProof/>
                      </w:rPr>
                    </w:pPr>
                    <w:r>
                      <w:rPr>
                        <w:noProof/>
                      </w:rPr>
                      <w:t>IAEA, “Safety Guide No.WS-G-5.1 - Release of Sites from Regulatory Control on Termination of Practice,” IAEA, Vienna, 2006.</w:t>
                    </w:r>
                  </w:p>
                </w:tc>
              </w:tr>
              <w:tr w:rsidR="00A34DE1" w14:paraId="03375A84" w14:textId="77777777" w:rsidTr="00505D04">
                <w:trPr>
                  <w:divId w:val="1367366198"/>
                  <w:cantSplit/>
                </w:trPr>
                <w:tc>
                  <w:tcPr>
                    <w:tcW w:w="393" w:type="pct"/>
                    <w:hideMark/>
                  </w:tcPr>
                  <w:p w14:paraId="608B503B" w14:textId="77777777" w:rsidR="00581332" w:rsidRDefault="00581332" w:rsidP="00505D04">
                    <w:pPr>
                      <w:pStyle w:val="Bibliography"/>
                      <w:widowControl w:val="0"/>
                      <w:spacing w:after="120"/>
                      <w:rPr>
                        <w:noProof/>
                      </w:rPr>
                    </w:pPr>
                    <w:r>
                      <w:rPr>
                        <w:noProof/>
                      </w:rPr>
                      <w:t xml:space="preserve">[22] </w:t>
                    </w:r>
                  </w:p>
                </w:tc>
                <w:tc>
                  <w:tcPr>
                    <w:tcW w:w="4607" w:type="pct"/>
                    <w:hideMark/>
                  </w:tcPr>
                  <w:p w14:paraId="5B91CB76" w14:textId="77777777" w:rsidR="00581332" w:rsidRDefault="00581332" w:rsidP="00505D04">
                    <w:pPr>
                      <w:pStyle w:val="Bibliography"/>
                      <w:widowControl w:val="0"/>
                      <w:spacing w:after="120"/>
                      <w:rPr>
                        <w:noProof/>
                      </w:rPr>
                    </w:pPr>
                    <w:r>
                      <w:rPr>
                        <w:noProof/>
                      </w:rPr>
                      <w:t>HM Government, “Scope of and exmptions from the radioactive substances legislation in England, Wales and Northern Ireland guidance doucment,” August 2018. [Online]. Available: https://assets.publishing.service.gov.uk/media/5b643627e5274a76f73e20ce/RSL_Guidance_update_BEIS_format_v5_180803.pdf.</w:t>
                    </w:r>
                  </w:p>
                </w:tc>
              </w:tr>
              <w:tr w:rsidR="00A34DE1" w14:paraId="6848C41B" w14:textId="77777777" w:rsidTr="00505D04">
                <w:trPr>
                  <w:divId w:val="1367366198"/>
                  <w:cantSplit/>
                </w:trPr>
                <w:tc>
                  <w:tcPr>
                    <w:tcW w:w="393" w:type="pct"/>
                    <w:hideMark/>
                  </w:tcPr>
                  <w:p w14:paraId="7D983BF6" w14:textId="77777777" w:rsidR="00581332" w:rsidRDefault="00581332" w:rsidP="00505D04">
                    <w:pPr>
                      <w:pStyle w:val="Bibliography"/>
                      <w:widowControl w:val="0"/>
                      <w:spacing w:after="120"/>
                      <w:rPr>
                        <w:noProof/>
                      </w:rPr>
                    </w:pPr>
                    <w:r>
                      <w:rPr>
                        <w:noProof/>
                      </w:rPr>
                      <w:t xml:space="preserve">[23] </w:t>
                    </w:r>
                  </w:p>
                </w:tc>
                <w:tc>
                  <w:tcPr>
                    <w:tcW w:w="4607" w:type="pct"/>
                    <w:hideMark/>
                  </w:tcPr>
                  <w:p w14:paraId="54414D8C" w14:textId="77777777" w:rsidR="00581332" w:rsidRDefault="00581332" w:rsidP="00505D04">
                    <w:pPr>
                      <w:pStyle w:val="Bibliography"/>
                      <w:widowControl w:val="0"/>
                      <w:spacing w:after="120"/>
                      <w:rPr>
                        <w:noProof/>
                      </w:rPr>
                    </w:pPr>
                    <w:r>
                      <w:rPr>
                        <w:noProof/>
                      </w:rPr>
                      <w:t xml:space="preserve">NRPB, W-36 - Methodology for Estimating the Doses to Members of the Public from the Future Use of Land Previously Contaminated with Radioactivity (ISBN 0-85951-508-7), 2003. </w:t>
                    </w:r>
                  </w:p>
                </w:tc>
              </w:tr>
              <w:tr w:rsidR="00A34DE1" w14:paraId="08ADFE25" w14:textId="77777777" w:rsidTr="00505D04">
                <w:trPr>
                  <w:divId w:val="1367366198"/>
                  <w:cantSplit/>
                </w:trPr>
                <w:tc>
                  <w:tcPr>
                    <w:tcW w:w="393" w:type="pct"/>
                    <w:hideMark/>
                  </w:tcPr>
                  <w:p w14:paraId="4A982E41" w14:textId="77777777" w:rsidR="00581332" w:rsidRDefault="00581332" w:rsidP="00505D04">
                    <w:pPr>
                      <w:pStyle w:val="Bibliography"/>
                      <w:widowControl w:val="0"/>
                      <w:spacing w:after="120"/>
                      <w:rPr>
                        <w:noProof/>
                      </w:rPr>
                    </w:pPr>
                    <w:r>
                      <w:rPr>
                        <w:noProof/>
                      </w:rPr>
                      <w:t xml:space="preserve">[24] </w:t>
                    </w:r>
                  </w:p>
                </w:tc>
                <w:tc>
                  <w:tcPr>
                    <w:tcW w:w="4607" w:type="pct"/>
                    <w:hideMark/>
                  </w:tcPr>
                  <w:p w14:paraId="4B334369" w14:textId="77777777" w:rsidR="00581332" w:rsidRDefault="00581332" w:rsidP="00505D04">
                    <w:pPr>
                      <w:pStyle w:val="Bibliography"/>
                      <w:widowControl w:val="0"/>
                      <w:spacing w:after="120"/>
                      <w:rPr>
                        <w:noProof/>
                      </w:rPr>
                    </w:pPr>
                    <w:r>
                      <w:rPr>
                        <w:noProof/>
                      </w:rPr>
                      <w:t>HM Government, “Environmental Protection Act 1990,” 1990. [Online]. Available: https://www.legislation.gov.uk/ukpga/1990/43/contents.</w:t>
                    </w:r>
                  </w:p>
                </w:tc>
              </w:tr>
              <w:tr w:rsidR="00A34DE1" w14:paraId="79AF7AF4" w14:textId="77777777" w:rsidTr="00505D04">
                <w:trPr>
                  <w:divId w:val="1367366198"/>
                  <w:cantSplit/>
                </w:trPr>
                <w:tc>
                  <w:tcPr>
                    <w:tcW w:w="393" w:type="pct"/>
                    <w:hideMark/>
                  </w:tcPr>
                  <w:p w14:paraId="15FB939B" w14:textId="77777777" w:rsidR="00581332" w:rsidRDefault="00581332" w:rsidP="00505D04">
                    <w:pPr>
                      <w:pStyle w:val="Bibliography"/>
                      <w:widowControl w:val="0"/>
                      <w:spacing w:after="120"/>
                      <w:rPr>
                        <w:noProof/>
                      </w:rPr>
                    </w:pPr>
                    <w:r>
                      <w:rPr>
                        <w:noProof/>
                      </w:rPr>
                      <w:t xml:space="preserve">[25] </w:t>
                    </w:r>
                  </w:p>
                </w:tc>
                <w:tc>
                  <w:tcPr>
                    <w:tcW w:w="4607" w:type="pct"/>
                    <w:hideMark/>
                  </w:tcPr>
                  <w:p w14:paraId="6F5A63B1" w14:textId="77777777" w:rsidR="00581332" w:rsidRDefault="00581332" w:rsidP="00505D04">
                    <w:pPr>
                      <w:pStyle w:val="Bibliography"/>
                      <w:widowControl w:val="0"/>
                      <w:spacing w:after="120"/>
                      <w:rPr>
                        <w:noProof/>
                      </w:rPr>
                    </w:pPr>
                    <w:r>
                      <w:rPr>
                        <w:noProof/>
                      </w:rPr>
                      <w:t>PHE, “CRCE-RAD-003-2020 - Principles for assessing the radiological impact of land contaminated with radioactivity,” 2020. [Online]. Available: https://www.ukhsa-protectionservices.org.uk/cms/assets/gfx/content/resource_4934cs4dc3ed26a2.pdf.</w:t>
                    </w:r>
                  </w:p>
                </w:tc>
              </w:tr>
              <w:tr w:rsidR="00A34DE1" w14:paraId="4C2119FD" w14:textId="77777777" w:rsidTr="00505D04">
                <w:trPr>
                  <w:divId w:val="1367366198"/>
                  <w:cantSplit/>
                </w:trPr>
                <w:tc>
                  <w:tcPr>
                    <w:tcW w:w="393" w:type="pct"/>
                    <w:hideMark/>
                  </w:tcPr>
                  <w:p w14:paraId="5C0CD401" w14:textId="77777777" w:rsidR="00581332" w:rsidRDefault="00581332" w:rsidP="00505D04">
                    <w:pPr>
                      <w:pStyle w:val="Bibliography"/>
                      <w:widowControl w:val="0"/>
                      <w:spacing w:after="120"/>
                      <w:rPr>
                        <w:noProof/>
                      </w:rPr>
                    </w:pPr>
                    <w:r>
                      <w:rPr>
                        <w:noProof/>
                      </w:rPr>
                      <w:t xml:space="preserve">[26] </w:t>
                    </w:r>
                  </w:p>
                </w:tc>
                <w:tc>
                  <w:tcPr>
                    <w:tcW w:w="4607" w:type="pct"/>
                    <w:hideMark/>
                  </w:tcPr>
                  <w:p w14:paraId="732E23D2" w14:textId="77777777" w:rsidR="00581332" w:rsidRDefault="00581332" w:rsidP="00505D04">
                    <w:pPr>
                      <w:pStyle w:val="Bibliography"/>
                      <w:widowControl w:val="0"/>
                      <w:spacing w:after="120"/>
                      <w:rPr>
                        <w:noProof/>
                      </w:rPr>
                    </w:pPr>
                    <w:r>
                      <w:rPr>
                        <w:noProof/>
                      </w:rPr>
                      <w:t>“Safegrounds,” [Online]. Available: http://www.safegrounds.com/.</w:t>
                    </w:r>
                  </w:p>
                </w:tc>
              </w:tr>
              <w:tr w:rsidR="00A34DE1" w14:paraId="1A39AEDF" w14:textId="77777777" w:rsidTr="00505D04">
                <w:trPr>
                  <w:divId w:val="1367366198"/>
                  <w:cantSplit/>
                </w:trPr>
                <w:tc>
                  <w:tcPr>
                    <w:tcW w:w="393" w:type="pct"/>
                    <w:hideMark/>
                  </w:tcPr>
                  <w:p w14:paraId="2CEECB90" w14:textId="77777777" w:rsidR="00581332" w:rsidRDefault="00581332" w:rsidP="00505D04">
                    <w:pPr>
                      <w:pStyle w:val="Bibliography"/>
                      <w:widowControl w:val="0"/>
                      <w:spacing w:after="120"/>
                      <w:rPr>
                        <w:noProof/>
                      </w:rPr>
                    </w:pPr>
                    <w:r>
                      <w:rPr>
                        <w:noProof/>
                      </w:rPr>
                      <w:lastRenderedPageBreak/>
                      <w:t xml:space="preserve">[27] </w:t>
                    </w:r>
                  </w:p>
                </w:tc>
                <w:tc>
                  <w:tcPr>
                    <w:tcW w:w="4607" w:type="pct"/>
                    <w:hideMark/>
                  </w:tcPr>
                  <w:p w14:paraId="6004262E" w14:textId="77777777" w:rsidR="00581332" w:rsidRDefault="00581332" w:rsidP="00505D04">
                    <w:pPr>
                      <w:pStyle w:val="Bibliography"/>
                      <w:widowControl w:val="0"/>
                      <w:spacing w:after="120"/>
                      <w:rPr>
                        <w:noProof/>
                      </w:rPr>
                    </w:pPr>
                    <w:r>
                      <w:rPr>
                        <w:noProof/>
                      </w:rPr>
                      <w:t>EPA, “Multi-Agency Radiation Survey and Site Investigation Manual (MARSSIM),” [Online]. Available: https://www.epa.gov/radiation/multi-agency-radiation-survey-and-site-investigation-manual-marssim.</w:t>
                    </w:r>
                  </w:p>
                </w:tc>
              </w:tr>
              <w:tr w:rsidR="00A34DE1" w14:paraId="29D99F39" w14:textId="77777777" w:rsidTr="00505D04">
                <w:trPr>
                  <w:divId w:val="1367366198"/>
                  <w:cantSplit/>
                </w:trPr>
                <w:tc>
                  <w:tcPr>
                    <w:tcW w:w="393" w:type="pct"/>
                    <w:hideMark/>
                  </w:tcPr>
                  <w:p w14:paraId="31F653AA" w14:textId="77777777" w:rsidR="00581332" w:rsidRDefault="00581332" w:rsidP="00505D04">
                    <w:pPr>
                      <w:pStyle w:val="Bibliography"/>
                      <w:widowControl w:val="0"/>
                      <w:spacing w:after="120"/>
                      <w:rPr>
                        <w:noProof/>
                      </w:rPr>
                    </w:pPr>
                    <w:r>
                      <w:rPr>
                        <w:noProof/>
                      </w:rPr>
                      <w:t xml:space="preserve">[28] </w:t>
                    </w:r>
                  </w:p>
                </w:tc>
                <w:tc>
                  <w:tcPr>
                    <w:tcW w:w="4607" w:type="pct"/>
                    <w:hideMark/>
                  </w:tcPr>
                  <w:p w14:paraId="51F47281" w14:textId="77777777" w:rsidR="00581332" w:rsidRDefault="00581332" w:rsidP="00505D04">
                    <w:pPr>
                      <w:pStyle w:val="Bibliography"/>
                      <w:widowControl w:val="0"/>
                      <w:spacing w:after="120"/>
                      <w:rPr>
                        <w:noProof/>
                      </w:rPr>
                    </w:pPr>
                    <w:r>
                      <w:rPr>
                        <w:noProof/>
                      </w:rPr>
                      <w:t xml:space="preserve">RSR guidance for nuclear sites undergoing decommissioning, February 2024, https://www.gov.uk/government/publications/the-decommissioning-of-nuclear-facilities/rsr-guidance-for-nuclear-sites-undergoing-decommissioning#:~:text=You%20will%20have%20a%20decom. </w:t>
                    </w:r>
                  </w:p>
                </w:tc>
              </w:tr>
              <w:tr w:rsidR="00A34DE1" w14:paraId="120518C2" w14:textId="77777777" w:rsidTr="00505D04">
                <w:trPr>
                  <w:divId w:val="1367366198"/>
                  <w:cantSplit/>
                </w:trPr>
                <w:tc>
                  <w:tcPr>
                    <w:tcW w:w="393" w:type="pct"/>
                    <w:hideMark/>
                  </w:tcPr>
                  <w:p w14:paraId="1CBE17D0" w14:textId="77777777" w:rsidR="00581332" w:rsidRDefault="00581332" w:rsidP="00505D04">
                    <w:pPr>
                      <w:pStyle w:val="Bibliography"/>
                      <w:widowControl w:val="0"/>
                      <w:spacing w:after="120"/>
                      <w:rPr>
                        <w:noProof/>
                      </w:rPr>
                    </w:pPr>
                    <w:r>
                      <w:rPr>
                        <w:noProof/>
                      </w:rPr>
                      <w:t xml:space="preserve">[29] </w:t>
                    </w:r>
                  </w:p>
                </w:tc>
                <w:tc>
                  <w:tcPr>
                    <w:tcW w:w="4607" w:type="pct"/>
                    <w:hideMark/>
                  </w:tcPr>
                  <w:p w14:paraId="43A452B1" w14:textId="77777777" w:rsidR="00581332" w:rsidRDefault="00581332" w:rsidP="00505D04">
                    <w:pPr>
                      <w:pStyle w:val="Bibliography"/>
                      <w:widowControl w:val="0"/>
                      <w:spacing w:after="120"/>
                      <w:rPr>
                        <w:noProof/>
                      </w:rPr>
                    </w:pPr>
                    <w:r>
                      <w:rPr>
                        <w:noProof/>
                      </w:rPr>
                      <w:t>SEPA, “Management of radioactive waste from decommissioning of nuclear sites: Guidance on Requirements for Release from Radioactive Substances Regulation, Version 1,,” July 2018. [Online]. Available: https://www.sepa.org.uk/media/365893/2018-07-17-grr-publication-v1-0.pdf.</w:t>
                    </w:r>
                  </w:p>
                </w:tc>
              </w:tr>
              <w:tr w:rsidR="00A34DE1" w14:paraId="27B67F43" w14:textId="77777777" w:rsidTr="00505D04">
                <w:trPr>
                  <w:divId w:val="1367366198"/>
                  <w:cantSplit/>
                </w:trPr>
                <w:tc>
                  <w:tcPr>
                    <w:tcW w:w="393" w:type="pct"/>
                    <w:hideMark/>
                  </w:tcPr>
                  <w:p w14:paraId="689396C0" w14:textId="77777777" w:rsidR="00581332" w:rsidRDefault="00581332" w:rsidP="00505D04">
                    <w:pPr>
                      <w:pStyle w:val="Bibliography"/>
                      <w:widowControl w:val="0"/>
                      <w:spacing w:after="120"/>
                      <w:rPr>
                        <w:noProof/>
                      </w:rPr>
                    </w:pPr>
                    <w:r>
                      <w:rPr>
                        <w:noProof/>
                      </w:rPr>
                      <w:t xml:space="preserve">[30] </w:t>
                    </w:r>
                  </w:p>
                </w:tc>
                <w:tc>
                  <w:tcPr>
                    <w:tcW w:w="4607" w:type="pct"/>
                    <w:hideMark/>
                  </w:tcPr>
                  <w:p w14:paraId="010B4083" w14:textId="77777777" w:rsidR="00581332" w:rsidRDefault="00581332" w:rsidP="00505D04">
                    <w:pPr>
                      <w:pStyle w:val="Bibliography"/>
                      <w:widowControl w:val="0"/>
                      <w:spacing w:after="120"/>
                      <w:rPr>
                        <w:noProof/>
                      </w:rPr>
                    </w:pPr>
                    <w:r>
                      <w:rPr>
                        <w:noProof/>
                      </w:rPr>
                      <w:t>ONR, “Memorandum of Understandings,” [Online]. Available: https://www.onr.org.uk/agency-agreements-mou.htm.</w:t>
                    </w:r>
                  </w:p>
                </w:tc>
              </w:tr>
              <w:tr w:rsidR="00A34DE1" w14:paraId="2C307E14" w14:textId="77777777" w:rsidTr="00505D04">
                <w:trPr>
                  <w:divId w:val="1367366198"/>
                  <w:cantSplit/>
                </w:trPr>
                <w:tc>
                  <w:tcPr>
                    <w:tcW w:w="393" w:type="pct"/>
                    <w:hideMark/>
                  </w:tcPr>
                  <w:p w14:paraId="1F3D047C" w14:textId="77777777" w:rsidR="00581332" w:rsidRDefault="00581332" w:rsidP="00505D04">
                    <w:pPr>
                      <w:pStyle w:val="Bibliography"/>
                      <w:widowControl w:val="0"/>
                      <w:spacing w:after="120"/>
                      <w:rPr>
                        <w:noProof/>
                      </w:rPr>
                    </w:pPr>
                    <w:r>
                      <w:rPr>
                        <w:noProof/>
                      </w:rPr>
                      <w:t xml:space="preserve">[31] </w:t>
                    </w:r>
                  </w:p>
                </w:tc>
                <w:tc>
                  <w:tcPr>
                    <w:tcW w:w="4607" w:type="pct"/>
                    <w:hideMark/>
                  </w:tcPr>
                  <w:p w14:paraId="02E1D18B" w14:textId="77777777" w:rsidR="00581332" w:rsidRDefault="00581332" w:rsidP="00505D04">
                    <w:pPr>
                      <w:pStyle w:val="Bibliography"/>
                      <w:widowControl w:val="0"/>
                      <w:spacing w:after="120"/>
                      <w:rPr>
                        <w:noProof/>
                      </w:rPr>
                    </w:pPr>
                    <w:r>
                      <w:rPr>
                        <w:noProof/>
                      </w:rPr>
                      <w:t xml:space="preserve">EC, Practical use of the Concepts of Clearance and Exemption Part 1, EC RP 122, 2000. </w:t>
                    </w:r>
                  </w:p>
                </w:tc>
              </w:tr>
              <w:tr w:rsidR="00A34DE1" w14:paraId="77E7955B" w14:textId="77777777" w:rsidTr="00505D04">
                <w:trPr>
                  <w:divId w:val="1367366198"/>
                  <w:cantSplit/>
                </w:trPr>
                <w:tc>
                  <w:tcPr>
                    <w:tcW w:w="393" w:type="pct"/>
                    <w:hideMark/>
                  </w:tcPr>
                  <w:p w14:paraId="5B61866B" w14:textId="77777777" w:rsidR="00581332" w:rsidRDefault="00581332" w:rsidP="00505D04">
                    <w:pPr>
                      <w:pStyle w:val="Bibliography"/>
                      <w:widowControl w:val="0"/>
                      <w:spacing w:after="120"/>
                      <w:rPr>
                        <w:noProof/>
                      </w:rPr>
                    </w:pPr>
                    <w:r>
                      <w:rPr>
                        <w:noProof/>
                      </w:rPr>
                      <w:t xml:space="preserve">[32] </w:t>
                    </w:r>
                  </w:p>
                </w:tc>
                <w:tc>
                  <w:tcPr>
                    <w:tcW w:w="4607" w:type="pct"/>
                    <w:hideMark/>
                  </w:tcPr>
                  <w:p w14:paraId="476E9219" w14:textId="77777777" w:rsidR="00581332" w:rsidRDefault="00581332" w:rsidP="00505D04">
                    <w:pPr>
                      <w:pStyle w:val="Bibliography"/>
                      <w:widowControl w:val="0"/>
                      <w:spacing w:after="120"/>
                      <w:rPr>
                        <w:noProof/>
                      </w:rPr>
                    </w:pPr>
                    <w:r>
                      <w:rPr>
                        <w:noProof/>
                      </w:rPr>
                      <w:t>NRPB, “Volume 9 No 2, Radiological Protection Objectives for Land Contaminated with Radionuclides (ISBN 0-85951-416-1),” 1998. [Online]. Available: https://webarchive.nationalarchives.gov.uk/ukgwa/20140722194429/http://www.hpa.org.uk/Publications/Radiation/NPRBArchive/DocumentsOfTheNRPB/Absd0902/.</w:t>
                    </w:r>
                  </w:p>
                </w:tc>
              </w:tr>
              <w:tr w:rsidR="00A34DE1" w14:paraId="288DF562" w14:textId="77777777" w:rsidTr="00505D04">
                <w:trPr>
                  <w:divId w:val="1367366198"/>
                  <w:cantSplit/>
                </w:trPr>
                <w:tc>
                  <w:tcPr>
                    <w:tcW w:w="393" w:type="pct"/>
                    <w:hideMark/>
                  </w:tcPr>
                  <w:p w14:paraId="0A59C0D1" w14:textId="77777777" w:rsidR="00581332" w:rsidRDefault="00581332" w:rsidP="00505D04">
                    <w:pPr>
                      <w:pStyle w:val="Bibliography"/>
                      <w:widowControl w:val="0"/>
                      <w:spacing w:after="120"/>
                      <w:rPr>
                        <w:noProof/>
                      </w:rPr>
                    </w:pPr>
                    <w:r>
                      <w:rPr>
                        <w:noProof/>
                      </w:rPr>
                      <w:t xml:space="preserve">[33] </w:t>
                    </w:r>
                  </w:p>
                </w:tc>
                <w:tc>
                  <w:tcPr>
                    <w:tcW w:w="4607" w:type="pct"/>
                    <w:hideMark/>
                  </w:tcPr>
                  <w:p w14:paraId="3046D609" w14:textId="77777777" w:rsidR="00581332" w:rsidRDefault="00581332" w:rsidP="00505D04">
                    <w:pPr>
                      <w:pStyle w:val="Bibliography"/>
                      <w:widowControl w:val="0"/>
                      <w:spacing w:after="120"/>
                      <w:rPr>
                        <w:noProof/>
                      </w:rPr>
                    </w:pPr>
                    <w:r>
                      <w:rPr>
                        <w:noProof/>
                      </w:rPr>
                      <w:t>NI SDF, “The UK Nuclear Industry Guide To Clearance and Radiological Sentencing: Pricnicples, Process and Practices,” May 2017. [Online]. Available: https://www.nuclearinst.com/write/MediaUploads/SDF%20documents/CEWG/Clearance_and_Exemption_GPG_2.01.pdf.</w:t>
                    </w:r>
                  </w:p>
                </w:tc>
              </w:tr>
              <w:tr w:rsidR="00A34DE1" w14:paraId="4B62ACB4" w14:textId="77777777" w:rsidTr="00505D04">
                <w:trPr>
                  <w:divId w:val="1367366198"/>
                  <w:cantSplit/>
                </w:trPr>
                <w:tc>
                  <w:tcPr>
                    <w:tcW w:w="393" w:type="pct"/>
                    <w:hideMark/>
                  </w:tcPr>
                  <w:p w14:paraId="690B6978" w14:textId="77777777" w:rsidR="00581332" w:rsidRDefault="00581332" w:rsidP="00505D04">
                    <w:pPr>
                      <w:pStyle w:val="Bibliography"/>
                      <w:widowControl w:val="0"/>
                      <w:spacing w:after="120"/>
                      <w:rPr>
                        <w:noProof/>
                      </w:rPr>
                    </w:pPr>
                    <w:r>
                      <w:rPr>
                        <w:noProof/>
                      </w:rPr>
                      <w:t xml:space="preserve">[34] </w:t>
                    </w:r>
                  </w:p>
                </w:tc>
                <w:tc>
                  <w:tcPr>
                    <w:tcW w:w="4607" w:type="pct"/>
                    <w:hideMark/>
                  </w:tcPr>
                  <w:p w14:paraId="75DA1B9F" w14:textId="77777777" w:rsidR="00581332" w:rsidRDefault="00581332" w:rsidP="00505D04">
                    <w:pPr>
                      <w:pStyle w:val="Bibliography"/>
                      <w:widowControl w:val="0"/>
                      <w:spacing w:after="120"/>
                      <w:rPr>
                        <w:noProof/>
                      </w:rPr>
                    </w:pPr>
                    <w:r>
                      <w:rPr>
                        <w:noProof/>
                      </w:rPr>
                      <w:t xml:space="preserve">Public Health England (PHE), PHE-CRCE-026 - Ionising radiation exposure of the UK population:2010 review (ISBN 978-0-85951-783-6), PHE, 2016. </w:t>
                    </w:r>
                  </w:p>
                </w:tc>
              </w:tr>
              <w:tr w:rsidR="00A34DE1" w14:paraId="5F0786AC" w14:textId="77777777" w:rsidTr="00505D04">
                <w:trPr>
                  <w:divId w:val="1367366198"/>
                  <w:cantSplit/>
                </w:trPr>
                <w:tc>
                  <w:tcPr>
                    <w:tcW w:w="393" w:type="pct"/>
                    <w:hideMark/>
                  </w:tcPr>
                  <w:p w14:paraId="23885EAB" w14:textId="77777777" w:rsidR="00581332" w:rsidRDefault="00581332" w:rsidP="00505D04">
                    <w:pPr>
                      <w:pStyle w:val="Bibliography"/>
                      <w:widowControl w:val="0"/>
                      <w:spacing w:after="120"/>
                      <w:rPr>
                        <w:noProof/>
                      </w:rPr>
                    </w:pPr>
                    <w:r>
                      <w:rPr>
                        <w:noProof/>
                      </w:rPr>
                      <w:t xml:space="preserve">[35] </w:t>
                    </w:r>
                  </w:p>
                </w:tc>
                <w:tc>
                  <w:tcPr>
                    <w:tcW w:w="4607" w:type="pct"/>
                    <w:hideMark/>
                  </w:tcPr>
                  <w:p w14:paraId="41A48177" w14:textId="77777777" w:rsidR="00581332" w:rsidRDefault="00581332" w:rsidP="00505D04">
                    <w:pPr>
                      <w:pStyle w:val="Bibliography"/>
                      <w:widowControl w:val="0"/>
                      <w:spacing w:after="120"/>
                      <w:rPr>
                        <w:noProof/>
                      </w:rPr>
                    </w:pPr>
                    <w:r>
                      <w:rPr>
                        <w:noProof/>
                      </w:rPr>
                      <w:t xml:space="preserve">National Radiological Protection Board, Living with Radiation, 5th edition (ISBN 0-85951-419-6), 1998. </w:t>
                    </w:r>
                  </w:p>
                </w:tc>
              </w:tr>
            </w:tbl>
            <w:p w14:paraId="3EC66986" w14:textId="77777777" w:rsidR="00581332" w:rsidRDefault="00581332">
              <w:pPr>
                <w:divId w:val="1367366198"/>
                <w:rPr>
                  <w:rFonts w:eastAsia="Times New Roman"/>
                  <w:noProof/>
                </w:rPr>
              </w:pPr>
            </w:p>
            <w:p w14:paraId="316D8711" w14:textId="175304A5" w:rsidR="00F7687C" w:rsidRDefault="00F7687C">
              <w:r>
                <w:rPr>
                  <w:b/>
                  <w:bCs/>
                  <w:noProof/>
                </w:rPr>
                <w:fldChar w:fldCharType="end"/>
              </w:r>
            </w:p>
          </w:sdtContent>
        </w:sdt>
      </w:sdtContent>
    </w:sdt>
    <w:p w14:paraId="642059BF" w14:textId="77777777" w:rsidR="00B44B82" w:rsidRPr="00B44B82" w:rsidRDefault="00B44B82" w:rsidP="00B44B82">
      <w:bookmarkStart w:id="13" w:name="_Toc89268373"/>
    </w:p>
    <w:p w14:paraId="3167CFF2" w14:textId="77777777" w:rsidR="002A2B28" w:rsidRDefault="002A2B28" w:rsidP="00904152">
      <w:pPr>
        <w:pStyle w:val="Heading1"/>
        <w:numPr>
          <w:ilvl w:val="0"/>
          <w:numId w:val="0"/>
        </w:numPr>
        <w:ind w:left="851" w:hanging="851"/>
        <w:sectPr w:rsidR="002A2B28" w:rsidSect="000B2BCD">
          <w:pgSz w:w="11906" w:h="16838" w:code="9"/>
          <w:pgMar w:top="1440" w:right="1440" w:bottom="1440" w:left="1440" w:header="397" w:footer="397" w:gutter="0"/>
          <w:cols w:space="312"/>
          <w:docGrid w:linePitch="360"/>
        </w:sectPr>
      </w:pPr>
      <w:bookmarkStart w:id="14" w:name="_Toc189579465"/>
    </w:p>
    <w:p w14:paraId="4323F5E0" w14:textId="2A13BCAF" w:rsidR="00F7687C" w:rsidRPr="003B4701" w:rsidRDefault="00F7687C" w:rsidP="00904152">
      <w:pPr>
        <w:pStyle w:val="Heading1"/>
        <w:numPr>
          <w:ilvl w:val="0"/>
          <w:numId w:val="0"/>
        </w:numPr>
        <w:ind w:left="851" w:hanging="851"/>
      </w:pPr>
      <w:r w:rsidRPr="003B4701">
        <w:lastRenderedPageBreak/>
        <w:t xml:space="preserve">Glossary and </w:t>
      </w:r>
      <w:r w:rsidR="001C19DE">
        <w:t>a</w:t>
      </w:r>
      <w:r w:rsidRPr="003B4701">
        <w:t>bbreviations</w:t>
      </w:r>
      <w:bookmarkEnd w:id="13"/>
      <w:bookmarkEnd w:id="14"/>
    </w:p>
    <w:p w14:paraId="363FBDD1" w14:textId="77777777" w:rsidR="00B44B82" w:rsidRPr="00DD2850" w:rsidRDefault="00B44B82" w:rsidP="00B44B82">
      <w:pPr>
        <w:tabs>
          <w:tab w:val="left" w:pos="1440"/>
        </w:tabs>
        <w:spacing w:line="240" w:lineRule="auto"/>
        <w:contextualSpacing/>
      </w:pPr>
      <w:r w:rsidRPr="00DD2850">
        <w:t>ACoP</w:t>
      </w:r>
      <w:r w:rsidRPr="00DD2850">
        <w:tab/>
        <w:t xml:space="preserve">Approved Code of Practice </w:t>
      </w:r>
    </w:p>
    <w:p w14:paraId="4661D30B" w14:textId="77777777" w:rsidR="00B44B82" w:rsidRPr="00195BF7" w:rsidRDefault="00B44B82" w:rsidP="00B44B82">
      <w:pPr>
        <w:tabs>
          <w:tab w:val="left" w:pos="1440"/>
        </w:tabs>
        <w:spacing w:line="240" w:lineRule="auto"/>
        <w:contextualSpacing/>
      </w:pPr>
      <w:r w:rsidRPr="00195BF7">
        <w:t>ALARP</w:t>
      </w:r>
      <w:r w:rsidRPr="00195BF7">
        <w:tab/>
        <w:t xml:space="preserve">As Low As Reasonably Practicable </w:t>
      </w:r>
    </w:p>
    <w:p w14:paraId="31EA17DA" w14:textId="77777777" w:rsidR="00B44B82" w:rsidRPr="00EE7EA4" w:rsidRDefault="00B44B82" w:rsidP="00B44B82">
      <w:pPr>
        <w:tabs>
          <w:tab w:val="left" w:pos="1440"/>
        </w:tabs>
        <w:spacing w:line="240" w:lineRule="auto"/>
        <w:contextualSpacing/>
      </w:pPr>
      <w:r w:rsidRPr="00EE7EA4">
        <w:t>DNSR</w:t>
      </w:r>
      <w:r w:rsidRPr="00EE7EA4">
        <w:tab/>
        <w:t>Defence Nuclear Safety Regulator</w:t>
      </w:r>
    </w:p>
    <w:p w14:paraId="7CA1CB47" w14:textId="77777777" w:rsidR="00B44B82" w:rsidRPr="006C71B2" w:rsidRDefault="00B44B82" w:rsidP="00B44B82">
      <w:pPr>
        <w:tabs>
          <w:tab w:val="left" w:pos="1440"/>
        </w:tabs>
        <w:spacing w:line="240" w:lineRule="auto"/>
        <w:contextualSpacing/>
      </w:pPr>
      <w:r w:rsidRPr="006C71B2">
        <w:t>EASR18</w:t>
      </w:r>
      <w:r w:rsidRPr="006C71B2">
        <w:tab/>
        <w:t>Environmental Authorisations (Scotland) Regulations 2018</w:t>
      </w:r>
    </w:p>
    <w:p w14:paraId="66004EC3" w14:textId="77777777" w:rsidR="00B44B82" w:rsidRPr="006C71B2" w:rsidRDefault="00B44B82" w:rsidP="00B44B82">
      <w:pPr>
        <w:tabs>
          <w:tab w:val="left" w:pos="1440"/>
        </w:tabs>
        <w:spacing w:line="240" w:lineRule="auto"/>
        <w:ind w:left="1440" w:hanging="1440"/>
        <w:contextualSpacing/>
      </w:pPr>
      <w:r w:rsidRPr="006C71B2">
        <w:t>EPR16</w:t>
      </w:r>
      <w:r w:rsidRPr="006C71B2">
        <w:tab/>
        <w:t>The Environmental Permitting (England and Wales) Regulations 2016 (as amended)</w:t>
      </w:r>
    </w:p>
    <w:p w14:paraId="34DA854D" w14:textId="77777777" w:rsidR="00B44B82" w:rsidRPr="00DD2850" w:rsidRDefault="00B44B82" w:rsidP="00B44B82">
      <w:pPr>
        <w:tabs>
          <w:tab w:val="left" w:pos="1440"/>
        </w:tabs>
        <w:spacing w:line="240" w:lineRule="auto"/>
        <w:contextualSpacing/>
      </w:pPr>
      <w:r w:rsidRPr="00DD2850">
        <w:t>GSG17</w:t>
      </w:r>
      <w:r w:rsidRPr="00DD2850">
        <w:tab/>
        <w:t>General Safety Guide No.17</w:t>
      </w:r>
    </w:p>
    <w:p w14:paraId="3E38BB7B" w14:textId="77777777" w:rsidR="00B44B82" w:rsidRPr="00DD2850" w:rsidRDefault="00B44B82" w:rsidP="00B44B82">
      <w:pPr>
        <w:tabs>
          <w:tab w:val="left" w:pos="1440"/>
        </w:tabs>
        <w:spacing w:line="240" w:lineRule="auto"/>
        <w:contextualSpacing/>
      </w:pPr>
      <w:r w:rsidRPr="00DD2850">
        <w:t>GSR Part 3</w:t>
      </w:r>
      <w:r w:rsidRPr="00DD2850">
        <w:tab/>
        <w:t>General Safety Requirements Part 3</w:t>
      </w:r>
    </w:p>
    <w:p w14:paraId="707470B3" w14:textId="3C6026D1" w:rsidR="004D0039" w:rsidRPr="004D0039" w:rsidRDefault="004D0039" w:rsidP="00B44B82">
      <w:pPr>
        <w:tabs>
          <w:tab w:val="left" w:pos="1440"/>
        </w:tabs>
        <w:spacing w:line="240" w:lineRule="auto"/>
        <w:contextualSpacing/>
      </w:pPr>
      <w:r w:rsidRPr="004D0039">
        <w:t>HSE</w:t>
      </w:r>
      <w:r w:rsidRPr="004D0039">
        <w:tab/>
        <w:t xml:space="preserve">Health and Safety Executive </w:t>
      </w:r>
    </w:p>
    <w:p w14:paraId="217D35BA" w14:textId="77777777" w:rsidR="00B44B82" w:rsidRPr="006C71B2" w:rsidRDefault="00B44B82" w:rsidP="00B44B82">
      <w:pPr>
        <w:tabs>
          <w:tab w:val="left" w:pos="1440"/>
        </w:tabs>
        <w:spacing w:line="240" w:lineRule="auto"/>
        <w:contextualSpacing/>
      </w:pPr>
      <w:r w:rsidRPr="006C71B2">
        <w:t>HSWA74</w:t>
      </w:r>
      <w:r w:rsidRPr="006C71B2">
        <w:tab/>
        <w:t>Health and Safety at Work etc. Act 1974 (as amended)</w:t>
      </w:r>
    </w:p>
    <w:p w14:paraId="5B82E474" w14:textId="77777777" w:rsidR="00B44B82" w:rsidRPr="006C71B2" w:rsidRDefault="00B44B82" w:rsidP="00B44B82">
      <w:pPr>
        <w:tabs>
          <w:tab w:val="left" w:pos="1440"/>
        </w:tabs>
        <w:spacing w:line="240" w:lineRule="auto"/>
        <w:contextualSpacing/>
      </w:pPr>
      <w:r w:rsidRPr="006C71B2">
        <w:t>IAEA</w:t>
      </w:r>
      <w:r w:rsidRPr="006C71B2">
        <w:tab/>
        <w:t>International Atomic Energy Agency</w:t>
      </w:r>
    </w:p>
    <w:p w14:paraId="478325B5" w14:textId="77777777" w:rsidR="00B44B82" w:rsidRPr="006C71B2" w:rsidRDefault="00B44B82" w:rsidP="00B44B82">
      <w:pPr>
        <w:tabs>
          <w:tab w:val="left" w:pos="1440"/>
        </w:tabs>
        <w:spacing w:line="240" w:lineRule="auto"/>
        <w:contextualSpacing/>
      </w:pPr>
      <w:r w:rsidRPr="006C71B2">
        <w:t>IRR17</w:t>
      </w:r>
      <w:r w:rsidRPr="006C71B2">
        <w:tab/>
        <w:t>Ionising Radiations Regulations 2017</w:t>
      </w:r>
    </w:p>
    <w:p w14:paraId="0D4A7C5B" w14:textId="0692DA00" w:rsidR="00B44B82" w:rsidRPr="00BC7B43" w:rsidRDefault="00B44B82" w:rsidP="00B44B82">
      <w:pPr>
        <w:tabs>
          <w:tab w:val="left" w:pos="1440"/>
        </w:tabs>
        <w:spacing w:line="240" w:lineRule="auto"/>
        <w:contextualSpacing/>
      </w:pPr>
      <w:r w:rsidRPr="00BC7B43">
        <w:t>LA</w:t>
      </w:r>
      <w:r w:rsidRPr="00BC7B43">
        <w:tab/>
        <w:t>Local Authori</w:t>
      </w:r>
      <w:r w:rsidR="00BC7B43" w:rsidRPr="00BC7B43">
        <w:t>ty</w:t>
      </w:r>
    </w:p>
    <w:p w14:paraId="7D915C3D" w14:textId="77777777" w:rsidR="00B44B82" w:rsidRPr="008D1C0E" w:rsidRDefault="00B44B82" w:rsidP="00B44B82">
      <w:pPr>
        <w:tabs>
          <w:tab w:val="left" w:pos="1440"/>
        </w:tabs>
        <w:spacing w:line="240" w:lineRule="auto"/>
        <w:contextualSpacing/>
      </w:pPr>
      <w:r w:rsidRPr="008D1C0E">
        <w:t>LC</w:t>
      </w:r>
      <w:r w:rsidRPr="008D1C0E">
        <w:tab/>
        <w:t>Licence Condition</w:t>
      </w:r>
    </w:p>
    <w:p w14:paraId="4C8C7E4E" w14:textId="77777777" w:rsidR="00B44B82" w:rsidRPr="00CD22B1" w:rsidRDefault="00B44B82" w:rsidP="00B44B82">
      <w:pPr>
        <w:tabs>
          <w:tab w:val="left" w:pos="1440"/>
        </w:tabs>
        <w:spacing w:line="240" w:lineRule="auto"/>
        <w:contextualSpacing/>
      </w:pPr>
      <w:r w:rsidRPr="00CD22B1">
        <w:t>MARSSIM</w:t>
      </w:r>
      <w:r w:rsidRPr="00CD22B1">
        <w:tab/>
        <w:t>Multi-Agency Radiation Survey and Site Investigation Manual</w:t>
      </w:r>
    </w:p>
    <w:p w14:paraId="7A5AA9D2" w14:textId="7FEB8F4B" w:rsidR="006B44AD" w:rsidRDefault="006B44AD" w:rsidP="00B44B82">
      <w:pPr>
        <w:tabs>
          <w:tab w:val="left" w:pos="1440"/>
        </w:tabs>
        <w:spacing w:line="240" w:lineRule="auto"/>
        <w:contextualSpacing/>
      </w:pPr>
      <w:r>
        <w:t>MoU(s)</w:t>
      </w:r>
      <w:r>
        <w:tab/>
        <w:t>Memorandum of Understanding(s)</w:t>
      </w:r>
    </w:p>
    <w:p w14:paraId="44D650C6" w14:textId="0A18F423" w:rsidR="00B44B82" w:rsidRPr="003862E3" w:rsidRDefault="00B44B82" w:rsidP="00B44B82">
      <w:pPr>
        <w:tabs>
          <w:tab w:val="left" w:pos="1440"/>
        </w:tabs>
        <w:spacing w:line="240" w:lineRule="auto"/>
        <w:contextualSpacing/>
      </w:pPr>
      <w:r w:rsidRPr="003862E3">
        <w:t>NIA65</w:t>
      </w:r>
      <w:r w:rsidRPr="003862E3">
        <w:tab/>
        <w:t>Nuclear Installations Act 1965 (as amended)</w:t>
      </w:r>
    </w:p>
    <w:p w14:paraId="6CE59EFC" w14:textId="77777777" w:rsidR="00B44B82" w:rsidRPr="003862E3" w:rsidRDefault="00B44B82" w:rsidP="00B44B82">
      <w:pPr>
        <w:tabs>
          <w:tab w:val="left" w:pos="1440"/>
        </w:tabs>
        <w:spacing w:line="240" w:lineRule="auto"/>
        <w:contextualSpacing/>
      </w:pPr>
      <w:r w:rsidRPr="006C71B2">
        <w:t>NIR71</w:t>
      </w:r>
      <w:r w:rsidRPr="006C71B2">
        <w:tab/>
        <w:t>Nuclear Installations Regulations 1971</w:t>
      </w:r>
    </w:p>
    <w:p w14:paraId="40110855" w14:textId="77777777" w:rsidR="00B44B82" w:rsidRPr="003862E3" w:rsidRDefault="00B44B82" w:rsidP="00B44B82">
      <w:pPr>
        <w:tabs>
          <w:tab w:val="left" w:pos="1440"/>
        </w:tabs>
        <w:spacing w:line="240" w:lineRule="auto"/>
        <w:contextualSpacing/>
      </w:pPr>
      <w:r w:rsidRPr="003862E3">
        <w:t>NLS</w:t>
      </w:r>
      <w:r w:rsidRPr="003862E3">
        <w:tab/>
        <w:t>Nuclear Licenced Site</w:t>
      </w:r>
    </w:p>
    <w:p w14:paraId="6879762D" w14:textId="77777777" w:rsidR="00B44B82" w:rsidRPr="001A2C6E" w:rsidRDefault="00B44B82" w:rsidP="00B44B82">
      <w:pPr>
        <w:tabs>
          <w:tab w:val="left" w:pos="1440"/>
        </w:tabs>
        <w:spacing w:line="240" w:lineRule="auto"/>
        <w:contextualSpacing/>
      </w:pPr>
      <w:r w:rsidRPr="001A2C6E">
        <w:t>NORM</w:t>
      </w:r>
      <w:r w:rsidRPr="001A2C6E">
        <w:tab/>
        <w:t xml:space="preserve">Naturally Occurring Radioactive Material </w:t>
      </w:r>
    </w:p>
    <w:p w14:paraId="1A06750D" w14:textId="7D2DA370" w:rsidR="006C71B2" w:rsidRPr="0047177E" w:rsidRDefault="006C71B2" w:rsidP="00B44B82">
      <w:pPr>
        <w:tabs>
          <w:tab w:val="left" w:pos="1440"/>
        </w:tabs>
        <w:spacing w:line="240" w:lineRule="auto"/>
        <w:contextualSpacing/>
        <w:rPr>
          <w:highlight w:val="yellow"/>
        </w:rPr>
      </w:pPr>
      <w:r w:rsidRPr="006C71B2">
        <w:t>OECD</w:t>
      </w:r>
      <w:r w:rsidRPr="006C71B2">
        <w:tab/>
      </w:r>
      <w:r w:rsidRPr="00DA2418">
        <w:t>Organisation for Economic Co-operation</w:t>
      </w:r>
    </w:p>
    <w:p w14:paraId="16B77943" w14:textId="77777777" w:rsidR="00B44B82" w:rsidRPr="005C19A1" w:rsidRDefault="00B44B82" w:rsidP="00B44B82">
      <w:pPr>
        <w:tabs>
          <w:tab w:val="left" w:pos="1440"/>
        </w:tabs>
        <w:spacing w:line="240" w:lineRule="auto"/>
        <w:ind w:left="1440" w:hanging="1440"/>
        <w:contextualSpacing/>
      </w:pPr>
      <w:r w:rsidRPr="005C19A1">
        <w:t>ORR</w:t>
      </w:r>
      <w:r w:rsidRPr="005C19A1">
        <w:tab/>
        <w:t>Office for Road and Rail</w:t>
      </w:r>
    </w:p>
    <w:p w14:paraId="17B3BBCF" w14:textId="77777777" w:rsidR="00B44B82" w:rsidRPr="005C19A1" w:rsidRDefault="00B44B82" w:rsidP="00B44B82">
      <w:pPr>
        <w:tabs>
          <w:tab w:val="left" w:pos="1440"/>
        </w:tabs>
        <w:spacing w:line="240" w:lineRule="auto"/>
        <w:contextualSpacing/>
      </w:pPr>
      <w:r w:rsidRPr="005C19A1">
        <w:t>RCL</w:t>
      </w:r>
      <w:r w:rsidRPr="005C19A1">
        <w:tab/>
        <w:t>Radioactive Contaminated Land</w:t>
      </w:r>
    </w:p>
    <w:p w14:paraId="4CE0E2DA" w14:textId="77777777" w:rsidR="00B44B82" w:rsidRPr="0047177E" w:rsidRDefault="00B44B82" w:rsidP="00B44B82">
      <w:pPr>
        <w:tabs>
          <w:tab w:val="left" w:pos="1440"/>
        </w:tabs>
        <w:spacing w:line="240" w:lineRule="auto"/>
        <w:contextualSpacing/>
      </w:pPr>
      <w:r w:rsidRPr="0047177E">
        <w:t>SAP</w:t>
      </w:r>
      <w:r w:rsidRPr="0047177E">
        <w:tab/>
        <w:t xml:space="preserve">Safety Assessment Principle(s) </w:t>
      </w:r>
    </w:p>
    <w:p w14:paraId="6A6B9A03" w14:textId="77777777" w:rsidR="00B44B82" w:rsidRPr="006C71B2" w:rsidRDefault="00B44B82" w:rsidP="00B44B82">
      <w:pPr>
        <w:tabs>
          <w:tab w:val="left" w:pos="1440"/>
        </w:tabs>
        <w:spacing w:line="240" w:lineRule="auto"/>
        <w:contextualSpacing/>
      </w:pPr>
      <w:r w:rsidRPr="006C71B2">
        <w:t>SFAIRP</w:t>
      </w:r>
      <w:r w:rsidRPr="006C71B2">
        <w:tab/>
        <w:t>So Far As Is Reasonably Practicable</w:t>
      </w:r>
    </w:p>
    <w:p w14:paraId="3D00569B" w14:textId="77777777" w:rsidR="00B44B82" w:rsidRPr="001A2C6E" w:rsidRDefault="00B44B82" w:rsidP="00B44B82">
      <w:pPr>
        <w:tabs>
          <w:tab w:val="left" w:pos="1440"/>
        </w:tabs>
        <w:spacing w:line="240" w:lineRule="auto"/>
        <w:contextualSpacing/>
      </w:pPr>
      <w:r w:rsidRPr="001A2C6E">
        <w:t>SWESC</w:t>
      </w:r>
      <w:r w:rsidRPr="001A2C6E">
        <w:tab/>
        <w:t>Site-Wide Environmental Safety Case</w:t>
      </w:r>
    </w:p>
    <w:p w14:paraId="51075944" w14:textId="77777777" w:rsidR="00B44B82" w:rsidRPr="0047177E" w:rsidRDefault="00B44B82" w:rsidP="00B44B82">
      <w:pPr>
        <w:tabs>
          <w:tab w:val="left" w:pos="1440"/>
        </w:tabs>
        <w:spacing w:line="240" w:lineRule="auto"/>
        <w:contextualSpacing/>
      </w:pPr>
      <w:r w:rsidRPr="0047177E">
        <w:t>TAG</w:t>
      </w:r>
      <w:r w:rsidRPr="0047177E">
        <w:tab/>
        <w:t>Technical Assessment Guide(s)</w:t>
      </w:r>
    </w:p>
    <w:p w14:paraId="21F86131" w14:textId="77777777" w:rsidR="00B44B82" w:rsidRPr="004D0039" w:rsidRDefault="00B44B82" w:rsidP="00B44B82">
      <w:pPr>
        <w:tabs>
          <w:tab w:val="left" w:pos="1440"/>
        </w:tabs>
        <w:spacing w:line="240" w:lineRule="auto"/>
        <w:contextualSpacing/>
      </w:pPr>
      <w:r w:rsidRPr="004D0039">
        <w:t>TEA23</w:t>
      </w:r>
      <w:r w:rsidRPr="004D0039">
        <w:tab/>
        <w:t>The Energy Act 2023</w:t>
      </w:r>
    </w:p>
    <w:p w14:paraId="50B56652" w14:textId="77777777" w:rsidR="00B44B82" w:rsidRPr="00BC7B43" w:rsidRDefault="00B44B82" w:rsidP="00B44B82">
      <w:pPr>
        <w:tabs>
          <w:tab w:val="left" w:pos="1440"/>
        </w:tabs>
        <w:spacing w:line="240" w:lineRule="auto"/>
        <w:contextualSpacing/>
      </w:pPr>
      <w:r w:rsidRPr="00BC7B43">
        <w:t>TSC</w:t>
      </w:r>
      <w:r w:rsidRPr="00BC7B43">
        <w:tab/>
        <w:t>Technical Support Contractor</w:t>
      </w:r>
    </w:p>
    <w:p w14:paraId="5A23499B" w14:textId="77777777" w:rsidR="00B44B82" w:rsidRPr="00BC7B43" w:rsidRDefault="00B44B82" w:rsidP="00B44B82">
      <w:pPr>
        <w:tabs>
          <w:tab w:val="left" w:pos="1440"/>
        </w:tabs>
        <w:spacing w:line="240" w:lineRule="auto"/>
        <w:contextualSpacing/>
      </w:pPr>
      <w:r w:rsidRPr="00BC7B43">
        <w:t>UKAS</w:t>
      </w:r>
      <w:r w:rsidRPr="00BC7B43">
        <w:tab/>
        <w:t xml:space="preserve">UK Accredited Services </w:t>
      </w:r>
    </w:p>
    <w:p w14:paraId="16CB95C7" w14:textId="77777777" w:rsidR="00B44B82" w:rsidRPr="00537E71" w:rsidRDefault="00B44B82" w:rsidP="00B44B82">
      <w:pPr>
        <w:tabs>
          <w:tab w:val="left" w:pos="1440"/>
        </w:tabs>
        <w:spacing w:line="240" w:lineRule="auto"/>
        <w:contextualSpacing/>
      </w:pPr>
      <w:r w:rsidRPr="00537E71">
        <w:t>UKHSA</w:t>
      </w:r>
      <w:r w:rsidRPr="00537E71">
        <w:tab/>
        <w:t>UK Health Security Agency</w:t>
      </w:r>
    </w:p>
    <w:p w14:paraId="1B3DBE4C" w14:textId="77777777" w:rsidR="00B44B82" w:rsidRPr="006C71B2" w:rsidRDefault="00B44B82" w:rsidP="00B44B82">
      <w:pPr>
        <w:tabs>
          <w:tab w:val="left" w:pos="1440"/>
        </w:tabs>
        <w:spacing w:line="240" w:lineRule="auto"/>
        <w:contextualSpacing/>
      </w:pPr>
      <w:r w:rsidRPr="006C71B2">
        <w:t>WENRA</w:t>
      </w:r>
      <w:r w:rsidRPr="006C71B2">
        <w:tab/>
        <w:t>Western European Nuclear Regulators’ Association</w:t>
      </w:r>
    </w:p>
    <w:p w14:paraId="2ABA3CA2" w14:textId="77777777" w:rsidR="00B44B82" w:rsidRPr="001A2C6E" w:rsidRDefault="00B44B82" w:rsidP="00B44B82">
      <w:pPr>
        <w:tabs>
          <w:tab w:val="left" w:pos="1440"/>
        </w:tabs>
        <w:spacing w:line="240" w:lineRule="auto"/>
        <w:contextualSpacing/>
      </w:pPr>
      <w:r w:rsidRPr="001A2C6E">
        <w:t>WMP</w:t>
      </w:r>
      <w:r w:rsidRPr="001A2C6E">
        <w:tab/>
        <w:t>Waste Management Plan</w:t>
      </w:r>
    </w:p>
    <w:p w14:paraId="45B4D038" w14:textId="77777777" w:rsidR="00B44B82" w:rsidRDefault="00B44B82" w:rsidP="00B44B82">
      <w:pPr>
        <w:tabs>
          <w:tab w:val="left" w:pos="1440"/>
        </w:tabs>
        <w:spacing w:line="240" w:lineRule="auto"/>
        <w:contextualSpacing/>
      </w:pPr>
      <w:r w:rsidRPr="00DD2850">
        <w:t>WS-G-5.1</w:t>
      </w:r>
      <w:r w:rsidRPr="00DD2850">
        <w:tab/>
        <w:t>Safety Guide No. WS-G-5.1</w:t>
      </w:r>
    </w:p>
    <w:p w14:paraId="14BAA3E0" w14:textId="3353F08A" w:rsidR="00F7687C" w:rsidRDefault="00F7687C" w:rsidP="00B44B82">
      <w:pPr>
        <w:tabs>
          <w:tab w:val="left" w:pos="1440"/>
        </w:tabs>
        <w:spacing w:line="240" w:lineRule="auto"/>
        <w:contextualSpacing/>
      </w:pPr>
    </w:p>
    <w:p w14:paraId="16E636E3" w14:textId="77777777" w:rsidR="00B44B82" w:rsidRDefault="00B44B82" w:rsidP="00B44B82">
      <w:pPr>
        <w:tabs>
          <w:tab w:val="left" w:pos="1440"/>
        </w:tabs>
        <w:spacing w:line="240" w:lineRule="auto"/>
        <w:contextualSpacing/>
      </w:pPr>
    </w:p>
    <w:p w14:paraId="2508CF31" w14:textId="77777777" w:rsidR="00B44B82" w:rsidRDefault="00B44B82" w:rsidP="00B44B82">
      <w:pPr>
        <w:tabs>
          <w:tab w:val="left" w:pos="1440"/>
        </w:tabs>
        <w:spacing w:line="240" w:lineRule="auto"/>
        <w:contextualSpacing/>
      </w:pPr>
    </w:p>
    <w:p w14:paraId="717CB2ED" w14:textId="77777777" w:rsidR="00B44B82" w:rsidRDefault="00B44B82" w:rsidP="00B44B82">
      <w:pPr>
        <w:tabs>
          <w:tab w:val="left" w:pos="1440"/>
        </w:tabs>
        <w:spacing w:line="240" w:lineRule="auto"/>
        <w:contextualSpacing/>
      </w:pPr>
    </w:p>
    <w:p w14:paraId="270C9872" w14:textId="77777777" w:rsidR="00B44B82" w:rsidRDefault="00B44B82" w:rsidP="00B44B82">
      <w:pPr>
        <w:tabs>
          <w:tab w:val="left" w:pos="1440"/>
        </w:tabs>
        <w:spacing w:line="240" w:lineRule="auto"/>
        <w:contextualSpacing/>
      </w:pPr>
    </w:p>
    <w:p w14:paraId="42246A73" w14:textId="77777777" w:rsidR="00B44B82" w:rsidRDefault="00B44B82" w:rsidP="00B44B82">
      <w:pPr>
        <w:tabs>
          <w:tab w:val="left" w:pos="1440"/>
        </w:tabs>
        <w:spacing w:line="240" w:lineRule="auto"/>
        <w:contextualSpacing/>
      </w:pPr>
    </w:p>
    <w:p w14:paraId="556D9E86" w14:textId="77777777" w:rsidR="00B44B82" w:rsidRDefault="00B44B82" w:rsidP="00B44B82">
      <w:pPr>
        <w:tabs>
          <w:tab w:val="left" w:pos="1440"/>
        </w:tabs>
        <w:spacing w:line="240" w:lineRule="auto"/>
        <w:contextualSpacing/>
      </w:pPr>
    </w:p>
    <w:p w14:paraId="3CC05CE0" w14:textId="77777777" w:rsidR="00B44B82" w:rsidRDefault="00B44B82" w:rsidP="00B44B82">
      <w:pPr>
        <w:tabs>
          <w:tab w:val="left" w:pos="1440"/>
        </w:tabs>
        <w:spacing w:line="240" w:lineRule="auto"/>
        <w:contextualSpacing/>
      </w:pPr>
    </w:p>
    <w:p w14:paraId="3A3E055A" w14:textId="77777777" w:rsidR="00B44B82" w:rsidRDefault="00B44B82" w:rsidP="00B44B82">
      <w:pPr>
        <w:tabs>
          <w:tab w:val="left" w:pos="1440"/>
        </w:tabs>
        <w:spacing w:line="240" w:lineRule="auto"/>
        <w:contextualSpacing/>
      </w:pPr>
    </w:p>
    <w:p w14:paraId="19753FFE" w14:textId="77777777" w:rsidR="00B44B82" w:rsidRDefault="00B44B82" w:rsidP="00B44B82">
      <w:pPr>
        <w:tabs>
          <w:tab w:val="left" w:pos="1440"/>
        </w:tabs>
        <w:spacing w:line="240" w:lineRule="auto"/>
        <w:contextualSpacing/>
      </w:pPr>
    </w:p>
    <w:p w14:paraId="12602DF6" w14:textId="77777777" w:rsidR="00B44B82" w:rsidRDefault="00B44B82" w:rsidP="00B44B82">
      <w:pPr>
        <w:tabs>
          <w:tab w:val="left" w:pos="1440"/>
        </w:tabs>
        <w:spacing w:line="240" w:lineRule="auto"/>
        <w:contextualSpacing/>
      </w:pPr>
    </w:p>
    <w:p w14:paraId="59BDCFF7" w14:textId="77777777" w:rsidR="00B44B82" w:rsidRDefault="00B44B82" w:rsidP="00B44B82">
      <w:pPr>
        <w:tabs>
          <w:tab w:val="left" w:pos="1440"/>
        </w:tabs>
        <w:spacing w:line="240" w:lineRule="auto"/>
        <w:contextualSpacing/>
      </w:pPr>
    </w:p>
    <w:p w14:paraId="66E172F0" w14:textId="77777777" w:rsidR="00B44B82" w:rsidRDefault="00B44B82" w:rsidP="00B44B82">
      <w:pPr>
        <w:tabs>
          <w:tab w:val="left" w:pos="1440"/>
        </w:tabs>
        <w:spacing w:line="240" w:lineRule="auto"/>
        <w:contextualSpacing/>
      </w:pPr>
    </w:p>
    <w:p w14:paraId="7E603DC3" w14:textId="551440AE" w:rsidR="00B44B82" w:rsidRDefault="00B44B82" w:rsidP="00B44B82">
      <w:pPr>
        <w:pStyle w:val="Heading1"/>
        <w:numPr>
          <w:ilvl w:val="0"/>
          <w:numId w:val="0"/>
        </w:numPr>
        <w:ind w:left="851"/>
      </w:pPr>
      <w:bookmarkStart w:id="15" w:name="_Toc175920874"/>
      <w:bookmarkStart w:id="16" w:name="_Toc189579466"/>
      <w:r>
        <w:lastRenderedPageBreak/>
        <w:t>Appendix</w:t>
      </w:r>
      <w:r w:rsidR="00505D04">
        <w:t xml:space="preserve"> </w:t>
      </w:r>
      <w:r>
        <w:t xml:space="preserve">– Supporting </w:t>
      </w:r>
      <w:r w:rsidR="002A2B28">
        <w:t>i</w:t>
      </w:r>
      <w:r>
        <w:t xml:space="preserve">nformation for </w:t>
      </w:r>
      <w:r w:rsidR="002A2B28">
        <w:t>d</w:t>
      </w:r>
      <w:r>
        <w:t>elicensing</w:t>
      </w:r>
      <w:bookmarkEnd w:id="15"/>
      <w:bookmarkEnd w:id="16"/>
    </w:p>
    <w:p w14:paraId="4D2E69C2" w14:textId="77777777" w:rsidR="00B44B82" w:rsidRPr="00791894" w:rsidRDefault="00B44B82" w:rsidP="009E7409">
      <w:pPr>
        <w:pStyle w:val="F9-Paragraph"/>
        <w:numPr>
          <w:ilvl w:val="0"/>
          <w:numId w:val="9"/>
        </w:numPr>
        <w:ind w:left="851" w:hanging="851"/>
      </w:pPr>
      <w:r w:rsidRPr="00791894">
        <w:t xml:space="preserve">This list is not exhaustive and will be updated with future relevant information as documentation </w:t>
      </w:r>
      <w:r>
        <w:t xml:space="preserve">becomes available </w:t>
      </w:r>
      <w:r w:rsidRPr="00791894">
        <w:t>giving advice and information on</w:t>
      </w:r>
      <w:r w:rsidRPr="008E6314">
        <w:t xml:space="preserve"> a number of aspects which effect</w:t>
      </w:r>
      <w:r>
        <w:t xml:space="preserve"> delicensing.</w:t>
      </w:r>
    </w:p>
    <w:p w14:paraId="089C2480" w14:textId="12FCE405" w:rsidR="00B44B82" w:rsidRPr="006B44AD" w:rsidRDefault="00B44B82" w:rsidP="006B44AD">
      <w:pPr>
        <w:pStyle w:val="F9-Paragraph"/>
        <w:numPr>
          <w:ilvl w:val="0"/>
          <w:numId w:val="0"/>
        </w:numPr>
        <w:ind w:left="851"/>
        <w:rPr>
          <w:b/>
          <w:bCs/>
        </w:rPr>
      </w:pPr>
      <w:r w:rsidRPr="006B44AD">
        <w:rPr>
          <w:b/>
          <w:bCs/>
        </w:rPr>
        <w:t xml:space="preserve">CRCE-RAD-003-2020: Principles for assessing the radiological impact of land contaminated with radioactivity </w:t>
      </w:r>
      <w:sdt>
        <w:sdtPr>
          <w:rPr>
            <w:b/>
            <w:bCs/>
          </w:rPr>
          <w:id w:val="-1800294700"/>
          <w:citation/>
        </w:sdtPr>
        <w:sdtEndPr/>
        <w:sdtContent>
          <w:r w:rsidRPr="006B44AD">
            <w:rPr>
              <w:b/>
              <w:bCs/>
            </w:rPr>
            <w:fldChar w:fldCharType="begin"/>
          </w:r>
          <w:r w:rsidR="006B44AD">
            <w:rPr>
              <w:b/>
              <w:bCs/>
            </w:rPr>
            <w:instrText xml:space="preserve">CITATION CRCE03 \l 2057 </w:instrText>
          </w:r>
          <w:r w:rsidRPr="006B44AD">
            <w:rPr>
              <w:b/>
              <w:bCs/>
            </w:rPr>
            <w:fldChar w:fldCharType="separate"/>
          </w:r>
          <w:r w:rsidR="00581332">
            <w:rPr>
              <w:noProof/>
            </w:rPr>
            <w:t>[25]</w:t>
          </w:r>
          <w:r w:rsidRPr="006B44AD">
            <w:rPr>
              <w:b/>
              <w:bCs/>
            </w:rPr>
            <w:fldChar w:fldCharType="end"/>
          </w:r>
        </w:sdtContent>
      </w:sdt>
    </w:p>
    <w:p w14:paraId="693100FD" w14:textId="4CB5BB34" w:rsidR="00B44B82" w:rsidRPr="006F2865" w:rsidRDefault="00B44B82" w:rsidP="00B44B82">
      <w:pPr>
        <w:pStyle w:val="F9-Paragraph"/>
      </w:pPr>
      <w:r>
        <w:t>This report presents guiding principles which should form the basis of any assessment of the radiological impact from using land which is contaminated with radioactivity. The principles are intended to cover assessments undertaken in support of decisions being made in England and Wales within either the statutory regimes for the identification and remediation of land contaminated with radioactivity made under Part 2A of the E</w:t>
      </w:r>
      <w:r w:rsidR="0041082D">
        <w:t xml:space="preserve">nvironmental </w:t>
      </w:r>
      <w:r>
        <w:t>P</w:t>
      </w:r>
      <w:r w:rsidR="0041082D">
        <w:t xml:space="preserve">rotection </w:t>
      </w:r>
      <w:r>
        <w:t>A</w:t>
      </w:r>
      <w:r w:rsidR="0041082D">
        <w:t>ct</w:t>
      </w:r>
      <w:r>
        <w:t xml:space="preserve"> 1990</w:t>
      </w:r>
      <w:sdt>
        <w:sdtPr>
          <w:id w:val="-1541974685"/>
          <w:citation/>
        </w:sdtPr>
        <w:sdtEndPr/>
        <w:sdtContent>
          <w:r>
            <w:fldChar w:fldCharType="begin"/>
          </w:r>
          <w:r>
            <w:instrText xml:space="preserve"> CITATION EPA90 \l 2057 </w:instrText>
          </w:r>
          <w:r>
            <w:fldChar w:fldCharType="separate"/>
          </w:r>
          <w:r w:rsidR="00581332">
            <w:rPr>
              <w:noProof/>
            </w:rPr>
            <w:t xml:space="preserve"> [24]</w:t>
          </w:r>
          <w:r>
            <w:fldChar w:fldCharType="end"/>
          </w:r>
        </w:sdtContent>
      </w:sdt>
      <w:r>
        <w:t xml:space="preserve"> or the Town and Country planning regimes.</w:t>
      </w:r>
    </w:p>
    <w:p w14:paraId="17FFD67C" w14:textId="5430E131" w:rsidR="00B44B82" w:rsidRPr="006B44AD" w:rsidRDefault="00B44B82" w:rsidP="006B44AD">
      <w:pPr>
        <w:pStyle w:val="F9-Paragraph"/>
        <w:numPr>
          <w:ilvl w:val="0"/>
          <w:numId w:val="0"/>
        </w:numPr>
        <w:ind w:left="851"/>
        <w:rPr>
          <w:b/>
          <w:bCs/>
        </w:rPr>
      </w:pPr>
      <w:r w:rsidRPr="006B44AD">
        <w:rPr>
          <w:b/>
          <w:bCs/>
        </w:rPr>
        <w:t xml:space="preserve">The SAFEGROUNDS + Learning network </w:t>
      </w:r>
      <w:sdt>
        <w:sdtPr>
          <w:rPr>
            <w:b/>
            <w:bCs/>
          </w:rPr>
          <w:id w:val="1397633305"/>
          <w:citation/>
        </w:sdtPr>
        <w:sdtEndPr/>
        <w:sdtContent>
          <w:r w:rsidRPr="006B44AD">
            <w:rPr>
              <w:b/>
              <w:bCs/>
            </w:rPr>
            <w:fldChar w:fldCharType="begin"/>
          </w:r>
          <w:r w:rsidR="006B44AD">
            <w:rPr>
              <w:b/>
              <w:bCs/>
            </w:rPr>
            <w:instrText xml:space="preserve">CITATION Safegrounds \l 2057 </w:instrText>
          </w:r>
          <w:r w:rsidRPr="006B44AD">
            <w:rPr>
              <w:b/>
              <w:bCs/>
            </w:rPr>
            <w:fldChar w:fldCharType="separate"/>
          </w:r>
          <w:r w:rsidR="00581332">
            <w:rPr>
              <w:noProof/>
            </w:rPr>
            <w:t>[26]</w:t>
          </w:r>
          <w:r w:rsidRPr="006B44AD">
            <w:rPr>
              <w:b/>
              <w:bCs/>
            </w:rPr>
            <w:fldChar w:fldCharType="end"/>
          </w:r>
        </w:sdtContent>
      </w:sdt>
    </w:p>
    <w:p w14:paraId="4CD40E17" w14:textId="77777777" w:rsidR="00B44B82" w:rsidRDefault="00B44B82" w:rsidP="00B44B82">
      <w:pPr>
        <w:pStyle w:val="F9-Paragraph"/>
      </w:pPr>
      <w:r>
        <w:t>There is extensive advice on the assessment and clean-up of radioactively contaminated sites, both nuclear and non-nuclear, that has been developed by this network of regulators, operators and policy makers over the past ten years. Non-radioactively contaminated land is also covered.</w:t>
      </w:r>
    </w:p>
    <w:p w14:paraId="7E2D6749" w14:textId="6B9019ED" w:rsidR="00B44B82" w:rsidRPr="006B44AD" w:rsidRDefault="00B44B82" w:rsidP="006B44AD">
      <w:pPr>
        <w:pStyle w:val="F9-Paragraph"/>
        <w:numPr>
          <w:ilvl w:val="0"/>
          <w:numId w:val="0"/>
        </w:numPr>
        <w:ind w:left="851"/>
        <w:rPr>
          <w:b/>
          <w:bCs/>
        </w:rPr>
      </w:pPr>
      <w:r w:rsidRPr="006B44AD">
        <w:rPr>
          <w:b/>
          <w:bCs/>
        </w:rPr>
        <w:t xml:space="preserve">The Multi-Agency Radiation Survey and Site Investigation Manual </w:t>
      </w:r>
      <w:sdt>
        <w:sdtPr>
          <w:rPr>
            <w:b/>
            <w:bCs/>
          </w:rPr>
          <w:id w:val="1763181770"/>
          <w:citation/>
        </w:sdtPr>
        <w:sdtEndPr/>
        <w:sdtContent>
          <w:r w:rsidRPr="006B44AD">
            <w:rPr>
              <w:b/>
              <w:bCs/>
            </w:rPr>
            <w:fldChar w:fldCharType="begin"/>
          </w:r>
          <w:r w:rsidR="006B44AD">
            <w:rPr>
              <w:b/>
              <w:bCs/>
            </w:rPr>
            <w:instrText xml:space="preserve">CITATION DQAEPA \l 2057 </w:instrText>
          </w:r>
          <w:r w:rsidRPr="006B44AD">
            <w:rPr>
              <w:b/>
              <w:bCs/>
            </w:rPr>
            <w:fldChar w:fldCharType="separate"/>
          </w:r>
          <w:r w:rsidR="00581332">
            <w:rPr>
              <w:noProof/>
            </w:rPr>
            <w:t>[27]</w:t>
          </w:r>
          <w:r w:rsidRPr="006B44AD">
            <w:rPr>
              <w:b/>
              <w:bCs/>
            </w:rPr>
            <w:fldChar w:fldCharType="end"/>
          </w:r>
        </w:sdtContent>
      </w:sdt>
    </w:p>
    <w:p w14:paraId="2EE0610B" w14:textId="77777777" w:rsidR="00B44B82" w:rsidRDefault="00B44B82" w:rsidP="00B44B82">
      <w:pPr>
        <w:pStyle w:val="F9-Paragraph"/>
      </w:pPr>
      <w:r>
        <w:t>This is an extensive document, but the Road Map section of the document presents a summary of the major steps presented in the full text.</w:t>
      </w:r>
    </w:p>
    <w:p w14:paraId="70F7B0D8" w14:textId="77777777" w:rsidR="00B44B82" w:rsidRDefault="00B44B82" w:rsidP="00B44B82">
      <w:pPr>
        <w:pStyle w:val="F9-Paragraph"/>
      </w:pPr>
      <w:r>
        <w:t>The Road Map presents a summary of the planning, implementation, assessment, and decision-making phases for final status survey and identifies where guidance on theses phases is in the Multi-Agency Radiation Survey and Site Investigation Manual (MARSSIM); this includes the Data Quality Objectives/Data Quality Assessment process. Each step in the process is described briefly along with references to the sections of MARSSIM to which the user may refer for more detailed guidance. Flow charts are provided to summarise the major steps in the Radiation survey and Site Investigation Process, again citing appropriate sections of MARSSIM. In addition to providing the user with basic guidance from MARSSIM, the Road Map also provides “rules of thumb” for performing compliance demonstration surveys.</w:t>
      </w:r>
    </w:p>
    <w:p w14:paraId="6948441B" w14:textId="3E4BA871" w:rsidR="00B44B82" w:rsidRPr="00505D04" w:rsidRDefault="00B44B82" w:rsidP="00505D04">
      <w:pPr>
        <w:pStyle w:val="F9-Paragraph"/>
        <w:numPr>
          <w:ilvl w:val="0"/>
          <w:numId w:val="0"/>
        </w:numPr>
        <w:ind w:left="851"/>
        <w:rPr>
          <w:b/>
          <w:bCs/>
        </w:rPr>
      </w:pPr>
      <w:r w:rsidRPr="00505D04">
        <w:rPr>
          <w:b/>
          <w:bCs/>
        </w:rPr>
        <w:t>R</w:t>
      </w:r>
      <w:r w:rsidR="00AF1C0E" w:rsidRPr="00505D04">
        <w:rPr>
          <w:b/>
          <w:bCs/>
        </w:rPr>
        <w:t xml:space="preserve">adioactive </w:t>
      </w:r>
      <w:r w:rsidRPr="00505D04">
        <w:rPr>
          <w:b/>
          <w:bCs/>
        </w:rPr>
        <w:t>S</w:t>
      </w:r>
      <w:r w:rsidR="00AF1C0E" w:rsidRPr="00505D04">
        <w:rPr>
          <w:b/>
          <w:bCs/>
        </w:rPr>
        <w:t xml:space="preserve">ubstances </w:t>
      </w:r>
      <w:r w:rsidRPr="00505D04">
        <w:rPr>
          <w:b/>
          <w:bCs/>
        </w:rPr>
        <w:t>R</w:t>
      </w:r>
      <w:r w:rsidR="00AF1C0E" w:rsidRPr="00505D04">
        <w:rPr>
          <w:b/>
          <w:bCs/>
        </w:rPr>
        <w:t>egulation</w:t>
      </w:r>
      <w:r w:rsidRPr="00505D04">
        <w:rPr>
          <w:b/>
          <w:bCs/>
        </w:rPr>
        <w:t xml:space="preserve"> guidance for nuclear sites undergoing decommissioning</w:t>
      </w:r>
      <w:sdt>
        <w:sdtPr>
          <w:rPr>
            <w:b/>
            <w:bCs/>
          </w:rPr>
          <w:id w:val="-2044360701"/>
          <w:citation/>
        </w:sdtPr>
        <w:sdtEndPr/>
        <w:sdtContent>
          <w:r w:rsidRPr="00505D04">
            <w:rPr>
              <w:b/>
              <w:bCs/>
            </w:rPr>
            <w:fldChar w:fldCharType="begin"/>
          </w:r>
          <w:r w:rsidRPr="00505D04">
            <w:rPr>
              <w:b/>
              <w:bCs/>
            </w:rPr>
            <w:instrText xml:space="preserve">CITATION Envregwebsite \l 2057 </w:instrText>
          </w:r>
          <w:r w:rsidRPr="00505D04">
            <w:rPr>
              <w:b/>
              <w:bCs/>
            </w:rPr>
            <w:fldChar w:fldCharType="separate"/>
          </w:r>
          <w:r w:rsidR="00581332" w:rsidRPr="00505D04">
            <w:rPr>
              <w:b/>
              <w:bCs/>
              <w:noProof/>
            </w:rPr>
            <w:t xml:space="preserve"> </w:t>
          </w:r>
          <w:r w:rsidR="00581332" w:rsidRPr="00505D04">
            <w:rPr>
              <w:noProof/>
            </w:rPr>
            <w:t>[28]</w:t>
          </w:r>
          <w:r w:rsidRPr="00505D04">
            <w:rPr>
              <w:b/>
              <w:bCs/>
            </w:rPr>
            <w:fldChar w:fldCharType="end"/>
          </w:r>
        </w:sdtContent>
      </w:sdt>
    </w:p>
    <w:p w14:paraId="1469A08B" w14:textId="5B99EDE4" w:rsidR="00B44B82" w:rsidRDefault="00B44B82" w:rsidP="00B44B82">
      <w:pPr>
        <w:pStyle w:val="F9-Paragraph"/>
      </w:pPr>
      <w:r>
        <w:t xml:space="preserve">This government website provides </w:t>
      </w:r>
      <w:r w:rsidRPr="00DA0108">
        <w:t xml:space="preserve">guidance for the operators of nuclear sites in England and Wales undertaking decommissioning work under their radioactive </w:t>
      </w:r>
      <w:r w:rsidR="00F0120D" w:rsidRPr="00DA0108">
        <w:t>substances’</w:t>
      </w:r>
      <w:r w:rsidRPr="00DA0108">
        <w:t xml:space="preserve"> activity environmental permit.</w:t>
      </w:r>
      <w:r>
        <w:t xml:space="preserve"> </w:t>
      </w:r>
    </w:p>
    <w:p w14:paraId="3340BB14" w14:textId="6991A8B5" w:rsidR="00B44B82" w:rsidRPr="006B44AD" w:rsidRDefault="00B44B82" w:rsidP="006B44AD">
      <w:pPr>
        <w:pStyle w:val="F9-Paragraph"/>
        <w:numPr>
          <w:ilvl w:val="0"/>
          <w:numId w:val="0"/>
        </w:numPr>
        <w:ind w:left="851"/>
        <w:rPr>
          <w:b/>
          <w:bCs/>
        </w:rPr>
      </w:pPr>
      <w:r w:rsidRPr="006B44AD">
        <w:rPr>
          <w:b/>
          <w:bCs/>
        </w:rPr>
        <w:lastRenderedPageBreak/>
        <w:t xml:space="preserve">Guidance on Requirements for Release of Nuclear Sites from Radioactive Substances Regulation </w:t>
      </w:r>
      <w:sdt>
        <w:sdtPr>
          <w:rPr>
            <w:b/>
            <w:bCs/>
          </w:rPr>
          <w:id w:val="47110135"/>
          <w:citation/>
        </w:sdtPr>
        <w:sdtEndPr/>
        <w:sdtContent>
          <w:r w:rsidRPr="006B44AD">
            <w:rPr>
              <w:b/>
              <w:bCs/>
            </w:rPr>
            <w:fldChar w:fldCharType="begin"/>
          </w:r>
          <w:r w:rsidR="006B44AD">
            <w:rPr>
              <w:b/>
              <w:bCs/>
            </w:rPr>
            <w:instrText xml:space="preserve">CITATION GRR \l 2057 </w:instrText>
          </w:r>
          <w:r w:rsidRPr="006B44AD">
            <w:rPr>
              <w:b/>
              <w:bCs/>
            </w:rPr>
            <w:fldChar w:fldCharType="separate"/>
          </w:r>
          <w:r w:rsidR="00581332">
            <w:rPr>
              <w:noProof/>
            </w:rPr>
            <w:t>[29]</w:t>
          </w:r>
          <w:r w:rsidRPr="006B44AD">
            <w:rPr>
              <w:b/>
              <w:bCs/>
            </w:rPr>
            <w:fldChar w:fldCharType="end"/>
          </w:r>
        </w:sdtContent>
      </w:sdt>
    </w:p>
    <w:p w14:paraId="5555CC26" w14:textId="77777777" w:rsidR="00B44B82" w:rsidRPr="009E2A5D" w:rsidRDefault="00B44B82" w:rsidP="00B44B82">
      <w:pPr>
        <w:pStyle w:val="F9-Paragraph"/>
      </w:pPr>
      <w:r>
        <w:t>This guidance sets out the requirement for optimised plans for the management of the radioactive wastes from decommissioning and clean-up of a nuclear site, the standards that must be met if those optimised plans identify that radioactive wastes are best managed by on-site disposal and the standards that a nuclear site must meet to enable it to be released from radioactive substances regulation.</w:t>
      </w:r>
    </w:p>
    <w:p w14:paraId="5785BE7F" w14:textId="14BE7FBF" w:rsidR="00B44B82" w:rsidRPr="006B44AD" w:rsidRDefault="00B44B82" w:rsidP="006B44AD">
      <w:pPr>
        <w:pStyle w:val="F9-Paragraph"/>
        <w:numPr>
          <w:ilvl w:val="0"/>
          <w:numId w:val="0"/>
        </w:numPr>
        <w:ind w:left="851"/>
        <w:rPr>
          <w:b/>
          <w:bCs/>
        </w:rPr>
      </w:pPr>
      <w:r w:rsidRPr="006B44AD">
        <w:rPr>
          <w:b/>
          <w:bCs/>
        </w:rPr>
        <w:t xml:space="preserve">Memorandum of Understandings </w:t>
      </w:r>
      <w:r w:rsidR="006B44AD">
        <w:rPr>
          <w:b/>
          <w:bCs/>
        </w:rPr>
        <w:t>(</w:t>
      </w:r>
      <w:proofErr w:type="spellStart"/>
      <w:r w:rsidR="006B44AD">
        <w:rPr>
          <w:b/>
          <w:bCs/>
        </w:rPr>
        <w:t>MoUs</w:t>
      </w:r>
      <w:proofErr w:type="spellEnd"/>
      <w:r w:rsidR="006B44AD">
        <w:rPr>
          <w:b/>
          <w:bCs/>
        </w:rPr>
        <w:t xml:space="preserve">) </w:t>
      </w:r>
      <w:sdt>
        <w:sdtPr>
          <w:rPr>
            <w:b/>
            <w:bCs/>
          </w:rPr>
          <w:id w:val="-296377605"/>
          <w:citation/>
        </w:sdtPr>
        <w:sdtEndPr/>
        <w:sdtContent>
          <w:r w:rsidRPr="006B44AD">
            <w:rPr>
              <w:b/>
              <w:bCs/>
            </w:rPr>
            <w:fldChar w:fldCharType="begin"/>
          </w:r>
          <w:r w:rsidR="006B44AD">
            <w:rPr>
              <w:b/>
              <w:bCs/>
            </w:rPr>
            <w:instrText xml:space="preserve">CITATION MOUONR \l 2057 </w:instrText>
          </w:r>
          <w:r w:rsidRPr="006B44AD">
            <w:rPr>
              <w:b/>
              <w:bCs/>
            </w:rPr>
            <w:fldChar w:fldCharType="separate"/>
          </w:r>
          <w:r w:rsidR="00581332">
            <w:rPr>
              <w:noProof/>
            </w:rPr>
            <w:t>[30]</w:t>
          </w:r>
          <w:r w:rsidRPr="006B44AD">
            <w:rPr>
              <w:b/>
              <w:bCs/>
            </w:rPr>
            <w:fldChar w:fldCharType="end"/>
          </w:r>
        </w:sdtContent>
      </w:sdt>
      <w:r w:rsidRPr="006B44AD">
        <w:rPr>
          <w:b/>
          <w:bCs/>
        </w:rPr>
        <w:t xml:space="preserve">  </w:t>
      </w:r>
    </w:p>
    <w:p w14:paraId="40E9EF2B" w14:textId="10AF43D5" w:rsidR="00B44B82" w:rsidRDefault="00B44B82" w:rsidP="00B44B82">
      <w:pPr>
        <w:pStyle w:val="F9-Paragraph"/>
      </w:pPr>
      <w:r>
        <w:t xml:space="preserve">A </w:t>
      </w:r>
      <w:r w:rsidR="006B44AD">
        <w:t>MoU</w:t>
      </w:r>
      <w:r w:rsidRPr="00B97D95">
        <w:t>, sometimes referred to as a General Agreement, is essentially an administrative agreement between ONR and another/other party to ensure that the parties involved understand each other's responsibilities.</w:t>
      </w:r>
    </w:p>
    <w:p w14:paraId="69892713" w14:textId="77777777" w:rsidR="00B44B82" w:rsidRDefault="00B44B82" w:rsidP="00B44B82">
      <w:pPr>
        <w:pStyle w:val="F9-Paragraph"/>
      </w:pPr>
      <w:r>
        <w:t xml:space="preserve">We have a number of these with different regulators, these can be found on the ONR website: </w:t>
      </w:r>
      <w:hyperlink r:id="rId21" w:history="1">
        <w:r>
          <w:rPr>
            <w:rStyle w:val="Hyperlink"/>
          </w:rPr>
          <w:t>ONR - Agency Agreements, Memoranda of Understanding (MoUs) and working arrangements protocol</w:t>
        </w:r>
      </w:hyperlink>
      <w:r>
        <w:t xml:space="preserve"> </w:t>
      </w:r>
    </w:p>
    <w:p w14:paraId="4DACF7AB" w14:textId="7D63939F" w:rsidR="00B44B82" w:rsidRPr="006B44AD" w:rsidRDefault="00B44B82" w:rsidP="006B44AD">
      <w:pPr>
        <w:pStyle w:val="F9-Paragraph"/>
        <w:numPr>
          <w:ilvl w:val="0"/>
          <w:numId w:val="0"/>
        </w:numPr>
        <w:ind w:left="851"/>
        <w:rPr>
          <w:b/>
          <w:bCs/>
        </w:rPr>
      </w:pPr>
      <w:r w:rsidRPr="006B44AD">
        <w:rPr>
          <w:b/>
          <w:bCs/>
        </w:rPr>
        <w:t>EC Document RP122 - Practical use of the concepts of clearance and exemption</w:t>
      </w:r>
      <w:sdt>
        <w:sdtPr>
          <w:rPr>
            <w:b/>
            <w:bCs/>
          </w:rPr>
          <w:id w:val="-244347717"/>
          <w:citation/>
        </w:sdtPr>
        <w:sdtEndPr/>
        <w:sdtContent>
          <w:r w:rsidRPr="006B44AD">
            <w:rPr>
              <w:b/>
              <w:bCs/>
            </w:rPr>
            <w:fldChar w:fldCharType="begin"/>
          </w:r>
          <w:r w:rsidR="006B44AD">
            <w:rPr>
              <w:b/>
              <w:bCs/>
            </w:rPr>
            <w:instrText xml:space="preserve">CITATION ECRP122 \l 2057 </w:instrText>
          </w:r>
          <w:r w:rsidRPr="006B44AD">
            <w:rPr>
              <w:b/>
              <w:bCs/>
            </w:rPr>
            <w:fldChar w:fldCharType="separate"/>
          </w:r>
          <w:r w:rsidR="00581332">
            <w:rPr>
              <w:b/>
              <w:bCs/>
              <w:noProof/>
            </w:rPr>
            <w:t xml:space="preserve"> </w:t>
          </w:r>
          <w:r w:rsidR="00581332">
            <w:rPr>
              <w:noProof/>
            </w:rPr>
            <w:t>[31]</w:t>
          </w:r>
          <w:r w:rsidRPr="006B44AD">
            <w:rPr>
              <w:b/>
              <w:bCs/>
            </w:rPr>
            <w:fldChar w:fldCharType="end"/>
          </w:r>
        </w:sdtContent>
      </w:sdt>
      <w:r w:rsidRPr="006B44AD">
        <w:rPr>
          <w:b/>
          <w:bCs/>
        </w:rPr>
        <w:t xml:space="preserve"> </w:t>
      </w:r>
    </w:p>
    <w:p w14:paraId="7FA626F2" w14:textId="77777777" w:rsidR="00B44B82" w:rsidRDefault="00B44B82" w:rsidP="00B44B82">
      <w:pPr>
        <w:pStyle w:val="F9-Paragraph"/>
      </w:pPr>
      <w:r>
        <w:t>Part I of the document gives guidance on the concepts of exemption and clearance to practices and gives further guidance on specific clearance levels (in activity per unit mass) for the recycling of metals and building rubble. The concept of general clearance levels, default values for materials arising from any practice, any type of material and pathway and any pathway of recycling or reuse are presented.</w:t>
      </w:r>
    </w:p>
    <w:p w14:paraId="24310B3A" w14:textId="77777777" w:rsidR="00B44B82" w:rsidRDefault="00B44B82" w:rsidP="00B44B82">
      <w:pPr>
        <w:pStyle w:val="F9-Paragraph"/>
      </w:pPr>
      <w:r>
        <w:t>The assessment methodologies and radionuclide specific clearance levels may be of use in consideration of the residual risks posed by nuclear site remediation programmes.</w:t>
      </w:r>
    </w:p>
    <w:p w14:paraId="0888668C" w14:textId="77777777" w:rsidR="00B44B82" w:rsidRPr="0033599C" w:rsidRDefault="00B44B82" w:rsidP="00B44B82">
      <w:pPr>
        <w:pStyle w:val="F9-Paragraph"/>
      </w:pPr>
      <w:r>
        <w:t xml:space="preserve">Part II of the document provides more detailed discussion of the way the basic safety standard introduced regulatory control of work activities and to what extent also the explicit release from regulatory requirements (exemption or clearance) may be applied to work activities. </w:t>
      </w:r>
    </w:p>
    <w:p w14:paraId="73D2BE5B" w14:textId="5A3FFAE4" w:rsidR="00B44B82" w:rsidRPr="006B44AD" w:rsidRDefault="00B44B82" w:rsidP="006B44AD">
      <w:pPr>
        <w:pStyle w:val="F9-Paragraph"/>
        <w:numPr>
          <w:ilvl w:val="0"/>
          <w:numId w:val="0"/>
        </w:numPr>
        <w:ind w:left="851"/>
        <w:rPr>
          <w:b/>
          <w:bCs/>
        </w:rPr>
      </w:pPr>
      <w:r w:rsidRPr="006B44AD">
        <w:rPr>
          <w:b/>
          <w:bCs/>
        </w:rPr>
        <w:t xml:space="preserve">Scope of and exemptions from the radioactive substances legislation in England, Wales and Northern Ireland </w:t>
      </w:r>
      <w:sdt>
        <w:sdtPr>
          <w:rPr>
            <w:b/>
            <w:bCs/>
          </w:rPr>
          <w:id w:val="844906408"/>
          <w:citation/>
        </w:sdtPr>
        <w:sdtEndPr/>
        <w:sdtContent>
          <w:r w:rsidRPr="006B44AD">
            <w:rPr>
              <w:b/>
              <w:bCs/>
            </w:rPr>
            <w:fldChar w:fldCharType="begin"/>
          </w:r>
          <w:r w:rsidR="006B44AD">
            <w:rPr>
              <w:b/>
              <w:bCs/>
            </w:rPr>
            <w:instrText xml:space="preserve">CITATION EAguidance \l 2057 </w:instrText>
          </w:r>
          <w:r w:rsidRPr="006B44AD">
            <w:rPr>
              <w:b/>
              <w:bCs/>
            </w:rPr>
            <w:fldChar w:fldCharType="separate"/>
          </w:r>
          <w:r w:rsidR="00581332">
            <w:rPr>
              <w:noProof/>
            </w:rPr>
            <w:t>[22]</w:t>
          </w:r>
          <w:r w:rsidRPr="006B44AD">
            <w:rPr>
              <w:b/>
              <w:bCs/>
            </w:rPr>
            <w:fldChar w:fldCharType="end"/>
          </w:r>
        </w:sdtContent>
      </w:sdt>
    </w:p>
    <w:p w14:paraId="76DD9D6B" w14:textId="7EB12DD3" w:rsidR="00B44B82" w:rsidRDefault="00B44B82" w:rsidP="00B44B82">
      <w:pPr>
        <w:pStyle w:val="F9-Paragraph"/>
      </w:pPr>
      <w:r>
        <w:t xml:space="preserve">This guidance represents an aid to interpretation of EPR16 </w:t>
      </w:r>
      <w:sdt>
        <w:sdtPr>
          <w:id w:val="1979418479"/>
          <w:citation/>
        </w:sdtPr>
        <w:sdtEndPr/>
        <w:sdtContent>
          <w:r>
            <w:fldChar w:fldCharType="begin"/>
          </w:r>
          <w:r w:rsidR="006C4579">
            <w:instrText xml:space="preserve">CITATION EPR16 \l 2057 </w:instrText>
          </w:r>
          <w:r>
            <w:fldChar w:fldCharType="separate"/>
          </w:r>
          <w:r w:rsidR="00581332">
            <w:rPr>
              <w:noProof/>
            </w:rPr>
            <w:t>[12]</w:t>
          </w:r>
          <w:r>
            <w:fldChar w:fldCharType="end"/>
          </w:r>
        </w:sdtContent>
      </w:sdt>
      <w:r>
        <w:t>. It sets out how the various provisions in the legislation have been determined, and how each provision in some way supports the application of ‘risk-informed regulation’. Table 2.3 and 3.1 provide guidance on numerical values for artificial radionuclides, and for NORM used for their radioactive, fissile or fertile properties (sometimes referred to as a ‘practice’) which are based on a radiation dose of 10 µSv per year.</w:t>
      </w:r>
    </w:p>
    <w:p w14:paraId="2EED1585" w14:textId="7E6F2710" w:rsidR="00B44B82" w:rsidRPr="006B44AD" w:rsidRDefault="00B44B82" w:rsidP="006B44AD">
      <w:pPr>
        <w:pStyle w:val="F9-Paragraph"/>
        <w:numPr>
          <w:ilvl w:val="0"/>
          <w:numId w:val="0"/>
        </w:numPr>
        <w:ind w:left="851"/>
        <w:rPr>
          <w:b/>
          <w:bCs/>
        </w:rPr>
      </w:pPr>
      <w:r w:rsidRPr="006B44AD">
        <w:rPr>
          <w:b/>
          <w:bCs/>
        </w:rPr>
        <w:lastRenderedPageBreak/>
        <w:t xml:space="preserve">Documents of the National Radiological Protection Board (now UKHSA) Vol. 9 No 2. - Radiological Protection Objectives for Land Contaminated with Radionuclides </w:t>
      </w:r>
      <w:sdt>
        <w:sdtPr>
          <w:rPr>
            <w:b/>
            <w:bCs/>
          </w:rPr>
          <w:id w:val="297958803"/>
          <w:citation/>
        </w:sdtPr>
        <w:sdtEndPr/>
        <w:sdtContent>
          <w:r w:rsidRPr="006B44AD">
            <w:rPr>
              <w:b/>
              <w:bCs/>
            </w:rPr>
            <w:fldChar w:fldCharType="begin"/>
          </w:r>
          <w:r w:rsidR="006B44AD">
            <w:rPr>
              <w:b/>
              <w:bCs/>
            </w:rPr>
            <w:instrText xml:space="preserve">CITATION NRPBvol9no2 \l 2057 </w:instrText>
          </w:r>
          <w:r w:rsidRPr="006B44AD">
            <w:rPr>
              <w:b/>
              <w:bCs/>
            </w:rPr>
            <w:fldChar w:fldCharType="separate"/>
          </w:r>
          <w:r w:rsidR="00581332">
            <w:rPr>
              <w:noProof/>
            </w:rPr>
            <w:t>[32]</w:t>
          </w:r>
          <w:r w:rsidRPr="006B44AD">
            <w:rPr>
              <w:b/>
              <w:bCs/>
            </w:rPr>
            <w:fldChar w:fldCharType="end"/>
          </w:r>
        </w:sdtContent>
      </w:sdt>
      <w:r w:rsidRPr="006B44AD">
        <w:rPr>
          <w:b/>
          <w:bCs/>
        </w:rPr>
        <w:t xml:space="preserve">  </w:t>
      </w:r>
    </w:p>
    <w:p w14:paraId="585F6EB3" w14:textId="77777777" w:rsidR="00B44B82" w:rsidRDefault="00B44B82" w:rsidP="00B44B82">
      <w:pPr>
        <w:pStyle w:val="F9-Paragraph"/>
      </w:pPr>
      <w:r>
        <w:t xml:space="preserve">This document gives advice on the radiological protection criteria for the change of use of land contaminated with radioactive material from past practises. It is aimed at non-nuclear sites but has generic principles that can be applied to nuclear sites. </w:t>
      </w:r>
    </w:p>
    <w:p w14:paraId="6026ABA2" w14:textId="775C7B58" w:rsidR="00B44B82" w:rsidRPr="006B44AD" w:rsidRDefault="00B44B82" w:rsidP="006B44AD">
      <w:pPr>
        <w:pStyle w:val="F9-Paragraph"/>
        <w:numPr>
          <w:ilvl w:val="0"/>
          <w:numId w:val="0"/>
        </w:numPr>
        <w:ind w:left="851"/>
      </w:pPr>
      <w:r w:rsidRPr="006B44AD">
        <w:rPr>
          <w:b/>
          <w:bCs/>
        </w:rPr>
        <w:t>NRPB-W36. Methodology for Estimating Doses to Members of the Public from Future Use of Land Previously contaminated with Radioactivity</w:t>
      </w:r>
      <w:sdt>
        <w:sdtPr>
          <w:rPr>
            <w:b/>
            <w:bCs/>
          </w:rPr>
          <w:id w:val="-642111882"/>
          <w:citation/>
        </w:sdtPr>
        <w:sdtEndPr>
          <w:rPr>
            <w:b w:val="0"/>
            <w:bCs w:val="0"/>
          </w:rPr>
        </w:sdtEndPr>
        <w:sdtContent>
          <w:r w:rsidRPr="006B44AD">
            <w:fldChar w:fldCharType="begin"/>
          </w:r>
          <w:r w:rsidR="002A2B28" w:rsidRPr="006B44AD">
            <w:instrText xml:space="preserve">CITATION NRPBw36 \l 2057 </w:instrText>
          </w:r>
          <w:r w:rsidRPr="006B44AD">
            <w:fldChar w:fldCharType="separate"/>
          </w:r>
          <w:r w:rsidR="00581332">
            <w:rPr>
              <w:noProof/>
            </w:rPr>
            <w:t xml:space="preserve"> [23]</w:t>
          </w:r>
          <w:r w:rsidRPr="006B44AD">
            <w:fldChar w:fldCharType="end"/>
          </w:r>
        </w:sdtContent>
      </w:sdt>
    </w:p>
    <w:p w14:paraId="46934130" w14:textId="77777777" w:rsidR="00B44B82" w:rsidRDefault="00B44B82" w:rsidP="00B44B82">
      <w:pPr>
        <w:pStyle w:val="F9-Paragraph"/>
      </w:pPr>
      <w:r>
        <w:t>This report describes a methodology developed to assess doses to workers and members of the public from a variety of land uses, including the most restrictive, use of land contaminated with radioactive materials. Values of dose to the work force involved in remediation scenarios and those to members of the exposed public are calculated per unit concentration of the radionuclides present on the site.</w:t>
      </w:r>
    </w:p>
    <w:p w14:paraId="1A38B864" w14:textId="77777777" w:rsidR="00B44B82" w:rsidRDefault="00B44B82" w:rsidP="00B44B82">
      <w:pPr>
        <w:pStyle w:val="F9-Paragraph"/>
      </w:pPr>
      <w:r>
        <w:t>A variety of exposure paths are considered. The values derived may be used to determine remediation levels for sites.</w:t>
      </w:r>
    </w:p>
    <w:p w14:paraId="0D0681AA" w14:textId="150711A1" w:rsidR="00B44B82" w:rsidRPr="006B44AD" w:rsidRDefault="00B44B82" w:rsidP="006B44AD">
      <w:pPr>
        <w:pStyle w:val="F9-Paragraph"/>
        <w:numPr>
          <w:ilvl w:val="0"/>
          <w:numId w:val="0"/>
        </w:numPr>
        <w:ind w:left="851"/>
        <w:rPr>
          <w:b/>
          <w:bCs/>
        </w:rPr>
      </w:pPr>
      <w:r w:rsidRPr="006B44AD">
        <w:rPr>
          <w:b/>
          <w:bCs/>
        </w:rPr>
        <w:t xml:space="preserve">Clearance and Radiological Sentencing: Principles, Processes and Practices for use by the Nuclear Industry </w:t>
      </w:r>
      <w:sdt>
        <w:sdtPr>
          <w:rPr>
            <w:b/>
            <w:bCs/>
          </w:rPr>
          <w:id w:val="-932513953"/>
          <w:citation/>
        </w:sdtPr>
        <w:sdtEndPr/>
        <w:sdtContent>
          <w:r w:rsidRPr="006B44AD">
            <w:rPr>
              <w:b/>
              <w:bCs/>
            </w:rPr>
            <w:fldChar w:fldCharType="begin"/>
          </w:r>
          <w:r w:rsidR="006B44AD">
            <w:rPr>
              <w:b/>
              <w:bCs/>
            </w:rPr>
            <w:instrText xml:space="preserve">CITATION NIClear \l 2057 </w:instrText>
          </w:r>
          <w:r w:rsidRPr="006B44AD">
            <w:rPr>
              <w:b/>
              <w:bCs/>
            </w:rPr>
            <w:fldChar w:fldCharType="separate"/>
          </w:r>
          <w:r w:rsidR="00581332">
            <w:rPr>
              <w:noProof/>
            </w:rPr>
            <w:t>[33]</w:t>
          </w:r>
          <w:r w:rsidRPr="006B44AD">
            <w:rPr>
              <w:b/>
              <w:bCs/>
            </w:rPr>
            <w:fldChar w:fldCharType="end"/>
          </w:r>
        </w:sdtContent>
      </w:sdt>
      <w:r w:rsidRPr="006B44AD">
        <w:rPr>
          <w:b/>
          <w:bCs/>
        </w:rPr>
        <w:t xml:space="preserve"> </w:t>
      </w:r>
    </w:p>
    <w:p w14:paraId="03BC8D89" w14:textId="20F02D38" w:rsidR="00B44B82" w:rsidRDefault="00B44B82" w:rsidP="007B0612">
      <w:pPr>
        <w:pStyle w:val="F9-Paragraph"/>
        <w:tabs>
          <w:tab w:val="left" w:pos="1440"/>
        </w:tabs>
        <w:contextualSpacing/>
      </w:pPr>
      <w:r>
        <w:t>This was produced following consultation, including with the regulators. Its aim is to ensure consistent application of good practice within the nuclear industry for the management of "exempt" materials and wastes.</w:t>
      </w:r>
    </w:p>
    <w:sectPr w:rsidR="00B44B8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5F454" w14:textId="77777777" w:rsidR="00150456" w:rsidRDefault="00150456" w:rsidP="007D199A">
      <w:pPr>
        <w:spacing w:after="0"/>
      </w:pPr>
      <w:r>
        <w:separator/>
      </w:r>
    </w:p>
    <w:p w14:paraId="276B39D2" w14:textId="77777777" w:rsidR="00150456" w:rsidRDefault="00150456"/>
    <w:p w14:paraId="5795F811" w14:textId="77777777" w:rsidR="00150456" w:rsidRDefault="00150456"/>
  </w:endnote>
  <w:endnote w:type="continuationSeparator" w:id="0">
    <w:p w14:paraId="3F395EC3" w14:textId="77777777" w:rsidR="00150456" w:rsidRDefault="00150456" w:rsidP="007D199A">
      <w:pPr>
        <w:spacing w:after="0"/>
      </w:pPr>
      <w:r>
        <w:continuationSeparator/>
      </w:r>
    </w:p>
    <w:p w14:paraId="16F52E7E" w14:textId="77777777" w:rsidR="00150456" w:rsidRDefault="00150456"/>
    <w:p w14:paraId="57054E78" w14:textId="77777777" w:rsidR="00150456" w:rsidRDefault="00150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B97589F"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1B8C">
      <w:rPr>
        <w:sz w:val="22"/>
      </w:rPr>
      <w:t>7</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45FC1" w14:textId="77777777" w:rsidR="00150456" w:rsidRPr="005E0344" w:rsidRDefault="00150456" w:rsidP="005E0344">
      <w:pPr>
        <w:spacing w:after="120"/>
        <w:rPr>
          <w:color w:val="000000" w:themeColor="text2"/>
        </w:rPr>
      </w:pPr>
      <w:r w:rsidRPr="005E0344">
        <w:rPr>
          <w:color w:val="000000" w:themeColor="text2"/>
        </w:rPr>
        <w:separator/>
      </w:r>
    </w:p>
    <w:p w14:paraId="2A5A218B" w14:textId="77777777" w:rsidR="00150456" w:rsidRDefault="00150456"/>
  </w:footnote>
  <w:footnote w:type="continuationSeparator" w:id="0">
    <w:p w14:paraId="5BF265F6" w14:textId="77777777" w:rsidR="00150456" w:rsidRPr="005E0344" w:rsidRDefault="00150456" w:rsidP="0090581D">
      <w:pPr>
        <w:spacing w:after="120"/>
        <w:rPr>
          <w:color w:val="000000" w:themeColor="text2"/>
        </w:rPr>
      </w:pPr>
      <w:r w:rsidRPr="005E0344">
        <w:rPr>
          <w:color w:val="000000" w:themeColor="text2"/>
        </w:rPr>
        <w:continuationSeparator/>
      </w:r>
    </w:p>
    <w:p w14:paraId="7D3E7DB5" w14:textId="77777777" w:rsidR="00150456" w:rsidRDefault="00150456"/>
    <w:p w14:paraId="616985CF" w14:textId="77777777" w:rsidR="00150456" w:rsidRDefault="00150456"/>
  </w:footnote>
  <w:footnote w:type="continuationNotice" w:id="1">
    <w:p w14:paraId="1C0E76B4" w14:textId="77777777" w:rsidR="00150456" w:rsidRDefault="00150456">
      <w:pPr>
        <w:spacing w:after="0"/>
      </w:pPr>
    </w:p>
    <w:p w14:paraId="71EC91C2" w14:textId="77777777" w:rsidR="00150456" w:rsidRDefault="00150456"/>
    <w:p w14:paraId="1BA0AC6D" w14:textId="77777777" w:rsidR="00150456" w:rsidRDefault="00150456"/>
  </w:footnote>
  <w:footnote w:id="2">
    <w:p w14:paraId="2E029621" w14:textId="4D441A97" w:rsidR="008C2C31" w:rsidRDefault="008C2C31" w:rsidP="008C2C31">
      <w:pPr>
        <w:pStyle w:val="FootnoteText"/>
      </w:pPr>
      <w:r>
        <w:rPr>
          <w:rStyle w:val="FootnoteReference"/>
        </w:rPr>
        <w:footnoteRef/>
      </w:r>
      <w:r>
        <w:t xml:space="preserve"> </w:t>
      </w:r>
      <w:r>
        <w:tab/>
        <w:t>Appropriate environment authority is the Environment Agency, Natural Resource Wales and Scottish Environment Protection Agency for site locations in England</w:t>
      </w:r>
      <w:r w:rsidR="00A3104B">
        <w:t>,</w:t>
      </w:r>
      <w:r>
        <w:t xml:space="preserve"> Wales and Scotland respectively. </w:t>
      </w:r>
    </w:p>
  </w:footnote>
  <w:footnote w:id="3">
    <w:p w14:paraId="7FD9BB47" w14:textId="70B1F2F8" w:rsidR="00B44B82" w:rsidRDefault="00B44B82" w:rsidP="00B44B82">
      <w:pPr>
        <w:pStyle w:val="FootnoteText"/>
      </w:pPr>
      <w:r>
        <w:rPr>
          <w:rStyle w:val="FootnoteReference"/>
        </w:rPr>
        <w:footnoteRef/>
      </w:r>
      <w:r>
        <w:t xml:space="preserve"> </w:t>
      </w:r>
      <w:r>
        <w:tab/>
        <w:t>Since the publication of WS-G-5.1</w:t>
      </w:r>
      <w:r w:rsidR="002A2B28">
        <w:t xml:space="preserve"> </w:t>
      </w:r>
      <w:sdt>
        <w:sdtPr>
          <w:id w:val="-1326113435"/>
          <w:citation/>
        </w:sdtPr>
        <w:sdtEndPr/>
        <w:sdtContent>
          <w:r w:rsidR="002A2B28">
            <w:fldChar w:fldCharType="begin"/>
          </w:r>
          <w:r w:rsidR="002A2B28">
            <w:instrText xml:space="preserve"> CITATION WSG51A \l 2057 </w:instrText>
          </w:r>
          <w:r w:rsidR="002A2B28">
            <w:fldChar w:fldCharType="separate"/>
          </w:r>
          <w:r w:rsidR="00581332" w:rsidRPr="00581332">
            <w:rPr>
              <w:noProof/>
            </w:rPr>
            <w:t>[21]</w:t>
          </w:r>
          <w:r w:rsidR="002A2B28">
            <w:fldChar w:fldCharType="end"/>
          </w:r>
        </w:sdtContent>
      </w:sdt>
      <w:r>
        <w:t>, international terminology has changed, and critical group is now referred to as representative persons.</w:t>
      </w:r>
    </w:p>
  </w:footnote>
  <w:footnote w:id="4">
    <w:p w14:paraId="50F0302C" w14:textId="77777777" w:rsidR="00B44B82" w:rsidRDefault="00B44B82" w:rsidP="00B44B82">
      <w:pPr>
        <w:pStyle w:val="FootnoteText"/>
        <w:ind w:left="142" w:hanging="142"/>
      </w:pPr>
      <w:r>
        <w:rPr>
          <w:rStyle w:val="FootnoteReference"/>
        </w:rPr>
        <w:footnoteRef/>
      </w:r>
      <w:r>
        <w:t xml:space="preserve"> This is a requirement under Environmental Impact Assessment for Decommissioning Regulations, 1999.</w:t>
      </w:r>
    </w:p>
  </w:footnote>
  <w:footnote w:id="5">
    <w:p w14:paraId="2974E5A5" w14:textId="52CEBBC8" w:rsidR="00B44B82" w:rsidRDefault="00B44B82" w:rsidP="00B44B82">
      <w:pPr>
        <w:pStyle w:val="FootnoteText"/>
        <w:ind w:left="142" w:hanging="142"/>
      </w:pPr>
      <w:r>
        <w:rPr>
          <w:rStyle w:val="FootnoteReference"/>
        </w:rPr>
        <w:footnoteRef/>
      </w:r>
      <w:r>
        <w:t xml:space="preserve"> Unless</w:t>
      </w:r>
      <w:r w:rsidRPr="00076875">
        <w:t xml:space="preserve"> it is subject to a process that results in an increase in the radiation exposure as detailed in Para 10 of schedule 23 to EPR16</w:t>
      </w:r>
      <w:r>
        <w:t xml:space="preserve"> </w:t>
      </w:r>
      <w:sdt>
        <w:sdtPr>
          <w:id w:val="659810912"/>
          <w:citation/>
        </w:sdtPr>
        <w:sdtEndPr/>
        <w:sdtContent>
          <w:r>
            <w:fldChar w:fldCharType="begin"/>
          </w:r>
          <w:r w:rsidR="006C4579">
            <w:instrText xml:space="preserve">CITATION EPR16 \l 2057 </w:instrText>
          </w:r>
          <w:r>
            <w:fldChar w:fldCharType="separate"/>
          </w:r>
          <w:r w:rsidR="00581332" w:rsidRPr="00581332">
            <w:rPr>
              <w:noProof/>
            </w:rPr>
            <w:t>[12]</w:t>
          </w:r>
          <w:r>
            <w:fldChar w:fldCharType="end"/>
          </w:r>
        </w:sdtContent>
      </w:sdt>
      <w:r>
        <w:t>.</w:t>
      </w:r>
    </w:p>
  </w:footnote>
  <w:footnote w:id="6">
    <w:p w14:paraId="049AC6BC" w14:textId="77777777" w:rsidR="00B44B82" w:rsidRDefault="00B44B82" w:rsidP="00B44B82">
      <w:pPr>
        <w:pStyle w:val="FootnoteText"/>
      </w:pPr>
      <w:r>
        <w:rPr>
          <w:rStyle w:val="FootnoteReference"/>
        </w:rPr>
        <w:footnoteRef/>
      </w:r>
      <w:r>
        <w:t xml:space="preserve"> </w:t>
      </w:r>
      <w:r>
        <w:tab/>
      </w:r>
      <w:r w:rsidRPr="007E66A5">
        <w:t>For example, HSE’s “Tolerability of Risk” and “Reducing Risks, Protecting People” publications.</w:t>
      </w:r>
    </w:p>
  </w:footnote>
  <w:footnote w:id="7">
    <w:p w14:paraId="40C6BAF7" w14:textId="3EE953F5" w:rsidR="00B44B82" w:rsidRDefault="00B44B82" w:rsidP="00B44B82">
      <w:pPr>
        <w:pStyle w:val="FootnoteText"/>
      </w:pPr>
      <w:r>
        <w:rPr>
          <w:rStyle w:val="FootnoteReference"/>
        </w:rPr>
        <w:footnoteRef/>
      </w:r>
      <w:r>
        <w:t xml:space="preserve"> </w:t>
      </w:r>
      <w:r>
        <w:tab/>
        <w:t xml:space="preserve">National Radiological Protection Board publication “Living with Radiation” </w:t>
      </w:r>
      <w:sdt>
        <w:sdtPr>
          <w:id w:val="-1953933959"/>
          <w:citation/>
        </w:sdtPr>
        <w:sdtEndPr/>
        <w:sdtContent>
          <w:r w:rsidR="00AA12AC">
            <w:fldChar w:fldCharType="begin"/>
          </w:r>
          <w:r w:rsidR="002A2B28">
            <w:instrText xml:space="preserve">CITATION Living \l 2057 </w:instrText>
          </w:r>
          <w:r w:rsidR="00AA12AC">
            <w:fldChar w:fldCharType="separate"/>
          </w:r>
          <w:r w:rsidR="00581332" w:rsidRPr="00581332">
            <w:rPr>
              <w:noProof/>
            </w:rPr>
            <w:t>[35]</w:t>
          </w:r>
          <w:r w:rsidR="00AA12AC">
            <w:fldChar w:fldCharType="end"/>
          </w:r>
        </w:sdtContent>
      </w:sdt>
      <w:r>
        <w:t xml:space="preserve"> states (page 24) “the annual risk of fatal cancer associated with the average annual dose of 2.6 mSv to the public in the UK from all sources of radiation is about 1.3 x 10</w:t>
      </w:r>
      <w:r>
        <w:rPr>
          <w:vertAlign w:val="superscript"/>
        </w:rPr>
        <w:t>-4</w:t>
      </w:r>
      <w:r>
        <w:t xml:space="preserve"> or 1 in 7700.” In 2010 Public Health England annual review of doses</w:t>
      </w:r>
      <w:r w:rsidR="002148C0">
        <w:t xml:space="preserve"> </w:t>
      </w:r>
      <w:sdt>
        <w:sdtPr>
          <w:id w:val="645943037"/>
          <w:citation/>
        </w:sdtPr>
        <w:sdtEndPr/>
        <w:sdtContent>
          <w:r w:rsidR="0017734A">
            <w:fldChar w:fldCharType="begin"/>
          </w:r>
          <w:r w:rsidR="002A2B28">
            <w:instrText xml:space="preserve">CITATION PHECRCE026 \l 2057 </w:instrText>
          </w:r>
          <w:r w:rsidR="0017734A">
            <w:fldChar w:fldCharType="separate"/>
          </w:r>
          <w:r w:rsidR="00581332" w:rsidRPr="00581332">
            <w:rPr>
              <w:noProof/>
            </w:rPr>
            <w:t>[34]</w:t>
          </w:r>
          <w:r w:rsidR="0017734A">
            <w:fldChar w:fldCharType="end"/>
          </w:r>
        </w:sdtContent>
      </w:sdt>
      <w:r>
        <w:t xml:space="preserve"> it was concluded that the average background radiation remains similar, at 2.7 mSv a year.</w:t>
      </w:r>
    </w:p>
  </w:footnote>
  <w:footnote w:id="8">
    <w:p w14:paraId="22FF7710" w14:textId="77777777" w:rsidR="00B44B82" w:rsidRDefault="00B44B82" w:rsidP="00B44B82">
      <w:pPr>
        <w:pStyle w:val="FootnoteText"/>
      </w:pPr>
      <w:r>
        <w:rPr>
          <w:rStyle w:val="FootnoteReference"/>
        </w:rPr>
        <w:footnoteRef/>
      </w:r>
      <w:r>
        <w:t xml:space="preserve"> </w:t>
      </w:r>
      <w:r>
        <w:tab/>
        <w:t>For example, the complete removal of previously contaminated buildings and foundations may significantly reduce any likelihood of there being any residual radioactivity – and hence dramatically lower the residual risk. Such actions may also offer further reassurance to potential future site occupants or owners. Weighed against this are the costs of undertaking the work and the associated disbenefits to the wider environment. Such considerations would vary from site-to-site and may depend strongly on property values and foreseeable commercial use.</w:t>
      </w:r>
    </w:p>
  </w:footnote>
  <w:footnote w:id="9">
    <w:p w14:paraId="3D8778C7" w14:textId="11E56910" w:rsidR="00B44B82" w:rsidRDefault="00B44B82" w:rsidP="00B44B82">
      <w:pPr>
        <w:pStyle w:val="FootnoteText"/>
      </w:pPr>
      <w:r>
        <w:rPr>
          <w:rStyle w:val="FootnoteReference"/>
        </w:rPr>
        <w:footnoteRef/>
      </w:r>
      <w:r>
        <w:t xml:space="preserve"> </w:t>
      </w:r>
      <w:r>
        <w:tab/>
        <w:t xml:space="preserve">Paragraph </w:t>
      </w:r>
      <w:r w:rsidR="005534CD">
        <w:t>90</w:t>
      </w:r>
      <w:r>
        <w:t xml:space="preserve"> provides further information of reasonably foreseeable scenarios.</w:t>
      </w:r>
    </w:p>
  </w:footnote>
  <w:footnote w:id="10">
    <w:p w14:paraId="11314D93" w14:textId="2227E3E5" w:rsidR="00B44B82" w:rsidRDefault="00B44B82" w:rsidP="00B44B82">
      <w:pPr>
        <w:pStyle w:val="FootnoteText"/>
      </w:pPr>
      <w:r>
        <w:rPr>
          <w:rStyle w:val="FootnoteReference"/>
        </w:rPr>
        <w:footnoteRef/>
      </w:r>
      <w:r>
        <w:t xml:space="preserve"> </w:t>
      </w:r>
      <w:r>
        <w:tab/>
        <w:t>Activities in relation to radioactively contaminated land may be subject to regulations under the EPR16</w:t>
      </w:r>
      <w:sdt>
        <w:sdtPr>
          <w:id w:val="628827490"/>
          <w:citation/>
        </w:sdtPr>
        <w:sdtEndPr/>
        <w:sdtContent>
          <w:r>
            <w:fldChar w:fldCharType="begin"/>
          </w:r>
          <w:r w:rsidR="006C4579">
            <w:instrText xml:space="preserve">CITATION EPR16 \l 2057 </w:instrText>
          </w:r>
          <w:r>
            <w:fldChar w:fldCharType="separate"/>
          </w:r>
          <w:r w:rsidR="00581332">
            <w:rPr>
              <w:noProof/>
            </w:rPr>
            <w:t xml:space="preserve"> </w:t>
          </w:r>
          <w:r w:rsidR="00581332" w:rsidRPr="00581332">
            <w:rPr>
              <w:noProof/>
            </w:rPr>
            <w:t>[12]</w:t>
          </w:r>
          <w:r>
            <w:fldChar w:fldCharType="end"/>
          </w:r>
        </w:sdtContent>
      </w:sdt>
      <w:r>
        <w:t>/EASR18</w:t>
      </w:r>
      <w:sdt>
        <w:sdtPr>
          <w:id w:val="1974398825"/>
          <w:citation/>
        </w:sdtPr>
        <w:sdtEndPr/>
        <w:sdtContent>
          <w:r>
            <w:fldChar w:fldCharType="begin"/>
          </w:r>
          <w:r w:rsidR="006C4579">
            <w:instrText xml:space="preserve">CITATION EASR18 \l 2057 </w:instrText>
          </w:r>
          <w:r>
            <w:fldChar w:fldCharType="separate"/>
          </w:r>
          <w:r w:rsidR="00581332">
            <w:rPr>
              <w:noProof/>
            </w:rPr>
            <w:t xml:space="preserve"> </w:t>
          </w:r>
          <w:r w:rsidR="00581332" w:rsidRPr="00581332">
            <w:rPr>
              <w:noProof/>
            </w:rPr>
            <w:t>[13]</w:t>
          </w:r>
          <w:r>
            <w:fldChar w:fldCharType="end"/>
          </w:r>
        </w:sdtContent>
      </w:sdt>
      <w:r>
        <w:t>. In addition, Part IIA of the Environmental Protection Act 1990</w:t>
      </w:r>
      <w:sdt>
        <w:sdtPr>
          <w:id w:val="-1035815319"/>
          <w:citation/>
        </w:sdtPr>
        <w:sdtEndPr/>
        <w:sdtContent>
          <w:r>
            <w:fldChar w:fldCharType="begin"/>
          </w:r>
          <w:r w:rsidR="002A2B28">
            <w:instrText xml:space="preserve">CITATION EPA90 \l 2057 </w:instrText>
          </w:r>
          <w:r>
            <w:fldChar w:fldCharType="separate"/>
          </w:r>
          <w:r w:rsidR="00581332">
            <w:rPr>
              <w:noProof/>
            </w:rPr>
            <w:t xml:space="preserve"> </w:t>
          </w:r>
          <w:r w:rsidR="00581332" w:rsidRPr="00581332">
            <w:rPr>
              <w:noProof/>
            </w:rPr>
            <w:t>[24]</w:t>
          </w:r>
          <w:r>
            <w:fldChar w:fldCharType="end"/>
          </w:r>
        </w:sdtContent>
      </w:sdt>
      <w:r>
        <w:t xml:space="preserve"> defines “contaminated land”, and provides for its remediation, and this may have any implications for any chemical contamination that may be present. It may be sensible for any assessment of the risks arising from residual radioactivity to be assessed alongside chemical contamination. This may enable remedial measures to address all risks in a more cost-effective way than if they are considered at different times.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11BF49F2" w:rsidR="000B2BCD" w:rsidRPr="00046936" w:rsidRDefault="007463B2"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17258D">
          <w:rPr>
            <w:sz w:val="20"/>
            <w:szCs w:val="24"/>
          </w:rPr>
          <w:t>Assessment for the delicensing of a nuclear licenced site</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C3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30D2B01"/>
    <w:multiLevelType w:val="multilevel"/>
    <w:tmpl w:val="5BE4B778"/>
    <w:lvl w:ilvl="0">
      <w:start w:val="1"/>
      <w:numFmt w:val="decimal"/>
      <w:pStyle w:val="SEPAHeading1"/>
      <w:lvlText w:val="%1"/>
      <w:lvlJc w:val="left"/>
      <w:pPr>
        <w:tabs>
          <w:tab w:val="num" w:pos="567"/>
        </w:tabs>
        <w:ind w:left="567" w:hanging="567"/>
      </w:pPr>
      <w:rPr>
        <w:rFonts w:hint="default"/>
      </w:rPr>
    </w:lvl>
    <w:lvl w:ilvl="1">
      <w:start w:val="1"/>
      <w:numFmt w:val="decimal"/>
      <w:pStyle w:val="SEPAParaNum"/>
      <w:lvlText w:val="%1.%2"/>
      <w:lvlJc w:val="left"/>
      <w:pPr>
        <w:tabs>
          <w:tab w:val="num" w:pos="1701"/>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94"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3"/>
  </w:num>
  <w:num w:numId="2" w16cid:durableId="399718409">
    <w:abstractNumId w:val="4"/>
  </w:num>
  <w:num w:numId="3" w16cid:durableId="999388671">
    <w:abstractNumId w:val="2"/>
  </w:num>
  <w:num w:numId="4" w16cid:durableId="1293636562">
    <w:abstractNumId w:val="5"/>
  </w:num>
  <w:num w:numId="5" w16cid:durableId="391512796">
    <w:abstractNumId w:val="0"/>
  </w:num>
  <w:num w:numId="6" w16cid:durableId="1960188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067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6452050">
    <w:abstractNumId w:val="1"/>
  </w:num>
  <w:num w:numId="9" w16cid:durableId="12537852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2745"/>
    <w:rsid w:val="00024522"/>
    <w:rsid w:val="00024B2E"/>
    <w:rsid w:val="00027F4F"/>
    <w:rsid w:val="00030430"/>
    <w:rsid w:val="0003078E"/>
    <w:rsid w:val="00031B89"/>
    <w:rsid w:val="0003693D"/>
    <w:rsid w:val="00037EE2"/>
    <w:rsid w:val="00042687"/>
    <w:rsid w:val="0004440F"/>
    <w:rsid w:val="00046936"/>
    <w:rsid w:val="00052C8A"/>
    <w:rsid w:val="000548C8"/>
    <w:rsid w:val="00055898"/>
    <w:rsid w:val="00075605"/>
    <w:rsid w:val="00075C66"/>
    <w:rsid w:val="00081114"/>
    <w:rsid w:val="00082879"/>
    <w:rsid w:val="00091EEA"/>
    <w:rsid w:val="000950B3"/>
    <w:rsid w:val="000972F0"/>
    <w:rsid w:val="000A4099"/>
    <w:rsid w:val="000A51C3"/>
    <w:rsid w:val="000B2BCD"/>
    <w:rsid w:val="000C2DDC"/>
    <w:rsid w:val="000D2FD4"/>
    <w:rsid w:val="000E5C72"/>
    <w:rsid w:val="000F1B7B"/>
    <w:rsid w:val="000F2ED4"/>
    <w:rsid w:val="000F3932"/>
    <w:rsid w:val="001028E8"/>
    <w:rsid w:val="00111740"/>
    <w:rsid w:val="00122FCC"/>
    <w:rsid w:val="00126752"/>
    <w:rsid w:val="00130B30"/>
    <w:rsid w:val="00131E06"/>
    <w:rsid w:val="001321E2"/>
    <w:rsid w:val="00136064"/>
    <w:rsid w:val="00140E1C"/>
    <w:rsid w:val="00141622"/>
    <w:rsid w:val="001447A9"/>
    <w:rsid w:val="00147AE4"/>
    <w:rsid w:val="00150456"/>
    <w:rsid w:val="0015407B"/>
    <w:rsid w:val="001571E5"/>
    <w:rsid w:val="00164D4F"/>
    <w:rsid w:val="001650D3"/>
    <w:rsid w:val="0017258D"/>
    <w:rsid w:val="0017734A"/>
    <w:rsid w:val="00177666"/>
    <w:rsid w:val="001849CA"/>
    <w:rsid w:val="00185410"/>
    <w:rsid w:val="00192352"/>
    <w:rsid w:val="00195BF7"/>
    <w:rsid w:val="001A0905"/>
    <w:rsid w:val="001A2C6E"/>
    <w:rsid w:val="001C19DE"/>
    <w:rsid w:val="001C4BB5"/>
    <w:rsid w:val="001C4D63"/>
    <w:rsid w:val="001D0DE0"/>
    <w:rsid w:val="001D5AFF"/>
    <w:rsid w:val="001D74B4"/>
    <w:rsid w:val="001E03E1"/>
    <w:rsid w:val="001E219E"/>
    <w:rsid w:val="001E2D99"/>
    <w:rsid w:val="001E2EDB"/>
    <w:rsid w:val="001E6057"/>
    <w:rsid w:val="001F059F"/>
    <w:rsid w:val="00200811"/>
    <w:rsid w:val="00200CA1"/>
    <w:rsid w:val="0021338D"/>
    <w:rsid w:val="002148C0"/>
    <w:rsid w:val="00214D43"/>
    <w:rsid w:val="002175FE"/>
    <w:rsid w:val="00221ED0"/>
    <w:rsid w:val="002238B4"/>
    <w:rsid w:val="0022650C"/>
    <w:rsid w:val="002319AB"/>
    <w:rsid w:val="002319AC"/>
    <w:rsid w:val="00234342"/>
    <w:rsid w:val="0024040D"/>
    <w:rsid w:val="00245A0D"/>
    <w:rsid w:val="00255FA3"/>
    <w:rsid w:val="00256172"/>
    <w:rsid w:val="00257288"/>
    <w:rsid w:val="00261993"/>
    <w:rsid w:val="00261FB6"/>
    <w:rsid w:val="002629F8"/>
    <w:rsid w:val="00263396"/>
    <w:rsid w:val="002659FA"/>
    <w:rsid w:val="00267815"/>
    <w:rsid w:val="00280DDF"/>
    <w:rsid w:val="00283FEB"/>
    <w:rsid w:val="002917FF"/>
    <w:rsid w:val="00292ADF"/>
    <w:rsid w:val="002A0DEC"/>
    <w:rsid w:val="002A2B28"/>
    <w:rsid w:val="002B1C53"/>
    <w:rsid w:val="002B2FBA"/>
    <w:rsid w:val="002C5D50"/>
    <w:rsid w:val="002D1B8C"/>
    <w:rsid w:val="002D5F2E"/>
    <w:rsid w:val="002E0BE4"/>
    <w:rsid w:val="002E3B58"/>
    <w:rsid w:val="002E3E8A"/>
    <w:rsid w:val="002E6A6A"/>
    <w:rsid w:val="002F3397"/>
    <w:rsid w:val="0030380D"/>
    <w:rsid w:val="003040C8"/>
    <w:rsid w:val="00312411"/>
    <w:rsid w:val="00322A4C"/>
    <w:rsid w:val="00323E71"/>
    <w:rsid w:val="00346C8E"/>
    <w:rsid w:val="00347CA8"/>
    <w:rsid w:val="00357A80"/>
    <w:rsid w:val="003667ED"/>
    <w:rsid w:val="00367BD5"/>
    <w:rsid w:val="0037176F"/>
    <w:rsid w:val="003862E3"/>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082D"/>
    <w:rsid w:val="00415ED6"/>
    <w:rsid w:val="00417CAF"/>
    <w:rsid w:val="00420A11"/>
    <w:rsid w:val="00422265"/>
    <w:rsid w:val="0042657E"/>
    <w:rsid w:val="004373A7"/>
    <w:rsid w:val="00437D94"/>
    <w:rsid w:val="0044030C"/>
    <w:rsid w:val="004638C7"/>
    <w:rsid w:val="004648A4"/>
    <w:rsid w:val="00471380"/>
    <w:rsid w:val="0047177E"/>
    <w:rsid w:val="0047504D"/>
    <w:rsid w:val="00494F0D"/>
    <w:rsid w:val="00496BFD"/>
    <w:rsid w:val="004A395A"/>
    <w:rsid w:val="004A3DF2"/>
    <w:rsid w:val="004C361D"/>
    <w:rsid w:val="004C4891"/>
    <w:rsid w:val="004D0039"/>
    <w:rsid w:val="004D2C89"/>
    <w:rsid w:val="004E3932"/>
    <w:rsid w:val="004F1E79"/>
    <w:rsid w:val="004F5F33"/>
    <w:rsid w:val="0050103A"/>
    <w:rsid w:val="00505D04"/>
    <w:rsid w:val="00511B0F"/>
    <w:rsid w:val="00536721"/>
    <w:rsid w:val="00537E71"/>
    <w:rsid w:val="005504C2"/>
    <w:rsid w:val="005534CD"/>
    <w:rsid w:val="0055388E"/>
    <w:rsid w:val="005754AE"/>
    <w:rsid w:val="00575A51"/>
    <w:rsid w:val="005763D7"/>
    <w:rsid w:val="00577FB5"/>
    <w:rsid w:val="00581332"/>
    <w:rsid w:val="005835A0"/>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19A1"/>
    <w:rsid w:val="005C6763"/>
    <w:rsid w:val="005D0EA8"/>
    <w:rsid w:val="005D3164"/>
    <w:rsid w:val="005E0344"/>
    <w:rsid w:val="005E17B4"/>
    <w:rsid w:val="005E211F"/>
    <w:rsid w:val="005E440B"/>
    <w:rsid w:val="005E5053"/>
    <w:rsid w:val="005F2C85"/>
    <w:rsid w:val="00605ADB"/>
    <w:rsid w:val="00611C9F"/>
    <w:rsid w:val="00616620"/>
    <w:rsid w:val="00621BF6"/>
    <w:rsid w:val="0062727A"/>
    <w:rsid w:val="00627555"/>
    <w:rsid w:val="00627B76"/>
    <w:rsid w:val="006316C4"/>
    <w:rsid w:val="006322A0"/>
    <w:rsid w:val="006361FD"/>
    <w:rsid w:val="006363AF"/>
    <w:rsid w:val="00637B24"/>
    <w:rsid w:val="0064226F"/>
    <w:rsid w:val="00653298"/>
    <w:rsid w:val="00663A7C"/>
    <w:rsid w:val="00667DF2"/>
    <w:rsid w:val="00670DF1"/>
    <w:rsid w:val="00671345"/>
    <w:rsid w:val="00671C99"/>
    <w:rsid w:val="00672A9B"/>
    <w:rsid w:val="00674646"/>
    <w:rsid w:val="00675884"/>
    <w:rsid w:val="006835E0"/>
    <w:rsid w:val="006966CA"/>
    <w:rsid w:val="00696D09"/>
    <w:rsid w:val="00696EE0"/>
    <w:rsid w:val="00697980"/>
    <w:rsid w:val="006A19EF"/>
    <w:rsid w:val="006A43D5"/>
    <w:rsid w:val="006A525B"/>
    <w:rsid w:val="006B44AD"/>
    <w:rsid w:val="006C045F"/>
    <w:rsid w:val="006C4196"/>
    <w:rsid w:val="006C4579"/>
    <w:rsid w:val="006C63B0"/>
    <w:rsid w:val="006C71B2"/>
    <w:rsid w:val="006C76A2"/>
    <w:rsid w:val="006C792E"/>
    <w:rsid w:val="006D116C"/>
    <w:rsid w:val="006E200C"/>
    <w:rsid w:val="006E22C1"/>
    <w:rsid w:val="006E7C42"/>
    <w:rsid w:val="006F168A"/>
    <w:rsid w:val="006F5076"/>
    <w:rsid w:val="006F55D4"/>
    <w:rsid w:val="006F6009"/>
    <w:rsid w:val="006F686C"/>
    <w:rsid w:val="0070321D"/>
    <w:rsid w:val="007068BA"/>
    <w:rsid w:val="00713B26"/>
    <w:rsid w:val="00716AB1"/>
    <w:rsid w:val="00721D63"/>
    <w:rsid w:val="00732C7B"/>
    <w:rsid w:val="00734D2B"/>
    <w:rsid w:val="00737705"/>
    <w:rsid w:val="007405B2"/>
    <w:rsid w:val="007408D4"/>
    <w:rsid w:val="007420AC"/>
    <w:rsid w:val="00742617"/>
    <w:rsid w:val="007463B2"/>
    <w:rsid w:val="00761300"/>
    <w:rsid w:val="00776020"/>
    <w:rsid w:val="00783AFA"/>
    <w:rsid w:val="007852FB"/>
    <w:rsid w:val="00785427"/>
    <w:rsid w:val="00790540"/>
    <w:rsid w:val="007968CA"/>
    <w:rsid w:val="007A0A2B"/>
    <w:rsid w:val="007A43FF"/>
    <w:rsid w:val="007B3918"/>
    <w:rsid w:val="007C09A9"/>
    <w:rsid w:val="007C0AD9"/>
    <w:rsid w:val="007C3C1D"/>
    <w:rsid w:val="007D199A"/>
    <w:rsid w:val="007D2EBE"/>
    <w:rsid w:val="007E1A31"/>
    <w:rsid w:val="007E1C07"/>
    <w:rsid w:val="007E4892"/>
    <w:rsid w:val="007F24B6"/>
    <w:rsid w:val="007F2A70"/>
    <w:rsid w:val="007F5EFE"/>
    <w:rsid w:val="007F6460"/>
    <w:rsid w:val="00801564"/>
    <w:rsid w:val="00803D94"/>
    <w:rsid w:val="00806D68"/>
    <w:rsid w:val="008229BA"/>
    <w:rsid w:val="00824669"/>
    <w:rsid w:val="00845390"/>
    <w:rsid w:val="0084601B"/>
    <w:rsid w:val="008606F0"/>
    <w:rsid w:val="00864639"/>
    <w:rsid w:val="00865489"/>
    <w:rsid w:val="0086553D"/>
    <w:rsid w:val="00874FEB"/>
    <w:rsid w:val="00875F23"/>
    <w:rsid w:val="00881B6F"/>
    <w:rsid w:val="00882AA4"/>
    <w:rsid w:val="00883E22"/>
    <w:rsid w:val="00884E43"/>
    <w:rsid w:val="00887EC6"/>
    <w:rsid w:val="0089084C"/>
    <w:rsid w:val="00893409"/>
    <w:rsid w:val="00893D9F"/>
    <w:rsid w:val="008A2379"/>
    <w:rsid w:val="008A4329"/>
    <w:rsid w:val="008A578E"/>
    <w:rsid w:val="008B1519"/>
    <w:rsid w:val="008B2D33"/>
    <w:rsid w:val="008B69E3"/>
    <w:rsid w:val="008B7BCC"/>
    <w:rsid w:val="008C2C31"/>
    <w:rsid w:val="008C50C3"/>
    <w:rsid w:val="008C7094"/>
    <w:rsid w:val="008D1C0E"/>
    <w:rsid w:val="008D2B97"/>
    <w:rsid w:val="008D49A5"/>
    <w:rsid w:val="008D54BE"/>
    <w:rsid w:val="008D6C81"/>
    <w:rsid w:val="008E6CF0"/>
    <w:rsid w:val="008F1439"/>
    <w:rsid w:val="008F660E"/>
    <w:rsid w:val="008F7051"/>
    <w:rsid w:val="008F75EF"/>
    <w:rsid w:val="009033A9"/>
    <w:rsid w:val="00904152"/>
    <w:rsid w:val="0090581D"/>
    <w:rsid w:val="00910902"/>
    <w:rsid w:val="0091439C"/>
    <w:rsid w:val="00915C03"/>
    <w:rsid w:val="00920572"/>
    <w:rsid w:val="00920BF2"/>
    <w:rsid w:val="00926DE4"/>
    <w:rsid w:val="00931697"/>
    <w:rsid w:val="009349A9"/>
    <w:rsid w:val="00936C52"/>
    <w:rsid w:val="009414F9"/>
    <w:rsid w:val="0095489B"/>
    <w:rsid w:val="009557A5"/>
    <w:rsid w:val="00961B82"/>
    <w:rsid w:val="00961C06"/>
    <w:rsid w:val="00966FB9"/>
    <w:rsid w:val="009671CD"/>
    <w:rsid w:val="009751A9"/>
    <w:rsid w:val="00980F9C"/>
    <w:rsid w:val="0098632B"/>
    <w:rsid w:val="00997BFB"/>
    <w:rsid w:val="009A7348"/>
    <w:rsid w:val="009B462C"/>
    <w:rsid w:val="009C15F3"/>
    <w:rsid w:val="009E07C2"/>
    <w:rsid w:val="009E0E52"/>
    <w:rsid w:val="009E7409"/>
    <w:rsid w:val="009F72F9"/>
    <w:rsid w:val="00A00205"/>
    <w:rsid w:val="00A00AF0"/>
    <w:rsid w:val="00A14B5A"/>
    <w:rsid w:val="00A3104B"/>
    <w:rsid w:val="00A33284"/>
    <w:rsid w:val="00A34DE1"/>
    <w:rsid w:val="00A3567F"/>
    <w:rsid w:val="00A37698"/>
    <w:rsid w:val="00A41ED3"/>
    <w:rsid w:val="00A45194"/>
    <w:rsid w:val="00A46D91"/>
    <w:rsid w:val="00A56C01"/>
    <w:rsid w:val="00A81D82"/>
    <w:rsid w:val="00A8606E"/>
    <w:rsid w:val="00A90835"/>
    <w:rsid w:val="00A93D2B"/>
    <w:rsid w:val="00A93E33"/>
    <w:rsid w:val="00AA12AC"/>
    <w:rsid w:val="00AA6D10"/>
    <w:rsid w:val="00AB195E"/>
    <w:rsid w:val="00AB4683"/>
    <w:rsid w:val="00AB6970"/>
    <w:rsid w:val="00AC1939"/>
    <w:rsid w:val="00AC4514"/>
    <w:rsid w:val="00AC7C05"/>
    <w:rsid w:val="00AD10D6"/>
    <w:rsid w:val="00AD167C"/>
    <w:rsid w:val="00AD17C7"/>
    <w:rsid w:val="00AD298F"/>
    <w:rsid w:val="00AD4041"/>
    <w:rsid w:val="00AD78FC"/>
    <w:rsid w:val="00AE302B"/>
    <w:rsid w:val="00AE4F54"/>
    <w:rsid w:val="00AF1C0E"/>
    <w:rsid w:val="00AF1E35"/>
    <w:rsid w:val="00AF31F0"/>
    <w:rsid w:val="00B259DF"/>
    <w:rsid w:val="00B27459"/>
    <w:rsid w:val="00B44B1F"/>
    <w:rsid w:val="00B44B82"/>
    <w:rsid w:val="00B50450"/>
    <w:rsid w:val="00B64141"/>
    <w:rsid w:val="00B64E72"/>
    <w:rsid w:val="00B73194"/>
    <w:rsid w:val="00B77913"/>
    <w:rsid w:val="00B824FB"/>
    <w:rsid w:val="00B82646"/>
    <w:rsid w:val="00B84346"/>
    <w:rsid w:val="00B92E1A"/>
    <w:rsid w:val="00B97359"/>
    <w:rsid w:val="00B97A8F"/>
    <w:rsid w:val="00BA4E58"/>
    <w:rsid w:val="00BA7074"/>
    <w:rsid w:val="00BB5EBA"/>
    <w:rsid w:val="00BB7829"/>
    <w:rsid w:val="00BC7B43"/>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22B1"/>
    <w:rsid w:val="00CD48E3"/>
    <w:rsid w:val="00CE1DB2"/>
    <w:rsid w:val="00CE2709"/>
    <w:rsid w:val="00CE2D64"/>
    <w:rsid w:val="00CE6198"/>
    <w:rsid w:val="00CF6230"/>
    <w:rsid w:val="00D017FC"/>
    <w:rsid w:val="00D0226A"/>
    <w:rsid w:val="00D1256B"/>
    <w:rsid w:val="00D13147"/>
    <w:rsid w:val="00D24E3A"/>
    <w:rsid w:val="00D33980"/>
    <w:rsid w:val="00D523AF"/>
    <w:rsid w:val="00D5715A"/>
    <w:rsid w:val="00D618F4"/>
    <w:rsid w:val="00D71687"/>
    <w:rsid w:val="00D74813"/>
    <w:rsid w:val="00DA30BC"/>
    <w:rsid w:val="00DA69C2"/>
    <w:rsid w:val="00DA6D70"/>
    <w:rsid w:val="00DB6050"/>
    <w:rsid w:val="00DC2C34"/>
    <w:rsid w:val="00DC4909"/>
    <w:rsid w:val="00DD2850"/>
    <w:rsid w:val="00DE2C87"/>
    <w:rsid w:val="00DE459A"/>
    <w:rsid w:val="00DF27DA"/>
    <w:rsid w:val="00DF4DBE"/>
    <w:rsid w:val="00DF63D0"/>
    <w:rsid w:val="00DF7EF9"/>
    <w:rsid w:val="00E01077"/>
    <w:rsid w:val="00E20B32"/>
    <w:rsid w:val="00E221DC"/>
    <w:rsid w:val="00E26C24"/>
    <w:rsid w:val="00E34607"/>
    <w:rsid w:val="00E40820"/>
    <w:rsid w:val="00E4658F"/>
    <w:rsid w:val="00E54A67"/>
    <w:rsid w:val="00E56739"/>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B076F"/>
    <w:rsid w:val="00EB7685"/>
    <w:rsid w:val="00ED4D4E"/>
    <w:rsid w:val="00EE0C77"/>
    <w:rsid w:val="00EE4E54"/>
    <w:rsid w:val="00EE7EA4"/>
    <w:rsid w:val="00F0120D"/>
    <w:rsid w:val="00F10BAC"/>
    <w:rsid w:val="00F3284E"/>
    <w:rsid w:val="00F32F83"/>
    <w:rsid w:val="00F37740"/>
    <w:rsid w:val="00F436BB"/>
    <w:rsid w:val="00F44BEF"/>
    <w:rsid w:val="00F47145"/>
    <w:rsid w:val="00F545BF"/>
    <w:rsid w:val="00F56152"/>
    <w:rsid w:val="00F61B86"/>
    <w:rsid w:val="00F63AA5"/>
    <w:rsid w:val="00F71B56"/>
    <w:rsid w:val="00F7687C"/>
    <w:rsid w:val="00F832C8"/>
    <w:rsid w:val="00F873B3"/>
    <w:rsid w:val="00FA42B9"/>
    <w:rsid w:val="00FA69C5"/>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B44B8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44B82"/>
    <w:rPr>
      <w:rFonts w:ascii="Arial" w:eastAsiaTheme="minorHAnsi" w:hAnsi="Arial" w:cstheme="minorBidi"/>
      <w:b/>
      <w:bCs/>
      <w:lang w:eastAsia="en-US" w:bidi="he-IL"/>
    </w:rPr>
  </w:style>
  <w:style w:type="character" w:customStyle="1" w:styleId="normaltextrun">
    <w:name w:val="normaltextrun"/>
    <w:basedOn w:val="DefaultParagraphFont"/>
    <w:rsid w:val="00B44B82"/>
  </w:style>
  <w:style w:type="character" w:customStyle="1" w:styleId="eop">
    <w:name w:val="eop"/>
    <w:basedOn w:val="DefaultParagraphFont"/>
    <w:rsid w:val="00B44B82"/>
  </w:style>
  <w:style w:type="paragraph" w:styleId="Revision">
    <w:name w:val="Revision"/>
    <w:hidden/>
    <w:uiPriority w:val="99"/>
    <w:semiHidden/>
    <w:rsid w:val="00B44B82"/>
    <w:rPr>
      <w:rFonts w:ascii="Arial" w:hAnsi="Arial"/>
      <w:sz w:val="24"/>
      <w:szCs w:val="22"/>
      <w:lang w:eastAsia="en-US" w:bidi="he-IL"/>
    </w:rPr>
  </w:style>
  <w:style w:type="character" w:customStyle="1" w:styleId="scxw119737184">
    <w:name w:val="scxw119737184"/>
    <w:basedOn w:val="DefaultParagraphFont"/>
    <w:rsid w:val="00B44B82"/>
  </w:style>
  <w:style w:type="paragraph" w:customStyle="1" w:styleId="SEPAParaNum">
    <w:name w:val="SEPA Para  Num"/>
    <w:qFormat/>
    <w:rsid w:val="00B44B82"/>
    <w:pPr>
      <w:numPr>
        <w:ilvl w:val="1"/>
        <w:numId w:val="8"/>
      </w:numPr>
      <w:spacing w:after="240" w:line="259" w:lineRule="auto"/>
    </w:pPr>
    <w:rPr>
      <w:rFonts w:ascii="Arial" w:eastAsiaTheme="minorHAnsi" w:hAnsi="Arial"/>
      <w:sz w:val="22"/>
      <w:szCs w:val="22"/>
      <w:lang w:eastAsia="en-US"/>
    </w:rPr>
  </w:style>
  <w:style w:type="paragraph" w:customStyle="1" w:styleId="SEPAHeading1">
    <w:name w:val="SEPA Heading 1"/>
    <w:qFormat/>
    <w:rsid w:val="00B44B82"/>
    <w:pPr>
      <w:keepNext/>
      <w:numPr>
        <w:numId w:val="8"/>
      </w:numPr>
      <w:spacing w:after="160" w:line="259" w:lineRule="auto"/>
    </w:pPr>
    <w:rPr>
      <w:rFonts w:ascii="Arial" w:eastAsiaTheme="minorHAnsi" w:hAnsi="Arial"/>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485949">
      <w:bodyDiv w:val="1"/>
      <w:marLeft w:val="0"/>
      <w:marRight w:val="0"/>
      <w:marTop w:val="0"/>
      <w:marBottom w:val="0"/>
      <w:divBdr>
        <w:top w:val="none" w:sz="0" w:space="0" w:color="auto"/>
        <w:left w:val="none" w:sz="0" w:space="0" w:color="auto"/>
        <w:bottom w:val="none" w:sz="0" w:space="0" w:color="auto"/>
        <w:right w:val="none" w:sz="0" w:space="0" w:color="auto"/>
      </w:divBdr>
    </w:div>
    <w:div w:id="15927711">
      <w:bodyDiv w:val="1"/>
      <w:marLeft w:val="0"/>
      <w:marRight w:val="0"/>
      <w:marTop w:val="0"/>
      <w:marBottom w:val="0"/>
      <w:divBdr>
        <w:top w:val="none" w:sz="0" w:space="0" w:color="auto"/>
        <w:left w:val="none" w:sz="0" w:space="0" w:color="auto"/>
        <w:bottom w:val="none" w:sz="0" w:space="0" w:color="auto"/>
        <w:right w:val="none" w:sz="0" w:space="0" w:color="auto"/>
      </w:divBdr>
    </w:div>
    <w:div w:id="16540121">
      <w:bodyDiv w:val="1"/>
      <w:marLeft w:val="0"/>
      <w:marRight w:val="0"/>
      <w:marTop w:val="0"/>
      <w:marBottom w:val="0"/>
      <w:divBdr>
        <w:top w:val="none" w:sz="0" w:space="0" w:color="auto"/>
        <w:left w:val="none" w:sz="0" w:space="0" w:color="auto"/>
        <w:bottom w:val="none" w:sz="0" w:space="0" w:color="auto"/>
        <w:right w:val="none" w:sz="0" w:space="0" w:color="auto"/>
      </w:divBdr>
    </w:div>
    <w:div w:id="21903498">
      <w:bodyDiv w:val="1"/>
      <w:marLeft w:val="0"/>
      <w:marRight w:val="0"/>
      <w:marTop w:val="0"/>
      <w:marBottom w:val="0"/>
      <w:divBdr>
        <w:top w:val="none" w:sz="0" w:space="0" w:color="auto"/>
        <w:left w:val="none" w:sz="0" w:space="0" w:color="auto"/>
        <w:bottom w:val="none" w:sz="0" w:space="0" w:color="auto"/>
        <w:right w:val="none" w:sz="0" w:space="0" w:color="auto"/>
      </w:divBdr>
    </w:div>
    <w:div w:id="23409951">
      <w:bodyDiv w:val="1"/>
      <w:marLeft w:val="0"/>
      <w:marRight w:val="0"/>
      <w:marTop w:val="0"/>
      <w:marBottom w:val="0"/>
      <w:divBdr>
        <w:top w:val="none" w:sz="0" w:space="0" w:color="auto"/>
        <w:left w:val="none" w:sz="0" w:space="0" w:color="auto"/>
        <w:bottom w:val="none" w:sz="0" w:space="0" w:color="auto"/>
        <w:right w:val="none" w:sz="0" w:space="0" w:color="auto"/>
      </w:divBdr>
    </w:div>
    <w:div w:id="23599457">
      <w:bodyDiv w:val="1"/>
      <w:marLeft w:val="0"/>
      <w:marRight w:val="0"/>
      <w:marTop w:val="0"/>
      <w:marBottom w:val="0"/>
      <w:divBdr>
        <w:top w:val="none" w:sz="0" w:space="0" w:color="auto"/>
        <w:left w:val="none" w:sz="0" w:space="0" w:color="auto"/>
        <w:bottom w:val="none" w:sz="0" w:space="0" w:color="auto"/>
        <w:right w:val="none" w:sz="0" w:space="0" w:color="auto"/>
      </w:divBdr>
    </w:div>
    <w:div w:id="26487807">
      <w:bodyDiv w:val="1"/>
      <w:marLeft w:val="0"/>
      <w:marRight w:val="0"/>
      <w:marTop w:val="0"/>
      <w:marBottom w:val="0"/>
      <w:divBdr>
        <w:top w:val="none" w:sz="0" w:space="0" w:color="auto"/>
        <w:left w:val="none" w:sz="0" w:space="0" w:color="auto"/>
        <w:bottom w:val="none" w:sz="0" w:space="0" w:color="auto"/>
        <w:right w:val="none" w:sz="0" w:space="0" w:color="auto"/>
      </w:divBdr>
    </w:div>
    <w:div w:id="32510490">
      <w:bodyDiv w:val="1"/>
      <w:marLeft w:val="0"/>
      <w:marRight w:val="0"/>
      <w:marTop w:val="0"/>
      <w:marBottom w:val="0"/>
      <w:divBdr>
        <w:top w:val="none" w:sz="0" w:space="0" w:color="auto"/>
        <w:left w:val="none" w:sz="0" w:space="0" w:color="auto"/>
        <w:bottom w:val="none" w:sz="0" w:space="0" w:color="auto"/>
        <w:right w:val="none" w:sz="0" w:space="0" w:color="auto"/>
      </w:divBdr>
    </w:div>
    <w:div w:id="34502295">
      <w:bodyDiv w:val="1"/>
      <w:marLeft w:val="0"/>
      <w:marRight w:val="0"/>
      <w:marTop w:val="0"/>
      <w:marBottom w:val="0"/>
      <w:divBdr>
        <w:top w:val="none" w:sz="0" w:space="0" w:color="auto"/>
        <w:left w:val="none" w:sz="0" w:space="0" w:color="auto"/>
        <w:bottom w:val="none" w:sz="0" w:space="0" w:color="auto"/>
        <w:right w:val="none" w:sz="0" w:space="0" w:color="auto"/>
      </w:divBdr>
    </w:div>
    <w:div w:id="36898726">
      <w:bodyDiv w:val="1"/>
      <w:marLeft w:val="0"/>
      <w:marRight w:val="0"/>
      <w:marTop w:val="0"/>
      <w:marBottom w:val="0"/>
      <w:divBdr>
        <w:top w:val="none" w:sz="0" w:space="0" w:color="auto"/>
        <w:left w:val="none" w:sz="0" w:space="0" w:color="auto"/>
        <w:bottom w:val="none" w:sz="0" w:space="0" w:color="auto"/>
        <w:right w:val="none" w:sz="0" w:space="0" w:color="auto"/>
      </w:divBdr>
    </w:div>
    <w:div w:id="46300854">
      <w:bodyDiv w:val="1"/>
      <w:marLeft w:val="0"/>
      <w:marRight w:val="0"/>
      <w:marTop w:val="0"/>
      <w:marBottom w:val="0"/>
      <w:divBdr>
        <w:top w:val="none" w:sz="0" w:space="0" w:color="auto"/>
        <w:left w:val="none" w:sz="0" w:space="0" w:color="auto"/>
        <w:bottom w:val="none" w:sz="0" w:space="0" w:color="auto"/>
        <w:right w:val="none" w:sz="0" w:space="0" w:color="auto"/>
      </w:divBdr>
    </w:div>
    <w:div w:id="48962050">
      <w:bodyDiv w:val="1"/>
      <w:marLeft w:val="0"/>
      <w:marRight w:val="0"/>
      <w:marTop w:val="0"/>
      <w:marBottom w:val="0"/>
      <w:divBdr>
        <w:top w:val="none" w:sz="0" w:space="0" w:color="auto"/>
        <w:left w:val="none" w:sz="0" w:space="0" w:color="auto"/>
        <w:bottom w:val="none" w:sz="0" w:space="0" w:color="auto"/>
        <w:right w:val="none" w:sz="0" w:space="0" w:color="auto"/>
      </w:divBdr>
    </w:div>
    <w:div w:id="49497786">
      <w:bodyDiv w:val="1"/>
      <w:marLeft w:val="0"/>
      <w:marRight w:val="0"/>
      <w:marTop w:val="0"/>
      <w:marBottom w:val="0"/>
      <w:divBdr>
        <w:top w:val="none" w:sz="0" w:space="0" w:color="auto"/>
        <w:left w:val="none" w:sz="0" w:space="0" w:color="auto"/>
        <w:bottom w:val="none" w:sz="0" w:space="0" w:color="auto"/>
        <w:right w:val="none" w:sz="0" w:space="0" w:color="auto"/>
      </w:divBdr>
    </w:div>
    <w:div w:id="63454768">
      <w:bodyDiv w:val="1"/>
      <w:marLeft w:val="0"/>
      <w:marRight w:val="0"/>
      <w:marTop w:val="0"/>
      <w:marBottom w:val="0"/>
      <w:divBdr>
        <w:top w:val="none" w:sz="0" w:space="0" w:color="auto"/>
        <w:left w:val="none" w:sz="0" w:space="0" w:color="auto"/>
        <w:bottom w:val="none" w:sz="0" w:space="0" w:color="auto"/>
        <w:right w:val="none" w:sz="0" w:space="0" w:color="auto"/>
      </w:divBdr>
    </w:div>
    <w:div w:id="69616939">
      <w:bodyDiv w:val="1"/>
      <w:marLeft w:val="0"/>
      <w:marRight w:val="0"/>
      <w:marTop w:val="0"/>
      <w:marBottom w:val="0"/>
      <w:divBdr>
        <w:top w:val="none" w:sz="0" w:space="0" w:color="auto"/>
        <w:left w:val="none" w:sz="0" w:space="0" w:color="auto"/>
        <w:bottom w:val="none" w:sz="0" w:space="0" w:color="auto"/>
        <w:right w:val="none" w:sz="0" w:space="0" w:color="auto"/>
      </w:divBdr>
    </w:div>
    <w:div w:id="76174214">
      <w:bodyDiv w:val="1"/>
      <w:marLeft w:val="0"/>
      <w:marRight w:val="0"/>
      <w:marTop w:val="0"/>
      <w:marBottom w:val="0"/>
      <w:divBdr>
        <w:top w:val="none" w:sz="0" w:space="0" w:color="auto"/>
        <w:left w:val="none" w:sz="0" w:space="0" w:color="auto"/>
        <w:bottom w:val="none" w:sz="0" w:space="0" w:color="auto"/>
        <w:right w:val="none" w:sz="0" w:space="0" w:color="auto"/>
      </w:divBdr>
    </w:div>
    <w:div w:id="76444119">
      <w:bodyDiv w:val="1"/>
      <w:marLeft w:val="0"/>
      <w:marRight w:val="0"/>
      <w:marTop w:val="0"/>
      <w:marBottom w:val="0"/>
      <w:divBdr>
        <w:top w:val="none" w:sz="0" w:space="0" w:color="auto"/>
        <w:left w:val="none" w:sz="0" w:space="0" w:color="auto"/>
        <w:bottom w:val="none" w:sz="0" w:space="0" w:color="auto"/>
        <w:right w:val="none" w:sz="0" w:space="0" w:color="auto"/>
      </w:divBdr>
    </w:div>
    <w:div w:id="84034830">
      <w:bodyDiv w:val="1"/>
      <w:marLeft w:val="0"/>
      <w:marRight w:val="0"/>
      <w:marTop w:val="0"/>
      <w:marBottom w:val="0"/>
      <w:divBdr>
        <w:top w:val="none" w:sz="0" w:space="0" w:color="auto"/>
        <w:left w:val="none" w:sz="0" w:space="0" w:color="auto"/>
        <w:bottom w:val="none" w:sz="0" w:space="0" w:color="auto"/>
        <w:right w:val="none" w:sz="0" w:space="0" w:color="auto"/>
      </w:divBdr>
    </w:div>
    <w:div w:id="84353022">
      <w:bodyDiv w:val="1"/>
      <w:marLeft w:val="0"/>
      <w:marRight w:val="0"/>
      <w:marTop w:val="0"/>
      <w:marBottom w:val="0"/>
      <w:divBdr>
        <w:top w:val="none" w:sz="0" w:space="0" w:color="auto"/>
        <w:left w:val="none" w:sz="0" w:space="0" w:color="auto"/>
        <w:bottom w:val="none" w:sz="0" w:space="0" w:color="auto"/>
        <w:right w:val="none" w:sz="0" w:space="0" w:color="auto"/>
      </w:divBdr>
    </w:div>
    <w:div w:id="8947141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456020">
      <w:bodyDiv w:val="1"/>
      <w:marLeft w:val="0"/>
      <w:marRight w:val="0"/>
      <w:marTop w:val="0"/>
      <w:marBottom w:val="0"/>
      <w:divBdr>
        <w:top w:val="none" w:sz="0" w:space="0" w:color="auto"/>
        <w:left w:val="none" w:sz="0" w:space="0" w:color="auto"/>
        <w:bottom w:val="none" w:sz="0" w:space="0" w:color="auto"/>
        <w:right w:val="none" w:sz="0" w:space="0" w:color="auto"/>
      </w:divBdr>
    </w:div>
    <w:div w:id="99767979">
      <w:bodyDiv w:val="1"/>
      <w:marLeft w:val="0"/>
      <w:marRight w:val="0"/>
      <w:marTop w:val="0"/>
      <w:marBottom w:val="0"/>
      <w:divBdr>
        <w:top w:val="none" w:sz="0" w:space="0" w:color="auto"/>
        <w:left w:val="none" w:sz="0" w:space="0" w:color="auto"/>
        <w:bottom w:val="none" w:sz="0" w:space="0" w:color="auto"/>
        <w:right w:val="none" w:sz="0" w:space="0" w:color="auto"/>
      </w:divBdr>
    </w:div>
    <w:div w:id="100878025">
      <w:bodyDiv w:val="1"/>
      <w:marLeft w:val="0"/>
      <w:marRight w:val="0"/>
      <w:marTop w:val="0"/>
      <w:marBottom w:val="0"/>
      <w:divBdr>
        <w:top w:val="none" w:sz="0" w:space="0" w:color="auto"/>
        <w:left w:val="none" w:sz="0" w:space="0" w:color="auto"/>
        <w:bottom w:val="none" w:sz="0" w:space="0" w:color="auto"/>
        <w:right w:val="none" w:sz="0" w:space="0" w:color="auto"/>
      </w:divBdr>
    </w:div>
    <w:div w:id="119078981">
      <w:bodyDiv w:val="1"/>
      <w:marLeft w:val="0"/>
      <w:marRight w:val="0"/>
      <w:marTop w:val="0"/>
      <w:marBottom w:val="0"/>
      <w:divBdr>
        <w:top w:val="none" w:sz="0" w:space="0" w:color="auto"/>
        <w:left w:val="none" w:sz="0" w:space="0" w:color="auto"/>
        <w:bottom w:val="none" w:sz="0" w:space="0" w:color="auto"/>
        <w:right w:val="none" w:sz="0" w:space="0" w:color="auto"/>
      </w:divBdr>
    </w:div>
    <w:div w:id="119501534">
      <w:bodyDiv w:val="1"/>
      <w:marLeft w:val="0"/>
      <w:marRight w:val="0"/>
      <w:marTop w:val="0"/>
      <w:marBottom w:val="0"/>
      <w:divBdr>
        <w:top w:val="none" w:sz="0" w:space="0" w:color="auto"/>
        <w:left w:val="none" w:sz="0" w:space="0" w:color="auto"/>
        <w:bottom w:val="none" w:sz="0" w:space="0" w:color="auto"/>
        <w:right w:val="none" w:sz="0" w:space="0" w:color="auto"/>
      </w:divBdr>
    </w:div>
    <w:div w:id="123550990">
      <w:bodyDiv w:val="1"/>
      <w:marLeft w:val="0"/>
      <w:marRight w:val="0"/>
      <w:marTop w:val="0"/>
      <w:marBottom w:val="0"/>
      <w:divBdr>
        <w:top w:val="none" w:sz="0" w:space="0" w:color="auto"/>
        <w:left w:val="none" w:sz="0" w:space="0" w:color="auto"/>
        <w:bottom w:val="none" w:sz="0" w:space="0" w:color="auto"/>
        <w:right w:val="none" w:sz="0" w:space="0" w:color="auto"/>
      </w:divBdr>
    </w:div>
    <w:div w:id="128667001">
      <w:bodyDiv w:val="1"/>
      <w:marLeft w:val="0"/>
      <w:marRight w:val="0"/>
      <w:marTop w:val="0"/>
      <w:marBottom w:val="0"/>
      <w:divBdr>
        <w:top w:val="none" w:sz="0" w:space="0" w:color="auto"/>
        <w:left w:val="none" w:sz="0" w:space="0" w:color="auto"/>
        <w:bottom w:val="none" w:sz="0" w:space="0" w:color="auto"/>
        <w:right w:val="none" w:sz="0" w:space="0" w:color="auto"/>
      </w:divBdr>
    </w:div>
    <w:div w:id="133258461">
      <w:bodyDiv w:val="1"/>
      <w:marLeft w:val="0"/>
      <w:marRight w:val="0"/>
      <w:marTop w:val="0"/>
      <w:marBottom w:val="0"/>
      <w:divBdr>
        <w:top w:val="none" w:sz="0" w:space="0" w:color="auto"/>
        <w:left w:val="none" w:sz="0" w:space="0" w:color="auto"/>
        <w:bottom w:val="none" w:sz="0" w:space="0" w:color="auto"/>
        <w:right w:val="none" w:sz="0" w:space="0" w:color="auto"/>
      </w:divBdr>
    </w:div>
    <w:div w:id="133790239">
      <w:bodyDiv w:val="1"/>
      <w:marLeft w:val="0"/>
      <w:marRight w:val="0"/>
      <w:marTop w:val="0"/>
      <w:marBottom w:val="0"/>
      <w:divBdr>
        <w:top w:val="none" w:sz="0" w:space="0" w:color="auto"/>
        <w:left w:val="none" w:sz="0" w:space="0" w:color="auto"/>
        <w:bottom w:val="none" w:sz="0" w:space="0" w:color="auto"/>
        <w:right w:val="none" w:sz="0" w:space="0" w:color="auto"/>
      </w:divBdr>
    </w:div>
    <w:div w:id="136462462">
      <w:bodyDiv w:val="1"/>
      <w:marLeft w:val="0"/>
      <w:marRight w:val="0"/>
      <w:marTop w:val="0"/>
      <w:marBottom w:val="0"/>
      <w:divBdr>
        <w:top w:val="none" w:sz="0" w:space="0" w:color="auto"/>
        <w:left w:val="none" w:sz="0" w:space="0" w:color="auto"/>
        <w:bottom w:val="none" w:sz="0" w:space="0" w:color="auto"/>
        <w:right w:val="none" w:sz="0" w:space="0" w:color="auto"/>
      </w:divBdr>
    </w:div>
    <w:div w:id="136992983">
      <w:bodyDiv w:val="1"/>
      <w:marLeft w:val="0"/>
      <w:marRight w:val="0"/>
      <w:marTop w:val="0"/>
      <w:marBottom w:val="0"/>
      <w:divBdr>
        <w:top w:val="none" w:sz="0" w:space="0" w:color="auto"/>
        <w:left w:val="none" w:sz="0" w:space="0" w:color="auto"/>
        <w:bottom w:val="none" w:sz="0" w:space="0" w:color="auto"/>
        <w:right w:val="none" w:sz="0" w:space="0" w:color="auto"/>
      </w:divBdr>
    </w:div>
    <w:div w:id="137891559">
      <w:bodyDiv w:val="1"/>
      <w:marLeft w:val="0"/>
      <w:marRight w:val="0"/>
      <w:marTop w:val="0"/>
      <w:marBottom w:val="0"/>
      <w:divBdr>
        <w:top w:val="none" w:sz="0" w:space="0" w:color="auto"/>
        <w:left w:val="none" w:sz="0" w:space="0" w:color="auto"/>
        <w:bottom w:val="none" w:sz="0" w:space="0" w:color="auto"/>
        <w:right w:val="none" w:sz="0" w:space="0" w:color="auto"/>
      </w:divBdr>
    </w:div>
    <w:div w:id="143743573">
      <w:bodyDiv w:val="1"/>
      <w:marLeft w:val="0"/>
      <w:marRight w:val="0"/>
      <w:marTop w:val="0"/>
      <w:marBottom w:val="0"/>
      <w:divBdr>
        <w:top w:val="none" w:sz="0" w:space="0" w:color="auto"/>
        <w:left w:val="none" w:sz="0" w:space="0" w:color="auto"/>
        <w:bottom w:val="none" w:sz="0" w:space="0" w:color="auto"/>
        <w:right w:val="none" w:sz="0" w:space="0" w:color="auto"/>
      </w:divBdr>
    </w:div>
    <w:div w:id="151918827">
      <w:bodyDiv w:val="1"/>
      <w:marLeft w:val="0"/>
      <w:marRight w:val="0"/>
      <w:marTop w:val="0"/>
      <w:marBottom w:val="0"/>
      <w:divBdr>
        <w:top w:val="none" w:sz="0" w:space="0" w:color="auto"/>
        <w:left w:val="none" w:sz="0" w:space="0" w:color="auto"/>
        <w:bottom w:val="none" w:sz="0" w:space="0" w:color="auto"/>
        <w:right w:val="none" w:sz="0" w:space="0" w:color="auto"/>
      </w:divBdr>
    </w:div>
    <w:div w:id="154996751">
      <w:bodyDiv w:val="1"/>
      <w:marLeft w:val="0"/>
      <w:marRight w:val="0"/>
      <w:marTop w:val="0"/>
      <w:marBottom w:val="0"/>
      <w:divBdr>
        <w:top w:val="none" w:sz="0" w:space="0" w:color="auto"/>
        <w:left w:val="none" w:sz="0" w:space="0" w:color="auto"/>
        <w:bottom w:val="none" w:sz="0" w:space="0" w:color="auto"/>
        <w:right w:val="none" w:sz="0" w:space="0" w:color="auto"/>
      </w:divBdr>
    </w:div>
    <w:div w:id="158814676">
      <w:bodyDiv w:val="1"/>
      <w:marLeft w:val="0"/>
      <w:marRight w:val="0"/>
      <w:marTop w:val="0"/>
      <w:marBottom w:val="0"/>
      <w:divBdr>
        <w:top w:val="none" w:sz="0" w:space="0" w:color="auto"/>
        <w:left w:val="none" w:sz="0" w:space="0" w:color="auto"/>
        <w:bottom w:val="none" w:sz="0" w:space="0" w:color="auto"/>
        <w:right w:val="none" w:sz="0" w:space="0" w:color="auto"/>
      </w:divBdr>
    </w:div>
    <w:div w:id="166019999">
      <w:bodyDiv w:val="1"/>
      <w:marLeft w:val="0"/>
      <w:marRight w:val="0"/>
      <w:marTop w:val="0"/>
      <w:marBottom w:val="0"/>
      <w:divBdr>
        <w:top w:val="none" w:sz="0" w:space="0" w:color="auto"/>
        <w:left w:val="none" w:sz="0" w:space="0" w:color="auto"/>
        <w:bottom w:val="none" w:sz="0" w:space="0" w:color="auto"/>
        <w:right w:val="none" w:sz="0" w:space="0" w:color="auto"/>
      </w:divBdr>
    </w:div>
    <w:div w:id="169148883">
      <w:bodyDiv w:val="1"/>
      <w:marLeft w:val="0"/>
      <w:marRight w:val="0"/>
      <w:marTop w:val="0"/>
      <w:marBottom w:val="0"/>
      <w:divBdr>
        <w:top w:val="none" w:sz="0" w:space="0" w:color="auto"/>
        <w:left w:val="none" w:sz="0" w:space="0" w:color="auto"/>
        <w:bottom w:val="none" w:sz="0" w:space="0" w:color="auto"/>
        <w:right w:val="none" w:sz="0" w:space="0" w:color="auto"/>
      </w:divBdr>
    </w:div>
    <w:div w:id="169756185">
      <w:bodyDiv w:val="1"/>
      <w:marLeft w:val="0"/>
      <w:marRight w:val="0"/>
      <w:marTop w:val="0"/>
      <w:marBottom w:val="0"/>
      <w:divBdr>
        <w:top w:val="none" w:sz="0" w:space="0" w:color="auto"/>
        <w:left w:val="none" w:sz="0" w:space="0" w:color="auto"/>
        <w:bottom w:val="none" w:sz="0" w:space="0" w:color="auto"/>
        <w:right w:val="none" w:sz="0" w:space="0" w:color="auto"/>
      </w:divBdr>
    </w:div>
    <w:div w:id="178398824">
      <w:bodyDiv w:val="1"/>
      <w:marLeft w:val="0"/>
      <w:marRight w:val="0"/>
      <w:marTop w:val="0"/>
      <w:marBottom w:val="0"/>
      <w:divBdr>
        <w:top w:val="none" w:sz="0" w:space="0" w:color="auto"/>
        <w:left w:val="none" w:sz="0" w:space="0" w:color="auto"/>
        <w:bottom w:val="none" w:sz="0" w:space="0" w:color="auto"/>
        <w:right w:val="none" w:sz="0" w:space="0" w:color="auto"/>
      </w:divBdr>
    </w:div>
    <w:div w:id="179392526">
      <w:bodyDiv w:val="1"/>
      <w:marLeft w:val="0"/>
      <w:marRight w:val="0"/>
      <w:marTop w:val="0"/>
      <w:marBottom w:val="0"/>
      <w:divBdr>
        <w:top w:val="none" w:sz="0" w:space="0" w:color="auto"/>
        <w:left w:val="none" w:sz="0" w:space="0" w:color="auto"/>
        <w:bottom w:val="none" w:sz="0" w:space="0" w:color="auto"/>
        <w:right w:val="none" w:sz="0" w:space="0" w:color="auto"/>
      </w:divBdr>
    </w:div>
    <w:div w:id="183638777">
      <w:bodyDiv w:val="1"/>
      <w:marLeft w:val="0"/>
      <w:marRight w:val="0"/>
      <w:marTop w:val="0"/>
      <w:marBottom w:val="0"/>
      <w:divBdr>
        <w:top w:val="none" w:sz="0" w:space="0" w:color="auto"/>
        <w:left w:val="none" w:sz="0" w:space="0" w:color="auto"/>
        <w:bottom w:val="none" w:sz="0" w:space="0" w:color="auto"/>
        <w:right w:val="none" w:sz="0" w:space="0" w:color="auto"/>
      </w:divBdr>
    </w:div>
    <w:div w:id="188178155">
      <w:bodyDiv w:val="1"/>
      <w:marLeft w:val="0"/>
      <w:marRight w:val="0"/>
      <w:marTop w:val="0"/>
      <w:marBottom w:val="0"/>
      <w:divBdr>
        <w:top w:val="none" w:sz="0" w:space="0" w:color="auto"/>
        <w:left w:val="none" w:sz="0" w:space="0" w:color="auto"/>
        <w:bottom w:val="none" w:sz="0" w:space="0" w:color="auto"/>
        <w:right w:val="none" w:sz="0" w:space="0" w:color="auto"/>
      </w:divBdr>
    </w:div>
    <w:div w:id="188841306">
      <w:bodyDiv w:val="1"/>
      <w:marLeft w:val="0"/>
      <w:marRight w:val="0"/>
      <w:marTop w:val="0"/>
      <w:marBottom w:val="0"/>
      <w:divBdr>
        <w:top w:val="none" w:sz="0" w:space="0" w:color="auto"/>
        <w:left w:val="none" w:sz="0" w:space="0" w:color="auto"/>
        <w:bottom w:val="none" w:sz="0" w:space="0" w:color="auto"/>
        <w:right w:val="none" w:sz="0" w:space="0" w:color="auto"/>
      </w:divBdr>
    </w:div>
    <w:div w:id="193731146">
      <w:bodyDiv w:val="1"/>
      <w:marLeft w:val="0"/>
      <w:marRight w:val="0"/>
      <w:marTop w:val="0"/>
      <w:marBottom w:val="0"/>
      <w:divBdr>
        <w:top w:val="none" w:sz="0" w:space="0" w:color="auto"/>
        <w:left w:val="none" w:sz="0" w:space="0" w:color="auto"/>
        <w:bottom w:val="none" w:sz="0" w:space="0" w:color="auto"/>
        <w:right w:val="none" w:sz="0" w:space="0" w:color="auto"/>
      </w:divBdr>
    </w:div>
    <w:div w:id="194805409">
      <w:bodyDiv w:val="1"/>
      <w:marLeft w:val="0"/>
      <w:marRight w:val="0"/>
      <w:marTop w:val="0"/>
      <w:marBottom w:val="0"/>
      <w:divBdr>
        <w:top w:val="none" w:sz="0" w:space="0" w:color="auto"/>
        <w:left w:val="none" w:sz="0" w:space="0" w:color="auto"/>
        <w:bottom w:val="none" w:sz="0" w:space="0" w:color="auto"/>
        <w:right w:val="none" w:sz="0" w:space="0" w:color="auto"/>
      </w:divBdr>
    </w:div>
    <w:div w:id="20063264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946534">
      <w:bodyDiv w:val="1"/>
      <w:marLeft w:val="0"/>
      <w:marRight w:val="0"/>
      <w:marTop w:val="0"/>
      <w:marBottom w:val="0"/>
      <w:divBdr>
        <w:top w:val="none" w:sz="0" w:space="0" w:color="auto"/>
        <w:left w:val="none" w:sz="0" w:space="0" w:color="auto"/>
        <w:bottom w:val="none" w:sz="0" w:space="0" w:color="auto"/>
        <w:right w:val="none" w:sz="0" w:space="0" w:color="auto"/>
      </w:divBdr>
    </w:div>
    <w:div w:id="209389306">
      <w:bodyDiv w:val="1"/>
      <w:marLeft w:val="0"/>
      <w:marRight w:val="0"/>
      <w:marTop w:val="0"/>
      <w:marBottom w:val="0"/>
      <w:divBdr>
        <w:top w:val="none" w:sz="0" w:space="0" w:color="auto"/>
        <w:left w:val="none" w:sz="0" w:space="0" w:color="auto"/>
        <w:bottom w:val="none" w:sz="0" w:space="0" w:color="auto"/>
        <w:right w:val="none" w:sz="0" w:space="0" w:color="auto"/>
      </w:divBdr>
    </w:div>
    <w:div w:id="213323110">
      <w:bodyDiv w:val="1"/>
      <w:marLeft w:val="0"/>
      <w:marRight w:val="0"/>
      <w:marTop w:val="0"/>
      <w:marBottom w:val="0"/>
      <w:divBdr>
        <w:top w:val="none" w:sz="0" w:space="0" w:color="auto"/>
        <w:left w:val="none" w:sz="0" w:space="0" w:color="auto"/>
        <w:bottom w:val="none" w:sz="0" w:space="0" w:color="auto"/>
        <w:right w:val="none" w:sz="0" w:space="0" w:color="auto"/>
      </w:divBdr>
    </w:div>
    <w:div w:id="213585762">
      <w:bodyDiv w:val="1"/>
      <w:marLeft w:val="0"/>
      <w:marRight w:val="0"/>
      <w:marTop w:val="0"/>
      <w:marBottom w:val="0"/>
      <w:divBdr>
        <w:top w:val="none" w:sz="0" w:space="0" w:color="auto"/>
        <w:left w:val="none" w:sz="0" w:space="0" w:color="auto"/>
        <w:bottom w:val="none" w:sz="0" w:space="0" w:color="auto"/>
        <w:right w:val="none" w:sz="0" w:space="0" w:color="auto"/>
      </w:divBdr>
    </w:div>
    <w:div w:id="217596966">
      <w:bodyDiv w:val="1"/>
      <w:marLeft w:val="0"/>
      <w:marRight w:val="0"/>
      <w:marTop w:val="0"/>
      <w:marBottom w:val="0"/>
      <w:divBdr>
        <w:top w:val="none" w:sz="0" w:space="0" w:color="auto"/>
        <w:left w:val="none" w:sz="0" w:space="0" w:color="auto"/>
        <w:bottom w:val="none" w:sz="0" w:space="0" w:color="auto"/>
        <w:right w:val="none" w:sz="0" w:space="0" w:color="auto"/>
      </w:divBdr>
    </w:div>
    <w:div w:id="217784587">
      <w:bodyDiv w:val="1"/>
      <w:marLeft w:val="0"/>
      <w:marRight w:val="0"/>
      <w:marTop w:val="0"/>
      <w:marBottom w:val="0"/>
      <w:divBdr>
        <w:top w:val="none" w:sz="0" w:space="0" w:color="auto"/>
        <w:left w:val="none" w:sz="0" w:space="0" w:color="auto"/>
        <w:bottom w:val="none" w:sz="0" w:space="0" w:color="auto"/>
        <w:right w:val="none" w:sz="0" w:space="0" w:color="auto"/>
      </w:divBdr>
    </w:div>
    <w:div w:id="226689103">
      <w:bodyDiv w:val="1"/>
      <w:marLeft w:val="0"/>
      <w:marRight w:val="0"/>
      <w:marTop w:val="0"/>
      <w:marBottom w:val="0"/>
      <w:divBdr>
        <w:top w:val="none" w:sz="0" w:space="0" w:color="auto"/>
        <w:left w:val="none" w:sz="0" w:space="0" w:color="auto"/>
        <w:bottom w:val="none" w:sz="0" w:space="0" w:color="auto"/>
        <w:right w:val="none" w:sz="0" w:space="0" w:color="auto"/>
      </w:divBdr>
    </w:div>
    <w:div w:id="228929824">
      <w:bodyDiv w:val="1"/>
      <w:marLeft w:val="0"/>
      <w:marRight w:val="0"/>
      <w:marTop w:val="0"/>
      <w:marBottom w:val="0"/>
      <w:divBdr>
        <w:top w:val="none" w:sz="0" w:space="0" w:color="auto"/>
        <w:left w:val="none" w:sz="0" w:space="0" w:color="auto"/>
        <w:bottom w:val="none" w:sz="0" w:space="0" w:color="auto"/>
        <w:right w:val="none" w:sz="0" w:space="0" w:color="auto"/>
      </w:divBdr>
    </w:div>
    <w:div w:id="231278659">
      <w:bodyDiv w:val="1"/>
      <w:marLeft w:val="0"/>
      <w:marRight w:val="0"/>
      <w:marTop w:val="0"/>
      <w:marBottom w:val="0"/>
      <w:divBdr>
        <w:top w:val="none" w:sz="0" w:space="0" w:color="auto"/>
        <w:left w:val="none" w:sz="0" w:space="0" w:color="auto"/>
        <w:bottom w:val="none" w:sz="0" w:space="0" w:color="auto"/>
        <w:right w:val="none" w:sz="0" w:space="0" w:color="auto"/>
      </w:divBdr>
    </w:div>
    <w:div w:id="235089723">
      <w:bodyDiv w:val="1"/>
      <w:marLeft w:val="0"/>
      <w:marRight w:val="0"/>
      <w:marTop w:val="0"/>
      <w:marBottom w:val="0"/>
      <w:divBdr>
        <w:top w:val="none" w:sz="0" w:space="0" w:color="auto"/>
        <w:left w:val="none" w:sz="0" w:space="0" w:color="auto"/>
        <w:bottom w:val="none" w:sz="0" w:space="0" w:color="auto"/>
        <w:right w:val="none" w:sz="0" w:space="0" w:color="auto"/>
      </w:divBdr>
    </w:div>
    <w:div w:id="237250538">
      <w:bodyDiv w:val="1"/>
      <w:marLeft w:val="0"/>
      <w:marRight w:val="0"/>
      <w:marTop w:val="0"/>
      <w:marBottom w:val="0"/>
      <w:divBdr>
        <w:top w:val="none" w:sz="0" w:space="0" w:color="auto"/>
        <w:left w:val="none" w:sz="0" w:space="0" w:color="auto"/>
        <w:bottom w:val="none" w:sz="0" w:space="0" w:color="auto"/>
        <w:right w:val="none" w:sz="0" w:space="0" w:color="auto"/>
      </w:divBdr>
    </w:div>
    <w:div w:id="240650197">
      <w:bodyDiv w:val="1"/>
      <w:marLeft w:val="0"/>
      <w:marRight w:val="0"/>
      <w:marTop w:val="0"/>
      <w:marBottom w:val="0"/>
      <w:divBdr>
        <w:top w:val="none" w:sz="0" w:space="0" w:color="auto"/>
        <w:left w:val="none" w:sz="0" w:space="0" w:color="auto"/>
        <w:bottom w:val="none" w:sz="0" w:space="0" w:color="auto"/>
        <w:right w:val="none" w:sz="0" w:space="0" w:color="auto"/>
      </w:divBdr>
    </w:div>
    <w:div w:id="240678513">
      <w:bodyDiv w:val="1"/>
      <w:marLeft w:val="0"/>
      <w:marRight w:val="0"/>
      <w:marTop w:val="0"/>
      <w:marBottom w:val="0"/>
      <w:divBdr>
        <w:top w:val="none" w:sz="0" w:space="0" w:color="auto"/>
        <w:left w:val="none" w:sz="0" w:space="0" w:color="auto"/>
        <w:bottom w:val="none" w:sz="0" w:space="0" w:color="auto"/>
        <w:right w:val="none" w:sz="0" w:space="0" w:color="auto"/>
      </w:divBdr>
    </w:div>
    <w:div w:id="247233319">
      <w:bodyDiv w:val="1"/>
      <w:marLeft w:val="0"/>
      <w:marRight w:val="0"/>
      <w:marTop w:val="0"/>
      <w:marBottom w:val="0"/>
      <w:divBdr>
        <w:top w:val="none" w:sz="0" w:space="0" w:color="auto"/>
        <w:left w:val="none" w:sz="0" w:space="0" w:color="auto"/>
        <w:bottom w:val="none" w:sz="0" w:space="0" w:color="auto"/>
        <w:right w:val="none" w:sz="0" w:space="0" w:color="auto"/>
      </w:divBdr>
    </w:div>
    <w:div w:id="260990324">
      <w:bodyDiv w:val="1"/>
      <w:marLeft w:val="0"/>
      <w:marRight w:val="0"/>
      <w:marTop w:val="0"/>
      <w:marBottom w:val="0"/>
      <w:divBdr>
        <w:top w:val="none" w:sz="0" w:space="0" w:color="auto"/>
        <w:left w:val="none" w:sz="0" w:space="0" w:color="auto"/>
        <w:bottom w:val="none" w:sz="0" w:space="0" w:color="auto"/>
        <w:right w:val="none" w:sz="0" w:space="0" w:color="auto"/>
      </w:divBdr>
    </w:div>
    <w:div w:id="263803875">
      <w:bodyDiv w:val="1"/>
      <w:marLeft w:val="0"/>
      <w:marRight w:val="0"/>
      <w:marTop w:val="0"/>
      <w:marBottom w:val="0"/>
      <w:divBdr>
        <w:top w:val="none" w:sz="0" w:space="0" w:color="auto"/>
        <w:left w:val="none" w:sz="0" w:space="0" w:color="auto"/>
        <w:bottom w:val="none" w:sz="0" w:space="0" w:color="auto"/>
        <w:right w:val="none" w:sz="0" w:space="0" w:color="auto"/>
      </w:divBdr>
    </w:div>
    <w:div w:id="267809564">
      <w:bodyDiv w:val="1"/>
      <w:marLeft w:val="0"/>
      <w:marRight w:val="0"/>
      <w:marTop w:val="0"/>
      <w:marBottom w:val="0"/>
      <w:divBdr>
        <w:top w:val="none" w:sz="0" w:space="0" w:color="auto"/>
        <w:left w:val="none" w:sz="0" w:space="0" w:color="auto"/>
        <w:bottom w:val="none" w:sz="0" w:space="0" w:color="auto"/>
        <w:right w:val="none" w:sz="0" w:space="0" w:color="auto"/>
      </w:divBdr>
    </w:div>
    <w:div w:id="269049950">
      <w:bodyDiv w:val="1"/>
      <w:marLeft w:val="0"/>
      <w:marRight w:val="0"/>
      <w:marTop w:val="0"/>
      <w:marBottom w:val="0"/>
      <w:divBdr>
        <w:top w:val="none" w:sz="0" w:space="0" w:color="auto"/>
        <w:left w:val="none" w:sz="0" w:space="0" w:color="auto"/>
        <w:bottom w:val="none" w:sz="0" w:space="0" w:color="auto"/>
        <w:right w:val="none" w:sz="0" w:space="0" w:color="auto"/>
      </w:divBdr>
    </w:div>
    <w:div w:id="269355550">
      <w:bodyDiv w:val="1"/>
      <w:marLeft w:val="0"/>
      <w:marRight w:val="0"/>
      <w:marTop w:val="0"/>
      <w:marBottom w:val="0"/>
      <w:divBdr>
        <w:top w:val="none" w:sz="0" w:space="0" w:color="auto"/>
        <w:left w:val="none" w:sz="0" w:space="0" w:color="auto"/>
        <w:bottom w:val="none" w:sz="0" w:space="0" w:color="auto"/>
        <w:right w:val="none" w:sz="0" w:space="0" w:color="auto"/>
      </w:divBdr>
    </w:div>
    <w:div w:id="274480182">
      <w:bodyDiv w:val="1"/>
      <w:marLeft w:val="0"/>
      <w:marRight w:val="0"/>
      <w:marTop w:val="0"/>
      <w:marBottom w:val="0"/>
      <w:divBdr>
        <w:top w:val="none" w:sz="0" w:space="0" w:color="auto"/>
        <w:left w:val="none" w:sz="0" w:space="0" w:color="auto"/>
        <w:bottom w:val="none" w:sz="0" w:space="0" w:color="auto"/>
        <w:right w:val="none" w:sz="0" w:space="0" w:color="auto"/>
      </w:divBdr>
    </w:div>
    <w:div w:id="280459360">
      <w:bodyDiv w:val="1"/>
      <w:marLeft w:val="0"/>
      <w:marRight w:val="0"/>
      <w:marTop w:val="0"/>
      <w:marBottom w:val="0"/>
      <w:divBdr>
        <w:top w:val="none" w:sz="0" w:space="0" w:color="auto"/>
        <w:left w:val="none" w:sz="0" w:space="0" w:color="auto"/>
        <w:bottom w:val="none" w:sz="0" w:space="0" w:color="auto"/>
        <w:right w:val="none" w:sz="0" w:space="0" w:color="auto"/>
      </w:divBdr>
    </w:div>
    <w:div w:id="281618451">
      <w:bodyDiv w:val="1"/>
      <w:marLeft w:val="0"/>
      <w:marRight w:val="0"/>
      <w:marTop w:val="0"/>
      <w:marBottom w:val="0"/>
      <w:divBdr>
        <w:top w:val="none" w:sz="0" w:space="0" w:color="auto"/>
        <w:left w:val="none" w:sz="0" w:space="0" w:color="auto"/>
        <w:bottom w:val="none" w:sz="0" w:space="0" w:color="auto"/>
        <w:right w:val="none" w:sz="0" w:space="0" w:color="auto"/>
      </w:divBdr>
    </w:div>
    <w:div w:id="286132487">
      <w:bodyDiv w:val="1"/>
      <w:marLeft w:val="0"/>
      <w:marRight w:val="0"/>
      <w:marTop w:val="0"/>
      <w:marBottom w:val="0"/>
      <w:divBdr>
        <w:top w:val="none" w:sz="0" w:space="0" w:color="auto"/>
        <w:left w:val="none" w:sz="0" w:space="0" w:color="auto"/>
        <w:bottom w:val="none" w:sz="0" w:space="0" w:color="auto"/>
        <w:right w:val="none" w:sz="0" w:space="0" w:color="auto"/>
      </w:divBdr>
    </w:div>
    <w:div w:id="286589742">
      <w:bodyDiv w:val="1"/>
      <w:marLeft w:val="0"/>
      <w:marRight w:val="0"/>
      <w:marTop w:val="0"/>
      <w:marBottom w:val="0"/>
      <w:divBdr>
        <w:top w:val="none" w:sz="0" w:space="0" w:color="auto"/>
        <w:left w:val="none" w:sz="0" w:space="0" w:color="auto"/>
        <w:bottom w:val="none" w:sz="0" w:space="0" w:color="auto"/>
        <w:right w:val="none" w:sz="0" w:space="0" w:color="auto"/>
      </w:divBdr>
    </w:div>
    <w:div w:id="294484181">
      <w:bodyDiv w:val="1"/>
      <w:marLeft w:val="0"/>
      <w:marRight w:val="0"/>
      <w:marTop w:val="0"/>
      <w:marBottom w:val="0"/>
      <w:divBdr>
        <w:top w:val="none" w:sz="0" w:space="0" w:color="auto"/>
        <w:left w:val="none" w:sz="0" w:space="0" w:color="auto"/>
        <w:bottom w:val="none" w:sz="0" w:space="0" w:color="auto"/>
        <w:right w:val="none" w:sz="0" w:space="0" w:color="auto"/>
      </w:divBdr>
    </w:div>
    <w:div w:id="297348172">
      <w:bodyDiv w:val="1"/>
      <w:marLeft w:val="0"/>
      <w:marRight w:val="0"/>
      <w:marTop w:val="0"/>
      <w:marBottom w:val="0"/>
      <w:divBdr>
        <w:top w:val="none" w:sz="0" w:space="0" w:color="auto"/>
        <w:left w:val="none" w:sz="0" w:space="0" w:color="auto"/>
        <w:bottom w:val="none" w:sz="0" w:space="0" w:color="auto"/>
        <w:right w:val="none" w:sz="0" w:space="0" w:color="auto"/>
      </w:divBdr>
    </w:div>
    <w:div w:id="300884161">
      <w:bodyDiv w:val="1"/>
      <w:marLeft w:val="0"/>
      <w:marRight w:val="0"/>
      <w:marTop w:val="0"/>
      <w:marBottom w:val="0"/>
      <w:divBdr>
        <w:top w:val="none" w:sz="0" w:space="0" w:color="auto"/>
        <w:left w:val="none" w:sz="0" w:space="0" w:color="auto"/>
        <w:bottom w:val="none" w:sz="0" w:space="0" w:color="auto"/>
        <w:right w:val="none" w:sz="0" w:space="0" w:color="auto"/>
      </w:divBdr>
    </w:div>
    <w:div w:id="310447039">
      <w:bodyDiv w:val="1"/>
      <w:marLeft w:val="0"/>
      <w:marRight w:val="0"/>
      <w:marTop w:val="0"/>
      <w:marBottom w:val="0"/>
      <w:divBdr>
        <w:top w:val="none" w:sz="0" w:space="0" w:color="auto"/>
        <w:left w:val="none" w:sz="0" w:space="0" w:color="auto"/>
        <w:bottom w:val="none" w:sz="0" w:space="0" w:color="auto"/>
        <w:right w:val="none" w:sz="0" w:space="0" w:color="auto"/>
      </w:divBdr>
    </w:div>
    <w:div w:id="319889146">
      <w:bodyDiv w:val="1"/>
      <w:marLeft w:val="0"/>
      <w:marRight w:val="0"/>
      <w:marTop w:val="0"/>
      <w:marBottom w:val="0"/>
      <w:divBdr>
        <w:top w:val="none" w:sz="0" w:space="0" w:color="auto"/>
        <w:left w:val="none" w:sz="0" w:space="0" w:color="auto"/>
        <w:bottom w:val="none" w:sz="0" w:space="0" w:color="auto"/>
        <w:right w:val="none" w:sz="0" w:space="0" w:color="auto"/>
      </w:divBdr>
    </w:div>
    <w:div w:id="322854450">
      <w:bodyDiv w:val="1"/>
      <w:marLeft w:val="0"/>
      <w:marRight w:val="0"/>
      <w:marTop w:val="0"/>
      <w:marBottom w:val="0"/>
      <w:divBdr>
        <w:top w:val="none" w:sz="0" w:space="0" w:color="auto"/>
        <w:left w:val="none" w:sz="0" w:space="0" w:color="auto"/>
        <w:bottom w:val="none" w:sz="0" w:space="0" w:color="auto"/>
        <w:right w:val="none" w:sz="0" w:space="0" w:color="auto"/>
      </w:divBdr>
    </w:div>
    <w:div w:id="33334039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808431">
      <w:bodyDiv w:val="1"/>
      <w:marLeft w:val="0"/>
      <w:marRight w:val="0"/>
      <w:marTop w:val="0"/>
      <w:marBottom w:val="0"/>
      <w:divBdr>
        <w:top w:val="none" w:sz="0" w:space="0" w:color="auto"/>
        <w:left w:val="none" w:sz="0" w:space="0" w:color="auto"/>
        <w:bottom w:val="none" w:sz="0" w:space="0" w:color="auto"/>
        <w:right w:val="none" w:sz="0" w:space="0" w:color="auto"/>
      </w:divBdr>
    </w:div>
    <w:div w:id="336276649">
      <w:bodyDiv w:val="1"/>
      <w:marLeft w:val="0"/>
      <w:marRight w:val="0"/>
      <w:marTop w:val="0"/>
      <w:marBottom w:val="0"/>
      <w:divBdr>
        <w:top w:val="none" w:sz="0" w:space="0" w:color="auto"/>
        <w:left w:val="none" w:sz="0" w:space="0" w:color="auto"/>
        <w:bottom w:val="none" w:sz="0" w:space="0" w:color="auto"/>
        <w:right w:val="none" w:sz="0" w:space="0" w:color="auto"/>
      </w:divBdr>
    </w:div>
    <w:div w:id="339508695">
      <w:bodyDiv w:val="1"/>
      <w:marLeft w:val="0"/>
      <w:marRight w:val="0"/>
      <w:marTop w:val="0"/>
      <w:marBottom w:val="0"/>
      <w:divBdr>
        <w:top w:val="none" w:sz="0" w:space="0" w:color="auto"/>
        <w:left w:val="none" w:sz="0" w:space="0" w:color="auto"/>
        <w:bottom w:val="none" w:sz="0" w:space="0" w:color="auto"/>
        <w:right w:val="none" w:sz="0" w:space="0" w:color="auto"/>
      </w:divBdr>
    </w:div>
    <w:div w:id="341975957">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1230091">
      <w:bodyDiv w:val="1"/>
      <w:marLeft w:val="0"/>
      <w:marRight w:val="0"/>
      <w:marTop w:val="0"/>
      <w:marBottom w:val="0"/>
      <w:divBdr>
        <w:top w:val="none" w:sz="0" w:space="0" w:color="auto"/>
        <w:left w:val="none" w:sz="0" w:space="0" w:color="auto"/>
        <w:bottom w:val="none" w:sz="0" w:space="0" w:color="auto"/>
        <w:right w:val="none" w:sz="0" w:space="0" w:color="auto"/>
      </w:divBdr>
    </w:div>
    <w:div w:id="354575534">
      <w:bodyDiv w:val="1"/>
      <w:marLeft w:val="0"/>
      <w:marRight w:val="0"/>
      <w:marTop w:val="0"/>
      <w:marBottom w:val="0"/>
      <w:divBdr>
        <w:top w:val="none" w:sz="0" w:space="0" w:color="auto"/>
        <w:left w:val="none" w:sz="0" w:space="0" w:color="auto"/>
        <w:bottom w:val="none" w:sz="0" w:space="0" w:color="auto"/>
        <w:right w:val="none" w:sz="0" w:space="0" w:color="auto"/>
      </w:divBdr>
    </w:div>
    <w:div w:id="356465820">
      <w:bodyDiv w:val="1"/>
      <w:marLeft w:val="0"/>
      <w:marRight w:val="0"/>
      <w:marTop w:val="0"/>
      <w:marBottom w:val="0"/>
      <w:divBdr>
        <w:top w:val="none" w:sz="0" w:space="0" w:color="auto"/>
        <w:left w:val="none" w:sz="0" w:space="0" w:color="auto"/>
        <w:bottom w:val="none" w:sz="0" w:space="0" w:color="auto"/>
        <w:right w:val="none" w:sz="0" w:space="0" w:color="auto"/>
      </w:divBdr>
    </w:div>
    <w:div w:id="356782629">
      <w:bodyDiv w:val="1"/>
      <w:marLeft w:val="0"/>
      <w:marRight w:val="0"/>
      <w:marTop w:val="0"/>
      <w:marBottom w:val="0"/>
      <w:divBdr>
        <w:top w:val="none" w:sz="0" w:space="0" w:color="auto"/>
        <w:left w:val="none" w:sz="0" w:space="0" w:color="auto"/>
        <w:bottom w:val="none" w:sz="0" w:space="0" w:color="auto"/>
        <w:right w:val="none" w:sz="0" w:space="0" w:color="auto"/>
      </w:divBdr>
    </w:div>
    <w:div w:id="357202207">
      <w:bodyDiv w:val="1"/>
      <w:marLeft w:val="0"/>
      <w:marRight w:val="0"/>
      <w:marTop w:val="0"/>
      <w:marBottom w:val="0"/>
      <w:divBdr>
        <w:top w:val="none" w:sz="0" w:space="0" w:color="auto"/>
        <w:left w:val="none" w:sz="0" w:space="0" w:color="auto"/>
        <w:bottom w:val="none" w:sz="0" w:space="0" w:color="auto"/>
        <w:right w:val="none" w:sz="0" w:space="0" w:color="auto"/>
      </w:divBdr>
    </w:div>
    <w:div w:id="363213600">
      <w:bodyDiv w:val="1"/>
      <w:marLeft w:val="0"/>
      <w:marRight w:val="0"/>
      <w:marTop w:val="0"/>
      <w:marBottom w:val="0"/>
      <w:divBdr>
        <w:top w:val="none" w:sz="0" w:space="0" w:color="auto"/>
        <w:left w:val="none" w:sz="0" w:space="0" w:color="auto"/>
        <w:bottom w:val="none" w:sz="0" w:space="0" w:color="auto"/>
        <w:right w:val="none" w:sz="0" w:space="0" w:color="auto"/>
      </w:divBdr>
    </w:div>
    <w:div w:id="371421355">
      <w:bodyDiv w:val="1"/>
      <w:marLeft w:val="0"/>
      <w:marRight w:val="0"/>
      <w:marTop w:val="0"/>
      <w:marBottom w:val="0"/>
      <w:divBdr>
        <w:top w:val="none" w:sz="0" w:space="0" w:color="auto"/>
        <w:left w:val="none" w:sz="0" w:space="0" w:color="auto"/>
        <w:bottom w:val="none" w:sz="0" w:space="0" w:color="auto"/>
        <w:right w:val="none" w:sz="0" w:space="0" w:color="auto"/>
      </w:divBdr>
    </w:div>
    <w:div w:id="379013814">
      <w:bodyDiv w:val="1"/>
      <w:marLeft w:val="0"/>
      <w:marRight w:val="0"/>
      <w:marTop w:val="0"/>
      <w:marBottom w:val="0"/>
      <w:divBdr>
        <w:top w:val="none" w:sz="0" w:space="0" w:color="auto"/>
        <w:left w:val="none" w:sz="0" w:space="0" w:color="auto"/>
        <w:bottom w:val="none" w:sz="0" w:space="0" w:color="auto"/>
        <w:right w:val="none" w:sz="0" w:space="0" w:color="auto"/>
      </w:divBdr>
    </w:div>
    <w:div w:id="381447143">
      <w:bodyDiv w:val="1"/>
      <w:marLeft w:val="0"/>
      <w:marRight w:val="0"/>
      <w:marTop w:val="0"/>
      <w:marBottom w:val="0"/>
      <w:divBdr>
        <w:top w:val="none" w:sz="0" w:space="0" w:color="auto"/>
        <w:left w:val="none" w:sz="0" w:space="0" w:color="auto"/>
        <w:bottom w:val="none" w:sz="0" w:space="0" w:color="auto"/>
        <w:right w:val="none" w:sz="0" w:space="0" w:color="auto"/>
      </w:divBdr>
    </w:div>
    <w:div w:id="384138378">
      <w:bodyDiv w:val="1"/>
      <w:marLeft w:val="0"/>
      <w:marRight w:val="0"/>
      <w:marTop w:val="0"/>
      <w:marBottom w:val="0"/>
      <w:divBdr>
        <w:top w:val="none" w:sz="0" w:space="0" w:color="auto"/>
        <w:left w:val="none" w:sz="0" w:space="0" w:color="auto"/>
        <w:bottom w:val="none" w:sz="0" w:space="0" w:color="auto"/>
        <w:right w:val="none" w:sz="0" w:space="0" w:color="auto"/>
      </w:divBdr>
    </w:div>
    <w:div w:id="386417156">
      <w:bodyDiv w:val="1"/>
      <w:marLeft w:val="0"/>
      <w:marRight w:val="0"/>
      <w:marTop w:val="0"/>
      <w:marBottom w:val="0"/>
      <w:divBdr>
        <w:top w:val="none" w:sz="0" w:space="0" w:color="auto"/>
        <w:left w:val="none" w:sz="0" w:space="0" w:color="auto"/>
        <w:bottom w:val="none" w:sz="0" w:space="0" w:color="auto"/>
        <w:right w:val="none" w:sz="0" w:space="0" w:color="auto"/>
      </w:divBdr>
    </w:div>
    <w:div w:id="398744780">
      <w:bodyDiv w:val="1"/>
      <w:marLeft w:val="0"/>
      <w:marRight w:val="0"/>
      <w:marTop w:val="0"/>
      <w:marBottom w:val="0"/>
      <w:divBdr>
        <w:top w:val="none" w:sz="0" w:space="0" w:color="auto"/>
        <w:left w:val="none" w:sz="0" w:space="0" w:color="auto"/>
        <w:bottom w:val="none" w:sz="0" w:space="0" w:color="auto"/>
        <w:right w:val="none" w:sz="0" w:space="0" w:color="auto"/>
      </w:divBdr>
    </w:div>
    <w:div w:id="401636777">
      <w:bodyDiv w:val="1"/>
      <w:marLeft w:val="0"/>
      <w:marRight w:val="0"/>
      <w:marTop w:val="0"/>
      <w:marBottom w:val="0"/>
      <w:divBdr>
        <w:top w:val="none" w:sz="0" w:space="0" w:color="auto"/>
        <w:left w:val="none" w:sz="0" w:space="0" w:color="auto"/>
        <w:bottom w:val="none" w:sz="0" w:space="0" w:color="auto"/>
        <w:right w:val="none" w:sz="0" w:space="0" w:color="auto"/>
      </w:divBdr>
    </w:div>
    <w:div w:id="408887986">
      <w:bodyDiv w:val="1"/>
      <w:marLeft w:val="0"/>
      <w:marRight w:val="0"/>
      <w:marTop w:val="0"/>
      <w:marBottom w:val="0"/>
      <w:divBdr>
        <w:top w:val="none" w:sz="0" w:space="0" w:color="auto"/>
        <w:left w:val="none" w:sz="0" w:space="0" w:color="auto"/>
        <w:bottom w:val="none" w:sz="0" w:space="0" w:color="auto"/>
        <w:right w:val="none" w:sz="0" w:space="0" w:color="auto"/>
      </w:divBdr>
    </w:div>
    <w:div w:id="410739521">
      <w:bodyDiv w:val="1"/>
      <w:marLeft w:val="0"/>
      <w:marRight w:val="0"/>
      <w:marTop w:val="0"/>
      <w:marBottom w:val="0"/>
      <w:divBdr>
        <w:top w:val="none" w:sz="0" w:space="0" w:color="auto"/>
        <w:left w:val="none" w:sz="0" w:space="0" w:color="auto"/>
        <w:bottom w:val="none" w:sz="0" w:space="0" w:color="auto"/>
        <w:right w:val="none" w:sz="0" w:space="0" w:color="auto"/>
      </w:divBdr>
    </w:div>
    <w:div w:id="42653872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8013738">
      <w:bodyDiv w:val="1"/>
      <w:marLeft w:val="0"/>
      <w:marRight w:val="0"/>
      <w:marTop w:val="0"/>
      <w:marBottom w:val="0"/>
      <w:divBdr>
        <w:top w:val="none" w:sz="0" w:space="0" w:color="auto"/>
        <w:left w:val="none" w:sz="0" w:space="0" w:color="auto"/>
        <w:bottom w:val="none" w:sz="0" w:space="0" w:color="auto"/>
        <w:right w:val="none" w:sz="0" w:space="0" w:color="auto"/>
      </w:divBdr>
    </w:div>
    <w:div w:id="450171107">
      <w:bodyDiv w:val="1"/>
      <w:marLeft w:val="0"/>
      <w:marRight w:val="0"/>
      <w:marTop w:val="0"/>
      <w:marBottom w:val="0"/>
      <w:divBdr>
        <w:top w:val="none" w:sz="0" w:space="0" w:color="auto"/>
        <w:left w:val="none" w:sz="0" w:space="0" w:color="auto"/>
        <w:bottom w:val="none" w:sz="0" w:space="0" w:color="auto"/>
        <w:right w:val="none" w:sz="0" w:space="0" w:color="auto"/>
      </w:divBdr>
    </w:div>
    <w:div w:id="450785290">
      <w:bodyDiv w:val="1"/>
      <w:marLeft w:val="0"/>
      <w:marRight w:val="0"/>
      <w:marTop w:val="0"/>
      <w:marBottom w:val="0"/>
      <w:divBdr>
        <w:top w:val="none" w:sz="0" w:space="0" w:color="auto"/>
        <w:left w:val="none" w:sz="0" w:space="0" w:color="auto"/>
        <w:bottom w:val="none" w:sz="0" w:space="0" w:color="auto"/>
        <w:right w:val="none" w:sz="0" w:space="0" w:color="auto"/>
      </w:divBdr>
    </w:div>
    <w:div w:id="45360232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349256">
      <w:bodyDiv w:val="1"/>
      <w:marLeft w:val="0"/>
      <w:marRight w:val="0"/>
      <w:marTop w:val="0"/>
      <w:marBottom w:val="0"/>
      <w:divBdr>
        <w:top w:val="none" w:sz="0" w:space="0" w:color="auto"/>
        <w:left w:val="none" w:sz="0" w:space="0" w:color="auto"/>
        <w:bottom w:val="none" w:sz="0" w:space="0" w:color="auto"/>
        <w:right w:val="none" w:sz="0" w:space="0" w:color="auto"/>
      </w:divBdr>
    </w:div>
    <w:div w:id="459569232">
      <w:bodyDiv w:val="1"/>
      <w:marLeft w:val="0"/>
      <w:marRight w:val="0"/>
      <w:marTop w:val="0"/>
      <w:marBottom w:val="0"/>
      <w:divBdr>
        <w:top w:val="none" w:sz="0" w:space="0" w:color="auto"/>
        <w:left w:val="none" w:sz="0" w:space="0" w:color="auto"/>
        <w:bottom w:val="none" w:sz="0" w:space="0" w:color="auto"/>
        <w:right w:val="none" w:sz="0" w:space="0" w:color="auto"/>
      </w:divBdr>
    </w:div>
    <w:div w:id="463081372">
      <w:bodyDiv w:val="1"/>
      <w:marLeft w:val="0"/>
      <w:marRight w:val="0"/>
      <w:marTop w:val="0"/>
      <w:marBottom w:val="0"/>
      <w:divBdr>
        <w:top w:val="none" w:sz="0" w:space="0" w:color="auto"/>
        <w:left w:val="none" w:sz="0" w:space="0" w:color="auto"/>
        <w:bottom w:val="none" w:sz="0" w:space="0" w:color="auto"/>
        <w:right w:val="none" w:sz="0" w:space="0" w:color="auto"/>
      </w:divBdr>
    </w:div>
    <w:div w:id="466556911">
      <w:bodyDiv w:val="1"/>
      <w:marLeft w:val="0"/>
      <w:marRight w:val="0"/>
      <w:marTop w:val="0"/>
      <w:marBottom w:val="0"/>
      <w:divBdr>
        <w:top w:val="none" w:sz="0" w:space="0" w:color="auto"/>
        <w:left w:val="none" w:sz="0" w:space="0" w:color="auto"/>
        <w:bottom w:val="none" w:sz="0" w:space="0" w:color="auto"/>
        <w:right w:val="none" w:sz="0" w:space="0" w:color="auto"/>
      </w:divBdr>
    </w:div>
    <w:div w:id="467356856">
      <w:bodyDiv w:val="1"/>
      <w:marLeft w:val="0"/>
      <w:marRight w:val="0"/>
      <w:marTop w:val="0"/>
      <w:marBottom w:val="0"/>
      <w:divBdr>
        <w:top w:val="none" w:sz="0" w:space="0" w:color="auto"/>
        <w:left w:val="none" w:sz="0" w:space="0" w:color="auto"/>
        <w:bottom w:val="none" w:sz="0" w:space="0" w:color="auto"/>
        <w:right w:val="none" w:sz="0" w:space="0" w:color="auto"/>
      </w:divBdr>
    </w:div>
    <w:div w:id="467600062">
      <w:bodyDiv w:val="1"/>
      <w:marLeft w:val="0"/>
      <w:marRight w:val="0"/>
      <w:marTop w:val="0"/>
      <w:marBottom w:val="0"/>
      <w:divBdr>
        <w:top w:val="none" w:sz="0" w:space="0" w:color="auto"/>
        <w:left w:val="none" w:sz="0" w:space="0" w:color="auto"/>
        <w:bottom w:val="none" w:sz="0" w:space="0" w:color="auto"/>
        <w:right w:val="none" w:sz="0" w:space="0" w:color="auto"/>
      </w:divBdr>
    </w:div>
    <w:div w:id="472917431">
      <w:bodyDiv w:val="1"/>
      <w:marLeft w:val="0"/>
      <w:marRight w:val="0"/>
      <w:marTop w:val="0"/>
      <w:marBottom w:val="0"/>
      <w:divBdr>
        <w:top w:val="none" w:sz="0" w:space="0" w:color="auto"/>
        <w:left w:val="none" w:sz="0" w:space="0" w:color="auto"/>
        <w:bottom w:val="none" w:sz="0" w:space="0" w:color="auto"/>
        <w:right w:val="none" w:sz="0" w:space="0" w:color="auto"/>
      </w:divBdr>
    </w:div>
    <w:div w:id="478225904">
      <w:bodyDiv w:val="1"/>
      <w:marLeft w:val="0"/>
      <w:marRight w:val="0"/>
      <w:marTop w:val="0"/>
      <w:marBottom w:val="0"/>
      <w:divBdr>
        <w:top w:val="none" w:sz="0" w:space="0" w:color="auto"/>
        <w:left w:val="none" w:sz="0" w:space="0" w:color="auto"/>
        <w:bottom w:val="none" w:sz="0" w:space="0" w:color="auto"/>
        <w:right w:val="none" w:sz="0" w:space="0" w:color="auto"/>
      </w:divBdr>
    </w:div>
    <w:div w:id="479035165">
      <w:bodyDiv w:val="1"/>
      <w:marLeft w:val="0"/>
      <w:marRight w:val="0"/>
      <w:marTop w:val="0"/>
      <w:marBottom w:val="0"/>
      <w:divBdr>
        <w:top w:val="none" w:sz="0" w:space="0" w:color="auto"/>
        <w:left w:val="none" w:sz="0" w:space="0" w:color="auto"/>
        <w:bottom w:val="none" w:sz="0" w:space="0" w:color="auto"/>
        <w:right w:val="none" w:sz="0" w:space="0" w:color="auto"/>
      </w:divBdr>
    </w:div>
    <w:div w:id="479276133">
      <w:bodyDiv w:val="1"/>
      <w:marLeft w:val="0"/>
      <w:marRight w:val="0"/>
      <w:marTop w:val="0"/>
      <w:marBottom w:val="0"/>
      <w:divBdr>
        <w:top w:val="none" w:sz="0" w:space="0" w:color="auto"/>
        <w:left w:val="none" w:sz="0" w:space="0" w:color="auto"/>
        <w:bottom w:val="none" w:sz="0" w:space="0" w:color="auto"/>
        <w:right w:val="none" w:sz="0" w:space="0" w:color="auto"/>
      </w:divBdr>
    </w:div>
    <w:div w:id="481627559">
      <w:bodyDiv w:val="1"/>
      <w:marLeft w:val="0"/>
      <w:marRight w:val="0"/>
      <w:marTop w:val="0"/>
      <w:marBottom w:val="0"/>
      <w:divBdr>
        <w:top w:val="none" w:sz="0" w:space="0" w:color="auto"/>
        <w:left w:val="none" w:sz="0" w:space="0" w:color="auto"/>
        <w:bottom w:val="none" w:sz="0" w:space="0" w:color="auto"/>
        <w:right w:val="none" w:sz="0" w:space="0" w:color="auto"/>
      </w:divBdr>
    </w:div>
    <w:div w:id="486746531">
      <w:bodyDiv w:val="1"/>
      <w:marLeft w:val="0"/>
      <w:marRight w:val="0"/>
      <w:marTop w:val="0"/>
      <w:marBottom w:val="0"/>
      <w:divBdr>
        <w:top w:val="none" w:sz="0" w:space="0" w:color="auto"/>
        <w:left w:val="none" w:sz="0" w:space="0" w:color="auto"/>
        <w:bottom w:val="none" w:sz="0" w:space="0" w:color="auto"/>
        <w:right w:val="none" w:sz="0" w:space="0" w:color="auto"/>
      </w:divBdr>
    </w:div>
    <w:div w:id="492985704">
      <w:bodyDiv w:val="1"/>
      <w:marLeft w:val="0"/>
      <w:marRight w:val="0"/>
      <w:marTop w:val="0"/>
      <w:marBottom w:val="0"/>
      <w:divBdr>
        <w:top w:val="none" w:sz="0" w:space="0" w:color="auto"/>
        <w:left w:val="none" w:sz="0" w:space="0" w:color="auto"/>
        <w:bottom w:val="none" w:sz="0" w:space="0" w:color="auto"/>
        <w:right w:val="none" w:sz="0" w:space="0" w:color="auto"/>
      </w:divBdr>
    </w:div>
    <w:div w:id="494340487">
      <w:bodyDiv w:val="1"/>
      <w:marLeft w:val="0"/>
      <w:marRight w:val="0"/>
      <w:marTop w:val="0"/>
      <w:marBottom w:val="0"/>
      <w:divBdr>
        <w:top w:val="none" w:sz="0" w:space="0" w:color="auto"/>
        <w:left w:val="none" w:sz="0" w:space="0" w:color="auto"/>
        <w:bottom w:val="none" w:sz="0" w:space="0" w:color="auto"/>
        <w:right w:val="none" w:sz="0" w:space="0" w:color="auto"/>
      </w:divBdr>
    </w:div>
    <w:div w:id="499004918">
      <w:bodyDiv w:val="1"/>
      <w:marLeft w:val="0"/>
      <w:marRight w:val="0"/>
      <w:marTop w:val="0"/>
      <w:marBottom w:val="0"/>
      <w:divBdr>
        <w:top w:val="none" w:sz="0" w:space="0" w:color="auto"/>
        <w:left w:val="none" w:sz="0" w:space="0" w:color="auto"/>
        <w:bottom w:val="none" w:sz="0" w:space="0" w:color="auto"/>
        <w:right w:val="none" w:sz="0" w:space="0" w:color="auto"/>
      </w:divBdr>
    </w:div>
    <w:div w:id="516817351">
      <w:bodyDiv w:val="1"/>
      <w:marLeft w:val="0"/>
      <w:marRight w:val="0"/>
      <w:marTop w:val="0"/>
      <w:marBottom w:val="0"/>
      <w:divBdr>
        <w:top w:val="none" w:sz="0" w:space="0" w:color="auto"/>
        <w:left w:val="none" w:sz="0" w:space="0" w:color="auto"/>
        <w:bottom w:val="none" w:sz="0" w:space="0" w:color="auto"/>
        <w:right w:val="none" w:sz="0" w:space="0" w:color="auto"/>
      </w:divBdr>
    </w:div>
    <w:div w:id="517700150">
      <w:bodyDiv w:val="1"/>
      <w:marLeft w:val="0"/>
      <w:marRight w:val="0"/>
      <w:marTop w:val="0"/>
      <w:marBottom w:val="0"/>
      <w:divBdr>
        <w:top w:val="none" w:sz="0" w:space="0" w:color="auto"/>
        <w:left w:val="none" w:sz="0" w:space="0" w:color="auto"/>
        <w:bottom w:val="none" w:sz="0" w:space="0" w:color="auto"/>
        <w:right w:val="none" w:sz="0" w:space="0" w:color="auto"/>
      </w:divBdr>
    </w:div>
    <w:div w:id="520558442">
      <w:bodyDiv w:val="1"/>
      <w:marLeft w:val="0"/>
      <w:marRight w:val="0"/>
      <w:marTop w:val="0"/>
      <w:marBottom w:val="0"/>
      <w:divBdr>
        <w:top w:val="none" w:sz="0" w:space="0" w:color="auto"/>
        <w:left w:val="none" w:sz="0" w:space="0" w:color="auto"/>
        <w:bottom w:val="none" w:sz="0" w:space="0" w:color="auto"/>
        <w:right w:val="none" w:sz="0" w:space="0" w:color="auto"/>
      </w:divBdr>
    </w:div>
    <w:div w:id="522286083">
      <w:bodyDiv w:val="1"/>
      <w:marLeft w:val="0"/>
      <w:marRight w:val="0"/>
      <w:marTop w:val="0"/>
      <w:marBottom w:val="0"/>
      <w:divBdr>
        <w:top w:val="none" w:sz="0" w:space="0" w:color="auto"/>
        <w:left w:val="none" w:sz="0" w:space="0" w:color="auto"/>
        <w:bottom w:val="none" w:sz="0" w:space="0" w:color="auto"/>
        <w:right w:val="none" w:sz="0" w:space="0" w:color="auto"/>
      </w:divBdr>
    </w:div>
    <w:div w:id="524829404">
      <w:bodyDiv w:val="1"/>
      <w:marLeft w:val="0"/>
      <w:marRight w:val="0"/>
      <w:marTop w:val="0"/>
      <w:marBottom w:val="0"/>
      <w:divBdr>
        <w:top w:val="none" w:sz="0" w:space="0" w:color="auto"/>
        <w:left w:val="none" w:sz="0" w:space="0" w:color="auto"/>
        <w:bottom w:val="none" w:sz="0" w:space="0" w:color="auto"/>
        <w:right w:val="none" w:sz="0" w:space="0" w:color="auto"/>
      </w:divBdr>
    </w:div>
    <w:div w:id="526792599">
      <w:bodyDiv w:val="1"/>
      <w:marLeft w:val="0"/>
      <w:marRight w:val="0"/>
      <w:marTop w:val="0"/>
      <w:marBottom w:val="0"/>
      <w:divBdr>
        <w:top w:val="none" w:sz="0" w:space="0" w:color="auto"/>
        <w:left w:val="none" w:sz="0" w:space="0" w:color="auto"/>
        <w:bottom w:val="none" w:sz="0" w:space="0" w:color="auto"/>
        <w:right w:val="none" w:sz="0" w:space="0" w:color="auto"/>
      </w:divBdr>
    </w:div>
    <w:div w:id="527836001">
      <w:bodyDiv w:val="1"/>
      <w:marLeft w:val="0"/>
      <w:marRight w:val="0"/>
      <w:marTop w:val="0"/>
      <w:marBottom w:val="0"/>
      <w:divBdr>
        <w:top w:val="none" w:sz="0" w:space="0" w:color="auto"/>
        <w:left w:val="none" w:sz="0" w:space="0" w:color="auto"/>
        <w:bottom w:val="none" w:sz="0" w:space="0" w:color="auto"/>
        <w:right w:val="none" w:sz="0" w:space="0" w:color="auto"/>
      </w:divBdr>
    </w:div>
    <w:div w:id="530187489">
      <w:bodyDiv w:val="1"/>
      <w:marLeft w:val="0"/>
      <w:marRight w:val="0"/>
      <w:marTop w:val="0"/>
      <w:marBottom w:val="0"/>
      <w:divBdr>
        <w:top w:val="none" w:sz="0" w:space="0" w:color="auto"/>
        <w:left w:val="none" w:sz="0" w:space="0" w:color="auto"/>
        <w:bottom w:val="none" w:sz="0" w:space="0" w:color="auto"/>
        <w:right w:val="none" w:sz="0" w:space="0" w:color="auto"/>
      </w:divBdr>
    </w:div>
    <w:div w:id="53261647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967131">
      <w:bodyDiv w:val="1"/>
      <w:marLeft w:val="0"/>
      <w:marRight w:val="0"/>
      <w:marTop w:val="0"/>
      <w:marBottom w:val="0"/>
      <w:divBdr>
        <w:top w:val="none" w:sz="0" w:space="0" w:color="auto"/>
        <w:left w:val="none" w:sz="0" w:space="0" w:color="auto"/>
        <w:bottom w:val="none" w:sz="0" w:space="0" w:color="auto"/>
        <w:right w:val="none" w:sz="0" w:space="0" w:color="auto"/>
      </w:divBdr>
    </w:div>
    <w:div w:id="540020841">
      <w:bodyDiv w:val="1"/>
      <w:marLeft w:val="0"/>
      <w:marRight w:val="0"/>
      <w:marTop w:val="0"/>
      <w:marBottom w:val="0"/>
      <w:divBdr>
        <w:top w:val="none" w:sz="0" w:space="0" w:color="auto"/>
        <w:left w:val="none" w:sz="0" w:space="0" w:color="auto"/>
        <w:bottom w:val="none" w:sz="0" w:space="0" w:color="auto"/>
        <w:right w:val="none" w:sz="0" w:space="0" w:color="auto"/>
      </w:divBdr>
    </w:div>
    <w:div w:id="551621085">
      <w:bodyDiv w:val="1"/>
      <w:marLeft w:val="0"/>
      <w:marRight w:val="0"/>
      <w:marTop w:val="0"/>
      <w:marBottom w:val="0"/>
      <w:divBdr>
        <w:top w:val="none" w:sz="0" w:space="0" w:color="auto"/>
        <w:left w:val="none" w:sz="0" w:space="0" w:color="auto"/>
        <w:bottom w:val="none" w:sz="0" w:space="0" w:color="auto"/>
        <w:right w:val="none" w:sz="0" w:space="0" w:color="auto"/>
      </w:divBdr>
    </w:div>
    <w:div w:id="557478375">
      <w:bodyDiv w:val="1"/>
      <w:marLeft w:val="0"/>
      <w:marRight w:val="0"/>
      <w:marTop w:val="0"/>
      <w:marBottom w:val="0"/>
      <w:divBdr>
        <w:top w:val="none" w:sz="0" w:space="0" w:color="auto"/>
        <w:left w:val="none" w:sz="0" w:space="0" w:color="auto"/>
        <w:bottom w:val="none" w:sz="0" w:space="0" w:color="auto"/>
        <w:right w:val="none" w:sz="0" w:space="0" w:color="auto"/>
      </w:divBdr>
    </w:div>
    <w:div w:id="561674310">
      <w:bodyDiv w:val="1"/>
      <w:marLeft w:val="0"/>
      <w:marRight w:val="0"/>
      <w:marTop w:val="0"/>
      <w:marBottom w:val="0"/>
      <w:divBdr>
        <w:top w:val="none" w:sz="0" w:space="0" w:color="auto"/>
        <w:left w:val="none" w:sz="0" w:space="0" w:color="auto"/>
        <w:bottom w:val="none" w:sz="0" w:space="0" w:color="auto"/>
        <w:right w:val="none" w:sz="0" w:space="0" w:color="auto"/>
      </w:divBdr>
    </w:div>
    <w:div w:id="564415368">
      <w:bodyDiv w:val="1"/>
      <w:marLeft w:val="0"/>
      <w:marRight w:val="0"/>
      <w:marTop w:val="0"/>
      <w:marBottom w:val="0"/>
      <w:divBdr>
        <w:top w:val="none" w:sz="0" w:space="0" w:color="auto"/>
        <w:left w:val="none" w:sz="0" w:space="0" w:color="auto"/>
        <w:bottom w:val="none" w:sz="0" w:space="0" w:color="auto"/>
        <w:right w:val="none" w:sz="0" w:space="0" w:color="auto"/>
      </w:divBdr>
    </w:div>
    <w:div w:id="564532171">
      <w:bodyDiv w:val="1"/>
      <w:marLeft w:val="0"/>
      <w:marRight w:val="0"/>
      <w:marTop w:val="0"/>
      <w:marBottom w:val="0"/>
      <w:divBdr>
        <w:top w:val="none" w:sz="0" w:space="0" w:color="auto"/>
        <w:left w:val="none" w:sz="0" w:space="0" w:color="auto"/>
        <w:bottom w:val="none" w:sz="0" w:space="0" w:color="auto"/>
        <w:right w:val="none" w:sz="0" w:space="0" w:color="auto"/>
      </w:divBdr>
    </w:div>
    <w:div w:id="572742091">
      <w:bodyDiv w:val="1"/>
      <w:marLeft w:val="0"/>
      <w:marRight w:val="0"/>
      <w:marTop w:val="0"/>
      <w:marBottom w:val="0"/>
      <w:divBdr>
        <w:top w:val="none" w:sz="0" w:space="0" w:color="auto"/>
        <w:left w:val="none" w:sz="0" w:space="0" w:color="auto"/>
        <w:bottom w:val="none" w:sz="0" w:space="0" w:color="auto"/>
        <w:right w:val="none" w:sz="0" w:space="0" w:color="auto"/>
      </w:divBdr>
    </w:div>
    <w:div w:id="574972683">
      <w:bodyDiv w:val="1"/>
      <w:marLeft w:val="0"/>
      <w:marRight w:val="0"/>
      <w:marTop w:val="0"/>
      <w:marBottom w:val="0"/>
      <w:divBdr>
        <w:top w:val="none" w:sz="0" w:space="0" w:color="auto"/>
        <w:left w:val="none" w:sz="0" w:space="0" w:color="auto"/>
        <w:bottom w:val="none" w:sz="0" w:space="0" w:color="auto"/>
        <w:right w:val="none" w:sz="0" w:space="0" w:color="auto"/>
      </w:divBdr>
    </w:div>
    <w:div w:id="575015392">
      <w:bodyDiv w:val="1"/>
      <w:marLeft w:val="0"/>
      <w:marRight w:val="0"/>
      <w:marTop w:val="0"/>
      <w:marBottom w:val="0"/>
      <w:divBdr>
        <w:top w:val="none" w:sz="0" w:space="0" w:color="auto"/>
        <w:left w:val="none" w:sz="0" w:space="0" w:color="auto"/>
        <w:bottom w:val="none" w:sz="0" w:space="0" w:color="auto"/>
        <w:right w:val="none" w:sz="0" w:space="0" w:color="auto"/>
      </w:divBdr>
    </w:div>
    <w:div w:id="579558121">
      <w:bodyDiv w:val="1"/>
      <w:marLeft w:val="0"/>
      <w:marRight w:val="0"/>
      <w:marTop w:val="0"/>
      <w:marBottom w:val="0"/>
      <w:divBdr>
        <w:top w:val="none" w:sz="0" w:space="0" w:color="auto"/>
        <w:left w:val="none" w:sz="0" w:space="0" w:color="auto"/>
        <w:bottom w:val="none" w:sz="0" w:space="0" w:color="auto"/>
        <w:right w:val="none" w:sz="0" w:space="0" w:color="auto"/>
      </w:divBdr>
    </w:div>
    <w:div w:id="581138544">
      <w:bodyDiv w:val="1"/>
      <w:marLeft w:val="0"/>
      <w:marRight w:val="0"/>
      <w:marTop w:val="0"/>
      <w:marBottom w:val="0"/>
      <w:divBdr>
        <w:top w:val="none" w:sz="0" w:space="0" w:color="auto"/>
        <w:left w:val="none" w:sz="0" w:space="0" w:color="auto"/>
        <w:bottom w:val="none" w:sz="0" w:space="0" w:color="auto"/>
        <w:right w:val="none" w:sz="0" w:space="0" w:color="auto"/>
      </w:divBdr>
    </w:div>
    <w:div w:id="581640179">
      <w:bodyDiv w:val="1"/>
      <w:marLeft w:val="0"/>
      <w:marRight w:val="0"/>
      <w:marTop w:val="0"/>
      <w:marBottom w:val="0"/>
      <w:divBdr>
        <w:top w:val="none" w:sz="0" w:space="0" w:color="auto"/>
        <w:left w:val="none" w:sz="0" w:space="0" w:color="auto"/>
        <w:bottom w:val="none" w:sz="0" w:space="0" w:color="auto"/>
        <w:right w:val="none" w:sz="0" w:space="0" w:color="auto"/>
      </w:divBdr>
    </w:div>
    <w:div w:id="582490117">
      <w:bodyDiv w:val="1"/>
      <w:marLeft w:val="0"/>
      <w:marRight w:val="0"/>
      <w:marTop w:val="0"/>
      <w:marBottom w:val="0"/>
      <w:divBdr>
        <w:top w:val="none" w:sz="0" w:space="0" w:color="auto"/>
        <w:left w:val="none" w:sz="0" w:space="0" w:color="auto"/>
        <w:bottom w:val="none" w:sz="0" w:space="0" w:color="auto"/>
        <w:right w:val="none" w:sz="0" w:space="0" w:color="auto"/>
      </w:divBdr>
    </w:div>
    <w:div w:id="599947178">
      <w:bodyDiv w:val="1"/>
      <w:marLeft w:val="0"/>
      <w:marRight w:val="0"/>
      <w:marTop w:val="0"/>
      <w:marBottom w:val="0"/>
      <w:divBdr>
        <w:top w:val="none" w:sz="0" w:space="0" w:color="auto"/>
        <w:left w:val="none" w:sz="0" w:space="0" w:color="auto"/>
        <w:bottom w:val="none" w:sz="0" w:space="0" w:color="auto"/>
        <w:right w:val="none" w:sz="0" w:space="0" w:color="auto"/>
      </w:divBdr>
    </w:div>
    <w:div w:id="611089095">
      <w:bodyDiv w:val="1"/>
      <w:marLeft w:val="0"/>
      <w:marRight w:val="0"/>
      <w:marTop w:val="0"/>
      <w:marBottom w:val="0"/>
      <w:divBdr>
        <w:top w:val="none" w:sz="0" w:space="0" w:color="auto"/>
        <w:left w:val="none" w:sz="0" w:space="0" w:color="auto"/>
        <w:bottom w:val="none" w:sz="0" w:space="0" w:color="auto"/>
        <w:right w:val="none" w:sz="0" w:space="0" w:color="auto"/>
      </w:divBdr>
    </w:div>
    <w:div w:id="612250731">
      <w:bodyDiv w:val="1"/>
      <w:marLeft w:val="0"/>
      <w:marRight w:val="0"/>
      <w:marTop w:val="0"/>
      <w:marBottom w:val="0"/>
      <w:divBdr>
        <w:top w:val="none" w:sz="0" w:space="0" w:color="auto"/>
        <w:left w:val="none" w:sz="0" w:space="0" w:color="auto"/>
        <w:bottom w:val="none" w:sz="0" w:space="0" w:color="auto"/>
        <w:right w:val="none" w:sz="0" w:space="0" w:color="auto"/>
      </w:divBdr>
    </w:div>
    <w:div w:id="612713713">
      <w:bodyDiv w:val="1"/>
      <w:marLeft w:val="0"/>
      <w:marRight w:val="0"/>
      <w:marTop w:val="0"/>
      <w:marBottom w:val="0"/>
      <w:divBdr>
        <w:top w:val="none" w:sz="0" w:space="0" w:color="auto"/>
        <w:left w:val="none" w:sz="0" w:space="0" w:color="auto"/>
        <w:bottom w:val="none" w:sz="0" w:space="0" w:color="auto"/>
        <w:right w:val="none" w:sz="0" w:space="0" w:color="auto"/>
      </w:divBdr>
    </w:div>
    <w:div w:id="614603800">
      <w:bodyDiv w:val="1"/>
      <w:marLeft w:val="0"/>
      <w:marRight w:val="0"/>
      <w:marTop w:val="0"/>
      <w:marBottom w:val="0"/>
      <w:divBdr>
        <w:top w:val="none" w:sz="0" w:space="0" w:color="auto"/>
        <w:left w:val="none" w:sz="0" w:space="0" w:color="auto"/>
        <w:bottom w:val="none" w:sz="0" w:space="0" w:color="auto"/>
        <w:right w:val="none" w:sz="0" w:space="0" w:color="auto"/>
      </w:divBdr>
    </w:div>
    <w:div w:id="624238569">
      <w:bodyDiv w:val="1"/>
      <w:marLeft w:val="0"/>
      <w:marRight w:val="0"/>
      <w:marTop w:val="0"/>
      <w:marBottom w:val="0"/>
      <w:divBdr>
        <w:top w:val="none" w:sz="0" w:space="0" w:color="auto"/>
        <w:left w:val="none" w:sz="0" w:space="0" w:color="auto"/>
        <w:bottom w:val="none" w:sz="0" w:space="0" w:color="auto"/>
        <w:right w:val="none" w:sz="0" w:space="0" w:color="auto"/>
      </w:divBdr>
    </w:div>
    <w:div w:id="632716291">
      <w:bodyDiv w:val="1"/>
      <w:marLeft w:val="0"/>
      <w:marRight w:val="0"/>
      <w:marTop w:val="0"/>
      <w:marBottom w:val="0"/>
      <w:divBdr>
        <w:top w:val="none" w:sz="0" w:space="0" w:color="auto"/>
        <w:left w:val="none" w:sz="0" w:space="0" w:color="auto"/>
        <w:bottom w:val="none" w:sz="0" w:space="0" w:color="auto"/>
        <w:right w:val="none" w:sz="0" w:space="0" w:color="auto"/>
      </w:divBdr>
    </w:div>
    <w:div w:id="639765770">
      <w:bodyDiv w:val="1"/>
      <w:marLeft w:val="0"/>
      <w:marRight w:val="0"/>
      <w:marTop w:val="0"/>
      <w:marBottom w:val="0"/>
      <w:divBdr>
        <w:top w:val="none" w:sz="0" w:space="0" w:color="auto"/>
        <w:left w:val="none" w:sz="0" w:space="0" w:color="auto"/>
        <w:bottom w:val="none" w:sz="0" w:space="0" w:color="auto"/>
        <w:right w:val="none" w:sz="0" w:space="0" w:color="auto"/>
      </w:divBdr>
    </w:div>
    <w:div w:id="642077460">
      <w:bodyDiv w:val="1"/>
      <w:marLeft w:val="0"/>
      <w:marRight w:val="0"/>
      <w:marTop w:val="0"/>
      <w:marBottom w:val="0"/>
      <w:divBdr>
        <w:top w:val="none" w:sz="0" w:space="0" w:color="auto"/>
        <w:left w:val="none" w:sz="0" w:space="0" w:color="auto"/>
        <w:bottom w:val="none" w:sz="0" w:space="0" w:color="auto"/>
        <w:right w:val="none" w:sz="0" w:space="0" w:color="auto"/>
      </w:divBdr>
    </w:div>
    <w:div w:id="645860187">
      <w:bodyDiv w:val="1"/>
      <w:marLeft w:val="0"/>
      <w:marRight w:val="0"/>
      <w:marTop w:val="0"/>
      <w:marBottom w:val="0"/>
      <w:divBdr>
        <w:top w:val="none" w:sz="0" w:space="0" w:color="auto"/>
        <w:left w:val="none" w:sz="0" w:space="0" w:color="auto"/>
        <w:bottom w:val="none" w:sz="0" w:space="0" w:color="auto"/>
        <w:right w:val="none" w:sz="0" w:space="0" w:color="auto"/>
      </w:divBdr>
    </w:div>
    <w:div w:id="647436839">
      <w:bodyDiv w:val="1"/>
      <w:marLeft w:val="0"/>
      <w:marRight w:val="0"/>
      <w:marTop w:val="0"/>
      <w:marBottom w:val="0"/>
      <w:divBdr>
        <w:top w:val="none" w:sz="0" w:space="0" w:color="auto"/>
        <w:left w:val="none" w:sz="0" w:space="0" w:color="auto"/>
        <w:bottom w:val="none" w:sz="0" w:space="0" w:color="auto"/>
        <w:right w:val="none" w:sz="0" w:space="0" w:color="auto"/>
      </w:divBdr>
    </w:div>
    <w:div w:id="648050794">
      <w:bodyDiv w:val="1"/>
      <w:marLeft w:val="0"/>
      <w:marRight w:val="0"/>
      <w:marTop w:val="0"/>
      <w:marBottom w:val="0"/>
      <w:divBdr>
        <w:top w:val="none" w:sz="0" w:space="0" w:color="auto"/>
        <w:left w:val="none" w:sz="0" w:space="0" w:color="auto"/>
        <w:bottom w:val="none" w:sz="0" w:space="0" w:color="auto"/>
        <w:right w:val="none" w:sz="0" w:space="0" w:color="auto"/>
      </w:divBdr>
    </w:div>
    <w:div w:id="650060028">
      <w:bodyDiv w:val="1"/>
      <w:marLeft w:val="0"/>
      <w:marRight w:val="0"/>
      <w:marTop w:val="0"/>
      <w:marBottom w:val="0"/>
      <w:divBdr>
        <w:top w:val="none" w:sz="0" w:space="0" w:color="auto"/>
        <w:left w:val="none" w:sz="0" w:space="0" w:color="auto"/>
        <w:bottom w:val="none" w:sz="0" w:space="0" w:color="auto"/>
        <w:right w:val="none" w:sz="0" w:space="0" w:color="auto"/>
      </w:divBdr>
    </w:div>
    <w:div w:id="659230598">
      <w:bodyDiv w:val="1"/>
      <w:marLeft w:val="0"/>
      <w:marRight w:val="0"/>
      <w:marTop w:val="0"/>
      <w:marBottom w:val="0"/>
      <w:divBdr>
        <w:top w:val="none" w:sz="0" w:space="0" w:color="auto"/>
        <w:left w:val="none" w:sz="0" w:space="0" w:color="auto"/>
        <w:bottom w:val="none" w:sz="0" w:space="0" w:color="auto"/>
        <w:right w:val="none" w:sz="0" w:space="0" w:color="auto"/>
      </w:divBdr>
    </w:div>
    <w:div w:id="665401086">
      <w:bodyDiv w:val="1"/>
      <w:marLeft w:val="0"/>
      <w:marRight w:val="0"/>
      <w:marTop w:val="0"/>
      <w:marBottom w:val="0"/>
      <w:divBdr>
        <w:top w:val="none" w:sz="0" w:space="0" w:color="auto"/>
        <w:left w:val="none" w:sz="0" w:space="0" w:color="auto"/>
        <w:bottom w:val="none" w:sz="0" w:space="0" w:color="auto"/>
        <w:right w:val="none" w:sz="0" w:space="0" w:color="auto"/>
      </w:divBdr>
    </w:div>
    <w:div w:id="668027225">
      <w:bodyDiv w:val="1"/>
      <w:marLeft w:val="0"/>
      <w:marRight w:val="0"/>
      <w:marTop w:val="0"/>
      <w:marBottom w:val="0"/>
      <w:divBdr>
        <w:top w:val="none" w:sz="0" w:space="0" w:color="auto"/>
        <w:left w:val="none" w:sz="0" w:space="0" w:color="auto"/>
        <w:bottom w:val="none" w:sz="0" w:space="0" w:color="auto"/>
        <w:right w:val="none" w:sz="0" w:space="0" w:color="auto"/>
      </w:divBdr>
    </w:div>
    <w:div w:id="669286181">
      <w:bodyDiv w:val="1"/>
      <w:marLeft w:val="0"/>
      <w:marRight w:val="0"/>
      <w:marTop w:val="0"/>
      <w:marBottom w:val="0"/>
      <w:divBdr>
        <w:top w:val="none" w:sz="0" w:space="0" w:color="auto"/>
        <w:left w:val="none" w:sz="0" w:space="0" w:color="auto"/>
        <w:bottom w:val="none" w:sz="0" w:space="0" w:color="auto"/>
        <w:right w:val="none" w:sz="0" w:space="0" w:color="auto"/>
      </w:divBdr>
    </w:div>
    <w:div w:id="670717374">
      <w:bodyDiv w:val="1"/>
      <w:marLeft w:val="0"/>
      <w:marRight w:val="0"/>
      <w:marTop w:val="0"/>
      <w:marBottom w:val="0"/>
      <w:divBdr>
        <w:top w:val="none" w:sz="0" w:space="0" w:color="auto"/>
        <w:left w:val="none" w:sz="0" w:space="0" w:color="auto"/>
        <w:bottom w:val="none" w:sz="0" w:space="0" w:color="auto"/>
        <w:right w:val="none" w:sz="0" w:space="0" w:color="auto"/>
      </w:divBdr>
    </w:div>
    <w:div w:id="673993789">
      <w:bodyDiv w:val="1"/>
      <w:marLeft w:val="0"/>
      <w:marRight w:val="0"/>
      <w:marTop w:val="0"/>
      <w:marBottom w:val="0"/>
      <w:divBdr>
        <w:top w:val="none" w:sz="0" w:space="0" w:color="auto"/>
        <w:left w:val="none" w:sz="0" w:space="0" w:color="auto"/>
        <w:bottom w:val="none" w:sz="0" w:space="0" w:color="auto"/>
        <w:right w:val="none" w:sz="0" w:space="0" w:color="auto"/>
      </w:divBdr>
    </w:div>
    <w:div w:id="674066739">
      <w:bodyDiv w:val="1"/>
      <w:marLeft w:val="0"/>
      <w:marRight w:val="0"/>
      <w:marTop w:val="0"/>
      <w:marBottom w:val="0"/>
      <w:divBdr>
        <w:top w:val="none" w:sz="0" w:space="0" w:color="auto"/>
        <w:left w:val="none" w:sz="0" w:space="0" w:color="auto"/>
        <w:bottom w:val="none" w:sz="0" w:space="0" w:color="auto"/>
        <w:right w:val="none" w:sz="0" w:space="0" w:color="auto"/>
      </w:divBdr>
    </w:div>
    <w:div w:id="677192610">
      <w:bodyDiv w:val="1"/>
      <w:marLeft w:val="0"/>
      <w:marRight w:val="0"/>
      <w:marTop w:val="0"/>
      <w:marBottom w:val="0"/>
      <w:divBdr>
        <w:top w:val="none" w:sz="0" w:space="0" w:color="auto"/>
        <w:left w:val="none" w:sz="0" w:space="0" w:color="auto"/>
        <w:bottom w:val="none" w:sz="0" w:space="0" w:color="auto"/>
        <w:right w:val="none" w:sz="0" w:space="0" w:color="auto"/>
      </w:divBdr>
    </w:div>
    <w:div w:id="679042796">
      <w:bodyDiv w:val="1"/>
      <w:marLeft w:val="0"/>
      <w:marRight w:val="0"/>
      <w:marTop w:val="0"/>
      <w:marBottom w:val="0"/>
      <w:divBdr>
        <w:top w:val="none" w:sz="0" w:space="0" w:color="auto"/>
        <w:left w:val="none" w:sz="0" w:space="0" w:color="auto"/>
        <w:bottom w:val="none" w:sz="0" w:space="0" w:color="auto"/>
        <w:right w:val="none" w:sz="0" w:space="0" w:color="auto"/>
      </w:divBdr>
    </w:div>
    <w:div w:id="679501334">
      <w:bodyDiv w:val="1"/>
      <w:marLeft w:val="0"/>
      <w:marRight w:val="0"/>
      <w:marTop w:val="0"/>
      <w:marBottom w:val="0"/>
      <w:divBdr>
        <w:top w:val="none" w:sz="0" w:space="0" w:color="auto"/>
        <w:left w:val="none" w:sz="0" w:space="0" w:color="auto"/>
        <w:bottom w:val="none" w:sz="0" w:space="0" w:color="auto"/>
        <w:right w:val="none" w:sz="0" w:space="0" w:color="auto"/>
      </w:divBdr>
    </w:div>
    <w:div w:id="687413045">
      <w:bodyDiv w:val="1"/>
      <w:marLeft w:val="0"/>
      <w:marRight w:val="0"/>
      <w:marTop w:val="0"/>
      <w:marBottom w:val="0"/>
      <w:divBdr>
        <w:top w:val="none" w:sz="0" w:space="0" w:color="auto"/>
        <w:left w:val="none" w:sz="0" w:space="0" w:color="auto"/>
        <w:bottom w:val="none" w:sz="0" w:space="0" w:color="auto"/>
        <w:right w:val="none" w:sz="0" w:space="0" w:color="auto"/>
      </w:divBdr>
    </w:div>
    <w:div w:id="688795727">
      <w:bodyDiv w:val="1"/>
      <w:marLeft w:val="0"/>
      <w:marRight w:val="0"/>
      <w:marTop w:val="0"/>
      <w:marBottom w:val="0"/>
      <w:divBdr>
        <w:top w:val="none" w:sz="0" w:space="0" w:color="auto"/>
        <w:left w:val="none" w:sz="0" w:space="0" w:color="auto"/>
        <w:bottom w:val="none" w:sz="0" w:space="0" w:color="auto"/>
        <w:right w:val="none" w:sz="0" w:space="0" w:color="auto"/>
      </w:divBdr>
    </w:div>
    <w:div w:id="703673434">
      <w:bodyDiv w:val="1"/>
      <w:marLeft w:val="0"/>
      <w:marRight w:val="0"/>
      <w:marTop w:val="0"/>
      <w:marBottom w:val="0"/>
      <w:divBdr>
        <w:top w:val="none" w:sz="0" w:space="0" w:color="auto"/>
        <w:left w:val="none" w:sz="0" w:space="0" w:color="auto"/>
        <w:bottom w:val="none" w:sz="0" w:space="0" w:color="auto"/>
        <w:right w:val="none" w:sz="0" w:space="0" w:color="auto"/>
      </w:divBdr>
    </w:div>
    <w:div w:id="704332029">
      <w:bodyDiv w:val="1"/>
      <w:marLeft w:val="0"/>
      <w:marRight w:val="0"/>
      <w:marTop w:val="0"/>
      <w:marBottom w:val="0"/>
      <w:divBdr>
        <w:top w:val="none" w:sz="0" w:space="0" w:color="auto"/>
        <w:left w:val="none" w:sz="0" w:space="0" w:color="auto"/>
        <w:bottom w:val="none" w:sz="0" w:space="0" w:color="auto"/>
        <w:right w:val="none" w:sz="0" w:space="0" w:color="auto"/>
      </w:divBdr>
    </w:div>
    <w:div w:id="70880252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4795253">
      <w:bodyDiv w:val="1"/>
      <w:marLeft w:val="0"/>
      <w:marRight w:val="0"/>
      <w:marTop w:val="0"/>
      <w:marBottom w:val="0"/>
      <w:divBdr>
        <w:top w:val="none" w:sz="0" w:space="0" w:color="auto"/>
        <w:left w:val="none" w:sz="0" w:space="0" w:color="auto"/>
        <w:bottom w:val="none" w:sz="0" w:space="0" w:color="auto"/>
        <w:right w:val="none" w:sz="0" w:space="0" w:color="auto"/>
      </w:divBdr>
    </w:div>
    <w:div w:id="730465582">
      <w:bodyDiv w:val="1"/>
      <w:marLeft w:val="0"/>
      <w:marRight w:val="0"/>
      <w:marTop w:val="0"/>
      <w:marBottom w:val="0"/>
      <w:divBdr>
        <w:top w:val="none" w:sz="0" w:space="0" w:color="auto"/>
        <w:left w:val="none" w:sz="0" w:space="0" w:color="auto"/>
        <w:bottom w:val="none" w:sz="0" w:space="0" w:color="auto"/>
        <w:right w:val="none" w:sz="0" w:space="0" w:color="auto"/>
      </w:divBdr>
    </w:div>
    <w:div w:id="732436833">
      <w:bodyDiv w:val="1"/>
      <w:marLeft w:val="0"/>
      <w:marRight w:val="0"/>
      <w:marTop w:val="0"/>
      <w:marBottom w:val="0"/>
      <w:divBdr>
        <w:top w:val="none" w:sz="0" w:space="0" w:color="auto"/>
        <w:left w:val="none" w:sz="0" w:space="0" w:color="auto"/>
        <w:bottom w:val="none" w:sz="0" w:space="0" w:color="auto"/>
        <w:right w:val="none" w:sz="0" w:space="0" w:color="auto"/>
      </w:divBdr>
    </w:div>
    <w:div w:id="734864896">
      <w:bodyDiv w:val="1"/>
      <w:marLeft w:val="0"/>
      <w:marRight w:val="0"/>
      <w:marTop w:val="0"/>
      <w:marBottom w:val="0"/>
      <w:divBdr>
        <w:top w:val="none" w:sz="0" w:space="0" w:color="auto"/>
        <w:left w:val="none" w:sz="0" w:space="0" w:color="auto"/>
        <w:bottom w:val="none" w:sz="0" w:space="0" w:color="auto"/>
        <w:right w:val="none" w:sz="0" w:space="0" w:color="auto"/>
      </w:divBdr>
    </w:div>
    <w:div w:id="741221612">
      <w:bodyDiv w:val="1"/>
      <w:marLeft w:val="0"/>
      <w:marRight w:val="0"/>
      <w:marTop w:val="0"/>
      <w:marBottom w:val="0"/>
      <w:divBdr>
        <w:top w:val="none" w:sz="0" w:space="0" w:color="auto"/>
        <w:left w:val="none" w:sz="0" w:space="0" w:color="auto"/>
        <w:bottom w:val="none" w:sz="0" w:space="0" w:color="auto"/>
        <w:right w:val="none" w:sz="0" w:space="0" w:color="auto"/>
      </w:divBdr>
    </w:div>
    <w:div w:id="746805145">
      <w:bodyDiv w:val="1"/>
      <w:marLeft w:val="0"/>
      <w:marRight w:val="0"/>
      <w:marTop w:val="0"/>
      <w:marBottom w:val="0"/>
      <w:divBdr>
        <w:top w:val="none" w:sz="0" w:space="0" w:color="auto"/>
        <w:left w:val="none" w:sz="0" w:space="0" w:color="auto"/>
        <w:bottom w:val="none" w:sz="0" w:space="0" w:color="auto"/>
        <w:right w:val="none" w:sz="0" w:space="0" w:color="auto"/>
      </w:divBdr>
    </w:div>
    <w:div w:id="751194390">
      <w:bodyDiv w:val="1"/>
      <w:marLeft w:val="0"/>
      <w:marRight w:val="0"/>
      <w:marTop w:val="0"/>
      <w:marBottom w:val="0"/>
      <w:divBdr>
        <w:top w:val="none" w:sz="0" w:space="0" w:color="auto"/>
        <w:left w:val="none" w:sz="0" w:space="0" w:color="auto"/>
        <w:bottom w:val="none" w:sz="0" w:space="0" w:color="auto"/>
        <w:right w:val="none" w:sz="0" w:space="0" w:color="auto"/>
      </w:divBdr>
    </w:div>
    <w:div w:id="754060265">
      <w:bodyDiv w:val="1"/>
      <w:marLeft w:val="0"/>
      <w:marRight w:val="0"/>
      <w:marTop w:val="0"/>
      <w:marBottom w:val="0"/>
      <w:divBdr>
        <w:top w:val="none" w:sz="0" w:space="0" w:color="auto"/>
        <w:left w:val="none" w:sz="0" w:space="0" w:color="auto"/>
        <w:bottom w:val="none" w:sz="0" w:space="0" w:color="auto"/>
        <w:right w:val="none" w:sz="0" w:space="0" w:color="auto"/>
      </w:divBdr>
    </w:div>
    <w:div w:id="754127954">
      <w:bodyDiv w:val="1"/>
      <w:marLeft w:val="0"/>
      <w:marRight w:val="0"/>
      <w:marTop w:val="0"/>
      <w:marBottom w:val="0"/>
      <w:divBdr>
        <w:top w:val="none" w:sz="0" w:space="0" w:color="auto"/>
        <w:left w:val="none" w:sz="0" w:space="0" w:color="auto"/>
        <w:bottom w:val="none" w:sz="0" w:space="0" w:color="auto"/>
        <w:right w:val="none" w:sz="0" w:space="0" w:color="auto"/>
      </w:divBdr>
    </w:div>
    <w:div w:id="757214198">
      <w:bodyDiv w:val="1"/>
      <w:marLeft w:val="0"/>
      <w:marRight w:val="0"/>
      <w:marTop w:val="0"/>
      <w:marBottom w:val="0"/>
      <w:divBdr>
        <w:top w:val="none" w:sz="0" w:space="0" w:color="auto"/>
        <w:left w:val="none" w:sz="0" w:space="0" w:color="auto"/>
        <w:bottom w:val="none" w:sz="0" w:space="0" w:color="auto"/>
        <w:right w:val="none" w:sz="0" w:space="0" w:color="auto"/>
      </w:divBdr>
    </w:div>
    <w:div w:id="762917840">
      <w:bodyDiv w:val="1"/>
      <w:marLeft w:val="0"/>
      <w:marRight w:val="0"/>
      <w:marTop w:val="0"/>
      <w:marBottom w:val="0"/>
      <w:divBdr>
        <w:top w:val="none" w:sz="0" w:space="0" w:color="auto"/>
        <w:left w:val="none" w:sz="0" w:space="0" w:color="auto"/>
        <w:bottom w:val="none" w:sz="0" w:space="0" w:color="auto"/>
        <w:right w:val="none" w:sz="0" w:space="0" w:color="auto"/>
      </w:divBdr>
    </w:div>
    <w:div w:id="763919371">
      <w:bodyDiv w:val="1"/>
      <w:marLeft w:val="0"/>
      <w:marRight w:val="0"/>
      <w:marTop w:val="0"/>
      <w:marBottom w:val="0"/>
      <w:divBdr>
        <w:top w:val="none" w:sz="0" w:space="0" w:color="auto"/>
        <w:left w:val="none" w:sz="0" w:space="0" w:color="auto"/>
        <w:bottom w:val="none" w:sz="0" w:space="0" w:color="auto"/>
        <w:right w:val="none" w:sz="0" w:space="0" w:color="auto"/>
      </w:divBdr>
    </w:div>
    <w:div w:id="764544517">
      <w:bodyDiv w:val="1"/>
      <w:marLeft w:val="0"/>
      <w:marRight w:val="0"/>
      <w:marTop w:val="0"/>
      <w:marBottom w:val="0"/>
      <w:divBdr>
        <w:top w:val="none" w:sz="0" w:space="0" w:color="auto"/>
        <w:left w:val="none" w:sz="0" w:space="0" w:color="auto"/>
        <w:bottom w:val="none" w:sz="0" w:space="0" w:color="auto"/>
        <w:right w:val="none" w:sz="0" w:space="0" w:color="auto"/>
      </w:divBdr>
    </w:div>
    <w:div w:id="765344540">
      <w:bodyDiv w:val="1"/>
      <w:marLeft w:val="0"/>
      <w:marRight w:val="0"/>
      <w:marTop w:val="0"/>
      <w:marBottom w:val="0"/>
      <w:divBdr>
        <w:top w:val="none" w:sz="0" w:space="0" w:color="auto"/>
        <w:left w:val="none" w:sz="0" w:space="0" w:color="auto"/>
        <w:bottom w:val="none" w:sz="0" w:space="0" w:color="auto"/>
        <w:right w:val="none" w:sz="0" w:space="0" w:color="auto"/>
      </w:divBdr>
    </w:div>
    <w:div w:id="765999251">
      <w:bodyDiv w:val="1"/>
      <w:marLeft w:val="0"/>
      <w:marRight w:val="0"/>
      <w:marTop w:val="0"/>
      <w:marBottom w:val="0"/>
      <w:divBdr>
        <w:top w:val="none" w:sz="0" w:space="0" w:color="auto"/>
        <w:left w:val="none" w:sz="0" w:space="0" w:color="auto"/>
        <w:bottom w:val="none" w:sz="0" w:space="0" w:color="auto"/>
        <w:right w:val="none" w:sz="0" w:space="0" w:color="auto"/>
      </w:divBdr>
    </w:div>
    <w:div w:id="767042618">
      <w:bodyDiv w:val="1"/>
      <w:marLeft w:val="0"/>
      <w:marRight w:val="0"/>
      <w:marTop w:val="0"/>
      <w:marBottom w:val="0"/>
      <w:divBdr>
        <w:top w:val="none" w:sz="0" w:space="0" w:color="auto"/>
        <w:left w:val="none" w:sz="0" w:space="0" w:color="auto"/>
        <w:bottom w:val="none" w:sz="0" w:space="0" w:color="auto"/>
        <w:right w:val="none" w:sz="0" w:space="0" w:color="auto"/>
      </w:divBdr>
    </w:div>
    <w:div w:id="771363611">
      <w:bodyDiv w:val="1"/>
      <w:marLeft w:val="0"/>
      <w:marRight w:val="0"/>
      <w:marTop w:val="0"/>
      <w:marBottom w:val="0"/>
      <w:divBdr>
        <w:top w:val="none" w:sz="0" w:space="0" w:color="auto"/>
        <w:left w:val="none" w:sz="0" w:space="0" w:color="auto"/>
        <w:bottom w:val="none" w:sz="0" w:space="0" w:color="auto"/>
        <w:right w:val="none" w:sz="0" w:space="0" w:color="auto"/>
      </w:divBdr>
    </w:div>
    <w:div w:id="778450556">
      <w:bodyDiv w:val="1"/>
      <w:marLeft w:val="0"/>
      <w:marRight w:val="0"/>
      <w:marTop w:val="0"/>
      <w:marBottom w:val="0"/>
      <w:divBdr>
        <w:top w:val="none" w:sz="0" w:space="0" w:color="auto"/>
        <w:left w:val="none" w:sz="0" w:space="0" w:color="auto"/>
        <w:bottom w:val="none" w:sz="0" w:space="0" w:color="auto"/>
        <w:right w:val="none" w:sz="0" w:space="0" w:color="auto"/>
      </w:divBdr>
    </w:div>
    <w:div w:id="778531364">
      <w:bodyDiv w:val="1"/>
      <w:marLeft w:val="0"/>
      <w:marRight w:val="0"/>
      <w:marTop w:val="0"/>
      <w:marBottom w:val="0"/>
      <w:divBdr>
        <w:top w:val="none" w:sz="0" w:space="0" w:color="auto"/>
        <w:left w:val="none" w:sz="0" w:space="0" w:color="auto"/>
        <w:bottom w:val="none" w:sz="0" w:space="0" w:color="auto"/>
        <w:right w:val="none" w:sz="0" w:space="0" w:color="auto"/>
      </w:divBdr>
    </w:div>
    <w:div w:id="779564390">
      <w:bodyDiv w:val="1"/>
      <w:marLeft w:val="0"/>
      <w:marRight w:val="0"/>
      <w:marTop w:val="0"/>
      <w:marBottom w:val="0"/>
      <w:divBdr>
        <w:top w:val="none" w:sz="0" w:space="0" w:color="auto"/>
        <w:left w:val="none" w:sz="0" w:space="0" w:color="auto"/>
        <w:bottom w:val="none" w:sz="0" w:space="0" w:color="auto"/>
        <w:right w:val="none" w:sz="0" w:space="0" w:color="auto"/>
      </w:divBdr>
    </w:div>
    <w:div w:id="781998047">
      <w:bodyDiv w:val="1"/>
      <w:marLeft w:val="0"/>
      <w:marRight w:val="0"/>
      <w:marTop w:val="0"/>
      <w:marBottom w:val="0"/>
      <w:divBdr>
        <w:top w:val="none" w:sz="0" w:space="0" w:color="auto"/>
        <w:left w:val="none" w:sz="0" w:space="0" w:color="auto"/>
        <w:bottom w:val="none" w:sz="0" w:space="0" w:color="auto"/>
        <w:right w:val="none" w:sz="0" w:space="0" w:color="auto"/>
      </w:divBdr>
    </w:div>
    <w:div w:id="785928388">
      <w:bodyDiv w:val="1"/>
      <w:marLeft w:val="0"/>
      <w:marRight w:val="0"/>
      <w:marTop w:val="0"/>
      <w:marBottom w:val="0"/>
      <w:divBdr>
        <w:top w:val="none" w:sz="0" w:space="0" w:color="auto"/>
        <w:left w:val="none" w:sz="0" w:space="0" w:color="auto"/>
        <w:bottom w:val="none" w:sz="0" w:space="0" w:color="auto"/>
        <w:right w:val="none" w:sz="0" w:space="0" w:color="auto"/>
      </w:divBdr>
    </w:div>
    <w:div w:id="786774137">
      <w:bodyDiv w:val="1"/>
      <w:marLeft w:val="0"/>
      <w:marRight w:val="0"/>
      <w:marTop w:val="0"/>
      <w:marBottom w:val="0"/>
      <w:divBdr>
        <w:top w:val="none" w:sz="0" w:space="0" w:color="auto"/>
        <w:left w:val="none" w:sz="0" w:space="0" w:color="auto"/>
        <w:bottom w:val="none" w:sz="0" w:space="0" w:color="auto"/>
        <w:right w:val="none" w:sz="0" w:space="0" w:color="auto"/>
      </w:divBdr>
    </w:div>
    <w:div w:id="788400497">
      <w:bodyDiv w:val="1"/>
      <w:marLeft w:val="0"/>
      <w:marRight w:val="0"/>
      <w:marTop w:val="0"/>
      <w:marBottom w:val="0"/>
      <w:divBdr>
        <w:top w:val="none" w:sz="0" w:space="0" w:color="auto"/>
        <w:left w:val="none" w:sz="0" w:space="0" w:color="auto"/>
        <w:bottom w:val="none" w:sz="0" w:space="0" w:color="auto"/>
        <w:right w:val="none" w:sz="0" w:space="0" w:color="auto"/>
      </w:divBdr>
    </w:div>
    <w:div w:id="791288002">
      <w:bodyDiv w:val="1"/>
      <w:marLeft w:val="0"/>
      <w:marRight w:val="0"/>
      <w:marTop w:val="0"/>
      <w:marBottom w:val="0"/>
      <w:divBdr>
        <w:top w:val="none" w:sz="0" w:space="0" w:color="auto"/>
        <w:left w:val="none" w:sz="0" w:space="0" w:color="auto"/>
        <w:bottom w:val="none" w:sz="0" w:space="0" w:color="auto"/>
        <w:right w:val="none" w:sz="0" w:space="0" w:color="auto"/>
      </w:divBdr>
    </w:div>
    <w:div w:id="801926599">
      <w:bodyDiv w:val="1"/>
      <w:marLeft w:val="0"/>
      <w:marRight w:val="0"/>
      <w:marTop w:val="0"/>
      <w:marBottom w:val="0"/>
      <w:divBdr>
        <w:top w:val="none" w:sz="0" w:space="0" w:color="auto"/>
        <w:left w:val="none" w:sz="0" w:space="0" w:color="auto"/>
        <w:bottom w:val="none" w:sz="0" w:space="0" w:color="auto"/>
        <w:right w:val="none" w:sz="0" w:space="0" w:color="auto"/>
      </w:divBdr>
    </w:div>
    <w:div w:id="805589586">
      <w:bodyDiv w:val="1"/>
      <w:marLeft w:val="0"/>
      <w:marRight w:val="0"/>
      <w:marTop w:val="0"/>
      <w:marBottom w:val="0"/>
      <w:divBdr>
        <w:top w:val="none" w:sz="0" w:space="0" w:color="auto"/>
        <w:left w:val="none" w:sz="0" w:space="0" w:color="auto"/>
        <w:bottom w:val="none" w:sz="0" w:space="0" w:color="auto"/>
        <w:right w:val="none" w:sz="0" w:space="0" w:color="auto"/>
      </w:divBdr>
    </w:div>
    <w:div w:id="809902821">
      <w:bodyDiv w:val="1"/>
      <w:marLeft w:val="0"/>
      <w:marRight w:val="0"/>
      <w:marTop w:val="0"/>
      <w:marBottom w:val="0"/>
      <w:divBdr>
        <w:top w:val="none" w:sz="0" w:space="0" w:color="auto"/>
        <w:left w:val="none" w:sz="0" w:space="0" w:color="auto"/>
        <w:bottom w:val="none" w:sz="0" w:space="0" w:color="auto"/>
        <w:right w:val="none" w:sz="0" w:space="0" w:color="auto"/>
      </w:divBdr>
    </w:div>
    <w:div w:id="813525081">
      <w:bodyDiv w:val="1"/>
      <w:marLeft w:val="0"/>
      <w:marRight w:val="0"/>
      <w:marTop w:val="0"/>
      <w:marBottom w:val="0"/>
      <w:divBdr>
        <w:top w:val="none" w:sz="0" w:space="0" w:color="auto"/>
        <w:left w:val="none" w:sz="0" w:space="0" w:color="auto"/>
        <w:bottom w:val="none" w:sz="0" w:space="0" w:color="auto"/>
        <w:right w:val="none" w:sz="0" w:space="0" w:color="auto"/>
      </w:divBdr>
    </w:div>
    <w:div w:id="817188880">
      <w:bodyDiv w:val="1"/>
      <w:marLeft w:val="0"/>
      <w:marRight w:val="0"/>
      <w:marTop w:val="0"/>
      <w:marBottom w:val="0"/>
      <w:divBdr>
        <w:top w:val="none" w:sz="0" w:space="0" w:color="auto"/>
        <w:left w:val="none" w:sz="0" w:space="0" w:color="auto"/>
        <w:bottom w:val="none" w:sz="0" w:space="0" w:color="auto"/>
        <w:right w:val="none" w:sz="0" w:space="0" w:color="auto"/>
      </w:divBdr>
    </w:div>
    <w:div w:id="823354719">
      <w:bodyDiv w:val="1"/>
      <w:marLeft w:val="0"/>
      <w:marRight w:val="0"/>
      <w:marTop w:val="0"/>
      <w:marBottom w:val="0"/>
      <w:divBdr>
        <w:top w:val="none" w:sz="0" w:space="0" w:color="auto"/>
        <w:left w:val="none" w:sz="0" w:space="0" w:color="auto"/>
        <w:bottom w:val="none" w:sz="0" w:space="0" w:color="auto"/>
        <w:right w:val="none" w:sz="0" w:space="0" w:color="auto"/>
      </w:divBdr>
    </w:div>
    <w:div w:id="826433805">
      <w:bodyDiv w:val="1"/>
      <w:marLeft w:val="0"/>
      <w:marRight w:val="0"/>
      <w:marTop w:val="0"/>
      <w:marBottom w:val="0"/>
      <w:divBdr>
        <w:top w:val="none" w:sz="0" w:space="0" w:color="auto"/>
        <w:left w:val="none" w:sz="0" w:space="0" w:color="auto"/>
        <w:bottom w:val="none" w:sz="0" w:space="0" w:color="auto"/>
        <w:right w:val="none" w:sz="0" w:space="0" w:color="auto"/>
      </w:divBdr>
    </w:div>
    <w:div w:id="828906431">
      <w:bodyDiv w:val="1"/>
      <w:marLeft w:val="0"/>
      <w:marRight w:val="0"/>
      <w:marTop w:val="0"/>
      <w:marBottom w:val="0"/>
      <w:divBdr>
        <w:top w:val="none" w:sz="0" w:space="0" w:color="auto"/>
        <w:left w:val="none" w:sz="0" w:space="0" w:color="auto"/>
        <w:bottom w:val="none" w:sz="0" w:space="0" w:color="auto"/>
        <w:right w:val="none" w:sz="0" w:space="0" w:color="auto"/>
      </w:divBdr>
    </w:div>
    <w:div w:id="834298420">
      <w:bodyDiv w:val="1"/>
      <w:marLeft w:val="0"/>
      <w:marRight w:val="0"/>
      <w:marTop w:val="0"/>
      <w:marBottom w:val="0"/>
      <w:divBdr>
        <w:top w:val="none" w:sz="0" w:space="0" w:color="auto"/>
        <w:left w:val="none" w:sz="0" w:space="0" w:color="auto"/>
        <w:bottom w:val="none" w:sz="0" w:space="0" w:color="auto"/>
        <w:right w:val="none" w:sz="0" w:space="0" w:color="auto"/>
      </w:divBdr>
    </w:div>
    <w:div w:id="834341041">
      <w:bodyDiv w:val="1"/>
      <w:marLeft w:val="0"/>
      <w:marRight w:val="0"/>
      <w:marTop w:val="0"/>
      <w:marBottom w:val="0"/>
      <w:divBdr>
        <w:top w:val="none" w:sz="0" w:space="0" w:color="auto"/>
        <w:left w:val="none" w:sz="0" w:space="0" w:color="auto"/>
        <w:bottom w:val="none" w:sz="0" w:space="0" w:color="auto"/>
        <w:right w:val="none" w:sz="0" w:space="0" w:color="auto"/>
      </w:divBdr>
    </w:div>
    <w:div w:id="842739655">
      <w:bodyDiv w:val="1"/>
      <w:marLeft w:val="0"/>
      <w:marRight w:val="0"/>
      <w:marTop w:val="0"/>
      <w:marBottom w:val="0"/>
      <w:divBdr>
        <w:top w:val="none" w:sz="0" w:space="0" w:color="auto"/>
        <w:left w:val="none" w:sz="0" w:space="0" w:color="auto"/>
        <w:bottom w:val="none" w:sz="0" w:space="0" w:color="auto"/>
        <w:right w:val="none" w:sz="0" w:space="0" w:color="auto"/>
      </w:divBdr>
    </w:div>
    <w:div w:id="847061490">
      <w:bodyDiv w:val="1"/>
      <w:marLeft w:val="0"/>
      <w:marRight w:val="0"/>
      <w:marTop w:val="0"/>
      <w:marBottom w:val="0"/>
      <w:divBdr>
        <w:top w:val="none" w:sz="0" w:space="0" w:color="auto"/>
        <w:left w:val="none" w:sz="0" w:space="0" w:color="auto"/>
        <w:bottom w:val="none" w:sz="0" w:space="0" w:color="auto"/>
        <w:right w:val="none" w:sz="0" w:space="0" w:color="auto"/>
      </w:divBdr>
    </w:div>
    <w:div w:id="850264928">
      <w:bodyDiv w:val="1"/>
      <w:marLeft w:val="0"/>
      <w:marRight w:val="0"/>
      <w:marTop w:val="0"/>
      <w:marBottom w:val="0"/>
      <w:divBdr>
        <w:top w:val="none" w:sz="0" w:space="0" w:color="auto"/>
        <w:left w:val="none" w:sz="0" w:space="0" w:color="auto"/>
        <w:bottom w:val="none" w:sz="0" w:space="0" w:color="auto"/>
        <w:right w:val="none" w:sz="0" w:space="0" w:color="auto"/>
      </w:divBdr>
    </w:div>
    <w:div w:id="854031353">
      <w:bodyDiv w:val="1"/>
      <w:marLeft w:val="0"/>
      <w:marRight w:val="0"/>
      <w:marTop w:val="0"/>
      <w:marBottom w:val="0"/>
      <w:divBdr>
        <w:top w:val="none" w:sz="0" w:space="0" w:color="auto"/>
        <w:left w:val="none" w:sz="0" w:space="0" w:color="auto"/>
        <w:bottom w:val="none" w:sz="0" w:space="0" w:color="auto"/>
        <w:right w:val="none" w:sz="0" w:space="0" w:color="auto"/>
      </w:divBdr>
    </w:div>
    <w:div w:id="862086391">
      <w:bodyDiv w:val="1"/>
      <w:marLeft w:val="0"/>
      <w:marRight w:val="0"/>
      <w:marTop w:val="0"/>
      <w:marBottom w:val="0"/>
      <w:divBdr>
        <w:top w:val="none" w:sz="0" w:space="0" w:color="auto"/>
        <w:left w:val="none" w:sz="0" w:space="0" w:color="auto"/>
        <w:bottom w:val="none" w:sz="0" w:space="0" w:color="auto"/>
        <w:right w:val="none" w:sz="0" w:space="0" w:color="auto"/>
      </w:divBdr>
    </w:div>
    <w:div w:id="862599060">
      <w:bodyDiv w:val="1"/>
      <w:marLeft w:val="0"/>
      <w:marRight w:val="0"/>
      <w:marTop w:val="0"/>
      <w:marBottom w:val="0"/>
      <w:divBdr>
        <w:top w:val="none" w:sz="0" w:space="0" w:color="auto"/>
        <w:left w:val="none" w:sz="0" w:space="0" w:color="auto"/>
        <w:bottom w:val="none" w:sz="0" w:space="0" w:color="auto"/>
        <w:right w:val="none" w:sz="0" w:space="0" w:color="auto"/>
      </w:divBdr>
    </w:div>
    <w:div w:id="870653856">
      <w:bodyDiv w:val="1"/>
      <w:marLeft w:val="0"/>
      <w:marRight w:val="0"/>
      <w:marTop w:val="0"/>
      <w:marBottom w:val="0"/>
      <w:divBdr>
        <w:top w:val="none" w:sz="0" w:space="0" w:color="auto"/>
        <w:left w:val="none" w:sz="0" w:space="0" w:color="auto"/>
        <w:bottom w:val="none" w:sz="0" w:space="0" w:color="auto"/>
        <w:right w:val="none" w:sz="0" w:space="0" w:color="auto"/>
      </w:divBdr>
    </w:div>
    <w:div w:id="875506804">
      <w:bodyDiv w:val="1"/>
      <w:marLeft w:val="0"/>
      <w:marRight w:val="0"/>
      <w:marTop w:val="0"/>
      <w:marBottom w:val="0"/>
      <w:divBdr>
        <w:top w:val="none" w:sz="0" w:space="0" w:color="auto"/>
        <w:left w:val="none" w:sz="0" w:space="0" w:color="auto"/>
        <w:bottom w:val="none" w:sz="0" w:space="0" w:color="auto"/>
        <w:right w:val="none" w:sz="0" w:space="0" w:color="auto"/>
      </w:divBdr>
    </w:div>
    <w:div w:id="875888978">
      <w:bodyDiv w:val="1"/>
      <w:marLeft w:val="0"/>
      <w:marRight w:val="0"/>
      <w:marTop w:val="0"/>
      <w:marBottom w:val="0"/>
      <w:divBdr>
        <w:top w:val="none" w:sz="0" w:space="0" w:color="auto"/>
        <w:left w:val="none" w:sz="0" w:space="0" w:color="auto"/>
        <w:bottom w:val="none" w:sz="0" w:space="0" w:color="auto"/>
        <w:right w:val="none" w:sz="0" w:space="0" w:color="auto"/>
      </w:divBdr>
    </w:div>
    <w:div w:id="878735851">
      <w:bodyDiv w:val="1"/>
      <w:marLeft w:val="0"/>
      <w:marRight w:val="0"/>
      <w:marTop w:val="0"/>
      <w:marBottom w:val="0"/>
      <w:divBdr>
        <w:top w:val="none" w:sz="0" w:space="0" w:color="auto"/>
        <w:left w:val="none" w:sz="0" w:space="0" w:color="auto"/>
        <w:bottom w:val="none" w:sz="0" w:space="0" w:color="auto"/>
        <w:right w:val="none" w:sz="0" w:space="0" w:color="auto"/>
      </w:divBdr>
    </w:div>
    <w:div w:id="890111411">
      <w:bodyDiv w:val="1"/>
      <w:marLeft w:val="0"/>
      <w:marRight w:val="0"/>
      <w:marTop w:val="0"/>
      <w:marBottom w:val="0"/>
      <w:divBdr>
        <w:top w:val="none" w:sz="0" w:space="0" w:color="auto"/>
        <w:left w:val="none" w:sz="0" w:space="0" w:color="auto"/>
        <w:bottom w:val="none" w:sz="0" w:space="0" w:color="auto"/>
        <w:right w:val="none" w:sz="0" w:space="0" w:color="auto"/>
      </w:divBdr>
    </w:div>
    <w:div w:id="894320538">
      <w:bodyDiv w:val="1"/>
      <w:marLeft w:val="0"/>
      <w:marRight w:val="0"/>
      <w:marTop w:val="0"/>
      <w:marBottom w:val="0"/>
      <w:divBdr>
        <w:top w:val="none" w:sz="0" w:space="0" w:color="auto"/>
        <w:left w:val="none" w:sz="0" w:space="0" w:color="auto"/>
        <w:bottom w:val="none" w:sz="0" w:space="0" w:color="auto"/>
        <w:right w:val="none" w:sz="0" w:space="0" w:color="auto"/>
      </w:divBdr>
    </w:div>
    <w:div w:id="894581081">
      <w:bodyDiv w:val="1"/>
      <w:marLeft w:val="0"/>
      <w:marRight w:val="0"/>
      <w:marTop w:val="0"/>
      <w:marBottom w:val="0"/>
      <w:divBdr>
        <w:top w:val="none" w:sz="0" w:space="0" w:color="auto"/>
        <w:left w:val="none" w:sz="0" w:space="0" w:color="auto"/>
        <w:bottom w:val="none" w:sz="0" w:space="0" w:color="auto"/>
        <w:right w:val="none" w:sz="0" w:space="0" w:color="auto"/>
      </w:divBdr>
    </w:div>
    <w:div w:id="896403775">
      <w:bodyDiv w:val="1"/>
      <w:marLeft w:val="0"/>
      <w:marRight w:val="0"/>
      <w:marTop w:val="0"/>
      <w:marBottom w:val="0"/>
      <w:divBdr>
        <w:top w:val="none" w:sz="0" w:space="0" w:color="auto"/>
        <w:left w:val="none" w:sz="0" w:space="0" w:color="auto"/>
        <w:bottom w:val="none" w:sz="0" w:space="0" w:color="auto"/>
        <w:right w:val="none" w:sz="0" w:space="0" w:color="auto"/>
      </w:divBdr>
    </w:div>
    <w:div w:id="896625956">
      <w:bodyDiv w:val="1"/>
      <w:marLeft w:val="0"/>
      <w:marRight w:val="0"/>
      <w:marTop w:val="0"/>
      <w:marBottom w:val="0"/>
      <w:divBdr>
        <w:top w:val="none" w:sz="0" w:space="0" w:color="auto"/>
        <w:left w:val="none" w:sz="0" w:space="0" w:color="auto"/>
        <w:bottom w:val="none" w:sz="0" w:space="0" w:color="auto"/>
        <w:right w:val="none" w:sz="0" w:space="0" w:color="auto"/>
      </w:divBdr>
    </w:div>
    <w:div w:id="897471212">
      <w:bodyDiv w:val="1"/>
      <w:marLeft w:val="0"/>
      <w:marRight w:val="0"/>
      <w:marTop w:val="0"/>
      <w:marBottom w:val="0"/>
      <w:divBdr>
        <w:top w:val="none" w:sz="0" w:space="0" w:color="auto"/>
        <w:left w:val="none" w:sz="0" w:space="0" w:color="auto"/>
        <w:bottom w:val="none" w:sz="0" w:space="0" w:color="auto"/>
        <w:right w:val="none" w:sz="0" w:space="0" w:color="auto"/>
      </w:divBdr>
    </w:div>
    <w:div w:id="897788922">
      <w:bodyDiv w:val="1"/>
      <w:marLeft w:val="0"/>
      <w:marRight w:val="0"/>
      <w:marTop w:val="0"/>
      <w:marBottom w:val="0"/>
      <w:divBdr>
        <w:top w:val="none" w:sz="0" w:space="0" w:color="auto"/>
        <w:left w:val="none" w:sz="0" w:space="0" w:color="auto"/>
        <w:bottom w:val="none" w:sz="0" w:space="0" w:color="auto"/>
        <w:right w:val="none" w:sz="0" w:space="0" w:color="auto"/>
      </w:divBdr>
    </w:div>
    <w:div w:id="902175542">
      <w:bodyDiv w:val="1"/>
      <w:marLeft w:val="0"/>
      <w:marRight w:val="0"/>
      <w:marTop w:val="0"/>
      <w:marBottom w:val="0"/>
      <w:divBdr>
        <w:top w:val="none" w:sz="0" w:space="0" w:color="auto"/>
        <w:left w:val="none" w:sz="0" w:space="0" w:color="auto"/>
        <w:bottom w:val="none" w:sz="0" w:space="0" w:color="auto"/>
        <w:right w:val="none" w:sz="0" w:space="0" w:color="auto"/>
      </w:divBdr>
    </w:div>
    <w:div w:id="903760877">
      <w:bodyDiv w:val="1"/>
      <w:marLeft w:val="0"/>
      <w:marRight w:val="0"/>
      <w:marTop w:val="0"/>
      <w:marBottom w:val="0"/>
      <w:divBdr>
        <w:top w:val="none" w:sz="0" w:space="0" w:color="auto"/>
        <w:left w:val="none" w:sz="0" w:space="0" w:color="auto"/>
        <w:bottom w:val="none" w:sz="0" w:space="0" w:color="auto"/>
        <w:right w:val="none" w:sz="0" w:space="0" w:color="auto"/>
      </w:divBdr>
    </w:div>
    <w:div w:id="905142437">
      <w:bodyDiv w:val="1"/>
      <w:marLeft w:val="0"/>
      <w:marRight w:val="0"/>
      <w:marTop w:val="0"/>
      <w:marBottom w:val="0"/>
      <w:divBdr>
        <w:top w:val="none" w:sz="0" w:space="0" w:color="auto"/>
        <w:left w:val="none" w:sz="0" w:space="0" w:color="auto"/>
        <w:bottom w:val="none" w:sz="0" w:space="0" w:color="auto"/>
        <w:right w:val="none" w:sz="0" w:space="0" w:color="auto"/>
      </w:divBdr>
    </w:div>
    <w:div w:id="908880400">
      <w:bodyDiv w:val="1"/>
      <w:marLeft w:val="0"/>
      <w:marRight w:val="0"/>
      <w:marTop w:val="0"/>
      <w:marBottom w:val="0"/>
      <w:divBdr>
        <w:top w:val="none" w:sz="0" w:space="0" w:color="auto"/>
        <w:left w:val="none" w:sz="0" w:space="0" w:color="auto"/>
        <w:bottom w:val="none" w:sz="0" w:space="0" w:color="auto"/>
        <w:right w:val="none" w:sz="0" w:space="0" w:color="auto"/>
      </w:divBdr>
    </w:div>
    <w:div w:id="913320856">
      <w:bodyDiv w:val="1"/>
      <w:marLeft w:val="0"/>
      <w:marRight w:val="0"/>
      <w:marTop w:val="0"/>
      <w:marBottom w:val="0"/>
      <w:divBdr>
        <w:top w:val="none" w:sz="0" w:space="0" w:color="auto"/>
        <w:left w:val="none" w:sz="0" w:space="0" w:color="auto"/>
        <w:bottom w:val="none" w:sz="0" w:space="0" w:color="auto"/>
        <w:right w:val="none" w:sz="0" w:space="0" w:color="auto"/>
      </w:divBdr>
    </w:div>
    <w:div w:id="914048178">
      <w:bodyDiv w:val="1"/>
      <w:marLeft w:val="0"/>
      <w:marRight w:val="0"/>
      <w:marTop w:val="0"/>
      <w:marBottom w:val="0"/>
      <w:divBdr>
        <w:top w:val="none" w:sz="0" w:space="0" w:color="auto"/>
        <w:left w:val="none" w:sz="0" w:space="0" w:color="auto"/>
        <w:bottom w:val="none" w:sz="0" w:space="0" w:color="auto"/>
        <w:right w:val="none" w:sz="0" w:space="0" w:color="auto"/>
      </w:divBdr>
    </w:div>
    <w:div w:id="915210978">
      <w:bodyDiv w:val="1"/>
      <w:marLeft w:val="0"/>
      <w:marRight w:val="0"/>
      <w:marTop w:val="0"/>
      <w:marBottom w:val="0"/>
      <w:divBdr>
        <w:top w:val="none" w:sz="0" w:space="0" w:color="auto"/>
        <w:left w:val="none" w:sz="0" w:space="0" w:color="auto"/>
        <w:bottom w:val="none" w:sz="0" w:space="0" w:color="auto"/>
        <w:right w:val="none" w:sz="0" w:space="0" w:color="auto"/>
      </w:divBdr>
    </w:div>
    <w:div w:id="919605460">
      <w:bodyDiv w:val="1"/>
      <w:marLeft w:val="0"/>
      <w:marRight w:val="0"/>
      <w:marTop w:val="0"/>
      <w:marBottom w:val="0"/>
      <w:divBdr>
        <w:top w:val="none" w:sz="0" w:space="0" w:color="auto"/>
        <w:left w:val="none" w:sz="0" w:space="0" w:color="auto"/>
        <w:bottom w:val="none" w:sz="0" w:space="0" w:color="auto"/>
        <w:right w:val="none" w:sz="0" w:space="0" w:color="auto"/>
      </w:divBdr>
    </w:div>
    <w:div w:id="925115914">
      <w:bodyDiv w:val="1"/>
      <w:marLeft w:val="0"/>
      <w:marRight w:val="0"/>
      <w:marTop w:val="0"/>
      <w:marBottom w:val="0"/>
      <w:divBdr>
        <w:top w:val="none" w:sz="0" w:space="0" w:color="auto"/>
        <w:left w:val="none" w:sz="0" w:space="0" w:color="auto"/>
        <w:bottom w:val="none" w:sz="0" w:space="0" w:color="auto"/>
        <w:right w:val="none" w:sz="0" w:space="0" w:color="auto"/>
      </w:divBdr>
    </w:div>
    <w:div w:id="926621891">
      <w:bodyDiv w:val="1"/>
      <w:marLeft w:val="0"/>
      <w:marRight w:val="0"/>
      <w:marTop w:val="0"/>
      <w:marBottom w:val="0"/>
      <w:divBdr>
        <w:top w:val="none" w:sz="0" w:space="0" w:color="auto"/>
        <w:left w:val="none" w:sz="0" w:space="0" w:color="auto"/>
        <w:bottom w:val="none" w:sz="0" w:space="0" w:color="auto"/>
        <w:right w:val="none" w:sz="0" w:space="0" w:color="auto"/>
      </w:divBdr>
    </w:div>
    <w:div w:id="928856485">
      <w:bodyDiv w:val="1"/>
      <w:marLeft w:val="0"/>
      <w:marRight w:val="0"/>
      <w:marTop w:val="0"/>
      <w:marBottom w:val="0"/>
      <w:divBdr>
        <w:top w:val="none" w:sz="0" w:space="0" w:color="auto"/>
        <w:left w:val="none" w:sz="0" w:space="0" w:color="auto"/>
        <w:bottom w:val="none" w:sz="0" w:space="0" w:color="auto"/>
        <w:right w:val="none" w:sz="0" w:space="0" w:color="auto"/>
      </w:divBdr>
    </w:div>
    <w:div w:id="930896292">
      <w:bodyDiv w:val="1"/>
      <w:marLeft w:val="0"/>
      <w:marRight w:val="0"/>
      <w:marTop w:val="0"/>
      <w:marBottom w:val="0"/>
      <w:divBdr>
        <w:top w:val="none" w:sz="0" w:space="0" w:color="auto"/>
        <w:left w:val="none" w:sz="0" w:space="0" w:color="auto"/>
        <w:bottom w:val="none" w:sz="0" w:space="0" w:color="auto"/>
        <w:right w:val="none" w:sz="0" w:space="0" w:color="auto"/>
      </w:divBdr>
    </w:div>
    <w:div w:id="932781911">
      <w:bodyDiv w:val="1"/>
      <w:marLeft w:val="0"/>
      <w:marRight w:val="0"/>
      <w:marTop w:val="0"/>
      <w:marBottom w:val="0"/>
      <w:divBdr>
        <w:top w:val="none" w:sz="0" w:space="0" w:color="auto"/>
        <w:left w:val="none" w:sz="0" w:space="0" w:color="auto"/>
        <w:bottom w:val="none" w:sz="0" w:space="0" w:color="auto"/>
        <w:right w:val="none" w:sz="0" w:space="0" w:color="auto"/>
      </w:divBdr>
    </w:div>
    <w:div w:id="937444871">
      <w:bodyDiv w:val="1"/>
      <w:marLeft w:val="0"/>
      <w:marRight w:val="0"/>
      <w:marTop w:val="0"/>
      <w:marBottom w:val="0"/>
      <w:divBdr>
        <w:top w:val="none" w:sz="0" w:space="0" w:color="auto"/>
        <w:left w:val="none" w:sz="0" w:space="0" w:color="auto"/>
        <w:bottom w:val="none" w:sz="0" w:space="0" w:color="auto"/>
        <w:right w:val="none" w:sz="0" w:space="0" w:color="auto"/>
      </w:divBdr>
    </w:div>
    <w:div w:id="946305734">
      <w:bodyDiv w:val="1"/>
      <w:marLeft w:val="0"/>
      <w:marRight w:val="0"/>
      <w:marTop w:val="0"/>
      <w:marBottom w:val="0"/>
      <w:divBdr>
        <w:top w:val="none" w:sz="0" w:space="0" w:color="auto"/>
        <w:left w:val="none" w:sz="0" w:space="0" w:color="auto"/>
        <w:bottom w:val="none" w:sz="0" w:space="0" w:color="auto"/>
        <w:right w:val="none" w:sz="0" w:space="0" w:color="auto"/>
      </w:divBdr>
    </w:div>
    <w:div w:id="948044661">
      <w:bodyDiv w:val="1"/>
      <w:marLeft w:val="0"/>
      <w:marRight w:val="0"/>
      <w:marTop w:val="0"/>
      <w:marBottom w:val="0"/>
      <w:divBdr>
        <w:top w:val="none" w:sz="0" w:space="0" w:color="auto"/>
        <w:left w:val="none" w:sz="0" w:space="0" w:color="auto"/>
        <w:bottom w:val="none" w:sz="0" w:space="0" w:color="auto"/>
        <w:right w:val="none" w:sz="0" w:space="0" w:color="auto"/>
      </w:divBdr>
    </w:div>
    <w:div w:id="950624649">
      <w:bodyDiv w:val="1"/>
      <w:marLeft w:val="0"/>
      <w:marRight w:val="0"/>
      <w:marTop w:val="0"/>
      <w:marBottom w:val="0"/>
      <w:divBdr>
        <w:top w:val="none" w:sz="0" w:space="0" w:color="auto"/>
        <w:left w:val="none" w:sz="0" w:space="0" w:color="auto"/>
        <w:bottom w:val="none" w:sz="0" w:space="0" w:color="auto"/>
        <w:right w:val="none" w:sz="0" w:space="0" w:color="auto"/>
      </w:divBdr>
    </w:div>
    <w:div w:id="951398413">
      <w:bodyDiv w:val="1"/>
      <w:marLeft w:val="0"/>
      <w:marRight w:val="0"/>
      <w:marTop w:val="0"/>
      <w:marBottom w:val="0"/>
      <w:divBdr>
        <w:top w:val="none" w:sz="0" w:space="0" w:color="auto"/>
        <w:left w:val="none" w:sz="0" w:space="0" w:color="auto"/>
        <w:bottom w:val="none" w:sz="0" w:space="0" w:color="auto"/>
        <w:right w:val="none" w:sz="0" w:space="0" w:color="auto"/>
      </w:divBdr>
    </w:div>
    <w:div w:id="952177026">
      <w:bodyDiv w:val="1"/>
      <w:marLeft w:val="0"/>
      <w:marRight w:val="0"/>
      <w:marTop w:val="0"/>
      <w:marBottom w:val="0"/>
      <w:divBdr>
        <w:top w:val="none" w:sz="0" w:space="0" w:color="auto"/>
        <w:left w:val="none" w:sz="0" w:space="0" w:color="auto"/>
        <w:bottom w:val="none" w:sz="0" w:space="0" w:color="auto"/>
        <w:right w:val="none" w:sz="0" w:space="0" w:color="auto"/>
      </w:divBdr>
    </w:div>
    <w:div w:id="956519539">
      <w:bodyDiv w:val="1"/>
      <w:marLeft w:val="0"/>
      <w:marRight w:val="0"/>
      <w:marTop w:val="0"/>
      <w:marBottom w:val="0"/>
      <w:divBdr>
        <w:top w:val="none" w:sz="0" w:space="0" w:color="auto"/>
        <w:left w:val="none" w:sz="0" w:space="0" w:color="auto"/>
        <w:bottom w:val="none" w:sz="0" w:space="0" w:color="auto"/>
        <w:right w:val="none" w:sz="0" w:space="0" w:color="auto"/>
      </w:divBdr>
    </w:div>
    <w:div w:id="963730188">
      <w:bodyDiv w:val="1"/>
      <w:marLeft w:val="0"/>
      <w:marRight w:val="0"/>
      <w:marTop w:val="0"/>
      <w:marBottom w:val="0"/>
      <w:divBdr>
        <w:top w:val="none" w:sz="0" w:space="0" w:color="auto"/>
        <w:left w:val="none" w:sz="0" w:space="0" w:color="auto"/>
        <w:bottom w:val="none" w:sz="0" w:space="0" w:color="auto"/>
        <w:right w:val="none" w:sz="0" w:space="0" w:color="auto"/>
      </w:divBdr>
    </w:div>
    <w:div w:id="965350147">
      <w:bodyDiv w:val="1"/>
      <w:marLeft w:val="0"/>
      <w:marRight w:val="0"/>
      <w:marTop w:val="0"/>
      <w:marBottom w:val="0"/>
      <w:divBdr>
        <w:top w:val="none" w:sz="0" w:space="0" w:color="auto"/>
        <w:left w:val="none" w:sz="0" w:space="0" w:color="auto"/>
        <w:bottom w:val="none" w:sz="0" w:space="0" w:color="auto"/>
        <w:right w:val="none" w:sz="0" w:space="0" w:color="auto"/>
      </w:divBdr>
    </w:div>
    <w:div w:id="966425315">
      <w:bodyDiv w:val="1"/>
      <w:marLeft w:val="0"/>
      <w:marRight w:val="0"/>
      <w:marTop w:val="0"/>
      <w:marBottom w:val="0"/>
      <w:divBdr>
        <w:top w:val="none" w:sz="0" w:space="0" w:color="auto"/>
        <w:left w:val="none" w:sz="0" w:space="0" w:color="auto"/>
        <w:bottom w:val="none" w:sz="0" w:space="0" w:color="auto"/>
        <w:right w:val="none" w:sz="0" w:space="0" w:color="auto"/>
      </w:divBdr>
    </w:div>
    <w:div w:id="966620100">
      <w:bodyDiv w:val="1"/>
      <w:marLeft w:val="0"/>
      <w:marRight w:val="0"/>
      <w:marTop w:val="0"/>
      <w:marBottom w:val="0"/>
      <w:divBdr>
        <w:top w:val="none" w:sz="0" w:space="0" w:color="auto"/>
        <w:left w:val="none" w:sz="0" w:space="0" w:color="auto"/>
        <w:bottom w:val="none" w:sz="0" w:space="0" w:color="auto"/>
        <w:right w:val="none" w:sz="0" w:space="0" w:color="auto"/>
      </w:divBdr>
    </w:div>
    <w:div w:id="9683153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636500">
      <w:bodyDiv w:val="1"/>
      <w:marLeft w:val="0"/>
      <w:marRight w:val="0"/>
      <w:marTop w:val="0"/>
      <w:marBottom w:val="0"/>
      <w:divBdr>
        <w:top w:val="none" w:sz="0" w:space="0" w:color="auto"/>
        <w:left w:val="none" w:sz="0" w:space="0" w:color="auto"/>
        <w:bottom w:val="none" w:sz="0" w:space="0" w:color="auto"/>
        <w:right w:val="none" w:sz="0" w:space="0" w:color="auto"/>
      </w:divBdr>
    </w:div>
    <w:div w:id="998197771">
      <w:bodyDiv w:val="1"/>
      <w:marLeft w:val="0"/>
      <w:marRight w:val="0"/>
      <w:marTop w:val="0"/>
      <w:marBottom w:val="0"/>
      <w:divBdr>
        <w:top w:val="none" w:sz="0" w:space="0" w:color="auto"/>
        <w:left w:val="none" w:sz="0" w:space="0" w:color="auto"/>
        <w:bottom w:val="none" w:sz="0" w:space="0" w:color="auto"/>
        <w:right w:val="none" w:sz="0" w:space="0" w:color="auto"/>
      </w:divBdr>
    </w:div>
    <w:div w:id="1005279274">
      <w:bodyDiv w:val="1"/>
      <w:marLeft w:val="0"/>
      <w:marRight w:val="0"/>
      <w:marTop w:val="0"/>
      <w:marBottom w:val="0"/>
      <w:divBdr>
        <w:top w:val="none" w:sz="0" w:space="0" w:color="auto"/>
        <w:left w:val="none" w:sz="0" w:space="0" w:color="auto"/>
        <w:bottom w:val="none" w:sz="0" w:space="0" w:color="auto"/>
        <w:right w:val="none" w:sz="0" w:space="0" w:color="auto"/>
      </w:divBdr>
    </w:div>
    <w:div w:id="1013874321">
      <w:bodyDiv w:val="1"/>
      <w:marLeft w:val="0"/>
      <w:marRight w:val="0"/>
      <w:marTop w:val="0"/>
      <w:marBottom w:val="0"/>
      <w:divBdr>
        <w:top w:val="none" w:sz="0" w:space="0" w:color="auto"/>
        <w:left w:val="none" w:sz="0" w:space="0" w:color="auto"/>
        <w:bottom w:val="none" w:sz="0" w:space="0" w:color="auto"/>
        <w:right w:val="none" w:sz="0" w:space="0" w:color="auto"/>
      </w:divBdr>
    </w:div>
    <w:div w:id="1015306995">
      <w:bodyDiv w:val="1"/>
      <w:marLeft w:val="0"/>
      <w:marRight w:val="0"/>
      <w:marTop w:val="0"/>
      <w:marBottom w:val="0"/>
      <w:divBdr>
        <w:top w:val="none" w:sz="0" w:space="0" w:color="auto"/>
        <w:left w:val="none" w:sz="0" w:space="0" w:color="auto"/>
        <w:bottom w:val="none" w:sz="0" w:space="0" w:color="auto"/>
        <w:right w:val="none" w:sz="0" w:space="0" w:color="auto"/>
      </w:divBdr>
    </w:div>
    <w:div w:id="1020861626">
      <w:bodyDiv w:val="1"/>
      <w:marLeft w:val="0"/>
      <w:marRight w:val="0"/>
      <w:marTop w:val="0"/>
      <w:marBottom w:val="0"/>
      <w:divBdr>
        <w:top w:val="none" w:sz="0" w:space="0" w:color="auto"/>
        <w:left w:val="none" w:sz="0" w:space="0" w:color="auto"/>
        <w:bottom w:val="none" w:sz="0" w:space="0" w:color="auto"/>
        <w:right w:val="none" w:sz="0" w:space="0" w:color="auto"/>
      </w:divBdr>
    </w:div>
    <w:div w:id="1022899339">
      <w:bodyDiv w:val="1"/>
      <w:marLeft w:val="0"/>
      <w:marRight w:val="0"/>
      <w:marTop w:val="0"/>
      <w:marBottom w:val="0"/>
      <w:divBdr>
        <w:top w:val="none" w:sz="0" w:space="0" w:color="auto"/>
        <w:left w:val="none" w:sz="0" w:space="0" w:color="auto"/>
        <w:bottom w:val="none" w:sz="0" w:space="0" w:color="auto"/>
        <w:right w:val="none" w:sz="0" w:space="0" w:color="auto"/>
      </w:divBdr>
    </w:div>
    <w:div w:id="1027565770">
      <w:bodyDiv w:val="1"/>
      <w:marLeft w:val="0"/>
      <w:marRight w:val="0"/>
      <w:marTop w:val="0"/>
      <w:marBottom w:val="0"/>
      <w:divBdr>
        <w:top w:val="none" w:sz="0" w:space="0" w:color="auto"/>
        <w:left w:val="none" w:sz="0" w:space="0" w:color="auto"/>
        <w:bottom w:val="none" w:sz="0" w:space="0" w:color="auto"/>
        <w:right w:val="none" w:sz="0" w:space="0" w:color="auto"/>
      </w:divBdr>
    </w:div>
    <w:div w:id="1033724168">
      <w:bodyDiv w:val="1"/>
      <w:marLeft w:val="0"/>
      <w:marRight w:val="0"/>
      <w:marTop w:val="0"/>
      <w:marBottom w:val="0"/>
      <w:divBdr>
        <w:top w:val="none" w:sz="0" w:space="0" w:color="auto"/>
        <w:left w:val="none" w:sz="0" w:space="0" w:color="auto"/>
        <w:bottom w:val="none" w:sz="0" w:space="0" w:color="auto"/>
        <w:right w:val="none" w:sz="0" w:space="0" w:color="auto"/>
      </w:divBdr>
    </w:div>
    <w:div w:id="1034965729">
      <w:bodyDiv w:val="1"/>
      <w:marLeft w:val="0"/>
      <w:marRight w:val="0"/>
      <w:marTop w:val="0"/>
      <w:marBottom w:val="0"/>
      <w:divBdr>
        <w:top w:val="none" w:sz="0" w:space="0" w:color="auto"/>
        <w:left w:val="none" w:sz="0" w:space="0" w:color="auto"/>
        <w:bottom w:val="none" w:sz="0" w:space="0" w:color="auto"/>
        <w:right w:val="none" w:sz="0" w:space="0" w:color="auto"/>
      </w:divBdr>
    </w:div>
    <w:div w:id="1042367168">
      <w:bodyDiv w:val="1"/>
      <w:marLeft w:val="0"/>
      <w:marRight w:val="0"/>
      <w:marTop w:val="0"/>
      <w:marBottom w:val="0"/>
      <w:divBdr>
        <w:top w:val="none" w:sz="0" w:space="0" w:color="auto"/>
        <w:left w:val="none" w:sz="0" w:space="0" w:color="auto"/>
        <w:bottom w:val="none" w:sz="0" w:space="0" w:color="auto"/>
        <w:right w:val="none" w:sz="0" w:space="0" w:color="auto"/>
      </w:divBdr>
    </w:div>
    <w:div w:id="1042827598">
      <w:bodyDiv w:val="1"/>
      <w:marLeft w:val="0"/>
      <w:marRight w:val="0"/>
      <w:marTop w:val="0"/>
      <w:marBottom w:val="0"/>
      <w:divBdr>
        <w:top w:val="none" w:sz="0" w:space="0" w:color="auto"/>
        <w:left w:val="none" w:sz="0" w:space="0" w:color="auto"/>
        <w:bottom w:val="none" w:sz="0" w:space="0" w:color="auto"/>
        <w:right w:val="none" w:sz="0" w:space="0" w:color="auto"/>
      </w:divBdr>
    </w:div>
    <w:div w:id="1045521337">
      <w:bodyDiv w:val="1"/>
      <w:marLeft w:val="0"/>
      <w:marRight w:val="0"/>
      <w:marTop w:val="0"/>
      <w:marBottom w:val="0"/>
      <w:divBdr>
        <w:top w:val="none" w:sz="0" w:space="0" w:color="auto"/>
        <w:left w:val="none" w:sz="0" w:space="0" w:color="auto"/>
        <w:bottom w:val="none" w:sz="0" w:space="0" w:color="auto"/>
        <w:right w:val="none" w:sz="0" w:space="0" w:color="auto"/>
      </w:divBdr>
    </w:div>
    <w:div w:id="1046758442">
      <w:bodyDiv w:val="1"/>
      <w:marLeft w:val="0"/>
      <w:marRight w:val="0"/>
      <w:marTop w:val="0"/>
      <w:marBottom w:val="0"/>
      <w:divBdr>
        <w:top w:val="none" w:sz="0" w:space="0" w:color="auto"/>
        <w:left w:val="none" w:sz="0" w:space="0" w:color="auto"/>
        <w:bottom w:val="none" w:sz="0" w:space="0" w:color="auto"/>
        <w:right w:val="none" w:sz="0" w:space="0" w:color="auto"/>
      </w:divBdr>
    </w:div>
    <w:div w:id="1070346187">
      <w:bodyDiv w:val="1"/>
      <w:marLeft w:val="0"/>
      <w:marRight w:val="0"/>
      <w:marTop w:val="0"/>
      <w:marBottom w:val="0"/>
      <w:divBdr>
        <w:top w:val="none" w:sz="0" w:space="0" w:color="auto"/>
        <w:left w:val="none" w:sz="0" w:space="0" w:color="auto"/>
        <w:bottom w:val="none" w:sz="0" w:space="0" w:color="auto"/>
        <w:right w:val="none" w:sz="0" w:space="0" w:color="auto"/>
      </w:divBdr>
    </w:div>
    <w:div w:id="1074011088">
      <w:bodyDiv w:val="1"/>
      <w:marLeft w:val="0"/>
      <w:marRight w:val="0"/>
      <w:marTop w:val="0"/>
      <w:marBottom w:val="0"/>
      <w:divBdr>
        <w:top w:val="none" w:sz="0" w:space="0" w:color="auto"/>
        <w:left w:val="none" w:sz="0" w:space="0" w:color="auto"/>
        <w:bottom w:val="none" w:sz="0" w:space="0" w:color="auto"/>
        <w:right w:val="none" w:sz="0" w:space="0" w:color="auto"/>
      </w:divBdr>
    </w:div>
    <w:div w:id="1077285360">
      <w:bodyDiv w:val="1"/>
      <w:marLeft w:val="0"/>
      <w:marRight w:val="0"/>
      <w:marTop w:val="0"/>
      <w:marBottom w:val="0"/>
      <w:divBdr>
        <w:top w:val="none" w:sz="0" w:space="0" w:color="auto"/>
        <w:left w:val="none" w:sz="0" w:space="0" w:color="auto"/>
        <w:bottom w:val="none" w:sz="0" w:space="0" w:color="auto"/>
        <w:right w:val="none" w:sz="0" w:space="0" w:color="auto"/>
      </w:divBdr>
    </w:div>
    <w:div w:id="1082604223">
      <w:bodyDiv w:val="1"/>
      <w:marLeft w:val="0"/>
      <w:marRight w:val="0"/>
      <w:marTop w:val="0"/>
      <w:marBottom w:val="0"/>
      <w:divBdr>
        <w:top w:val="none" w:sz="0" w:space="0" w:color="auto"/>
        <w:left w:val="none" w:sz="0" w:space="0" w:color="auto"/>
        <w:bottom w:val="none" w:sz="0" w:space="0" w:color="auto"/>
        <w:right w:val="none" w:sz="0" w:space="0" w:color="auto"/>
      </w:divBdr>
    </w:div>
    <w:div w:id="1088428175">
      <w:bodyDiv w:val="1"/>
      <w:marLeft w:val="0"/>
      <w:marRight w:val="0"/>
      <w:marTop w:val="0"/>
      <w:marBottom w:val="0"/>
      <w:divBdr>
        <w:top w:val="none" w:sz="0" w:space="0" w:color="auto"/>
        <w:left w:val="none" w:sz="0" w:space="0" w:color="auto"/>
        <w:bottom w:val="none" w:sz="0" w:space="0" w:color="auto"/>
        <w:right w:val="none" w:sz="0" w:space="0" w:color="auto"/>
      </w:divBdr>
    </w:div>
    <w:div w:id="1089741981">
      <w:bodyDiv w:val="1"/>
      <w:marLeft w:val="0"/>
      <w:marRight w:val="0"/>
      <w:marTop w:val="0"/>
      <w:marBottom w:val="0"/>
      <w:divBdr>
        <w:top w:val="none" w:sz="0" w:space="0" w:color="auto"/>
        <w:left w:val="none" w:sz="0" w:space="0" w:color="auto"/>
        <w:bottom w:val="none" w:sz="0" w:space="0" w:color="auto"/>
        <w:right w:val="none" w:sz="0" w:space="0" w:color="auto"/>
      </w:divBdr>
    </w:div>
    <w:div w:id="1096291995">
      <w:bodyDiv w:val="1"/>
      <w:marLeft w:val="0"/>
      <w:marRight w:val="0"/>
      <w:marTop w:val="0"/>
      <w:marBottom w:val="0"/>
      <w:divBdr>
        <w:top w:val="none" w:sz="0" w:space="0" w:color="auto"/>
        <w:left w:val="none" w:sz="0" w:space="0" w:color="auto"/>
        <w:bottom w:val="none" w:sz="0" w:space="0" w:color="auto"/>
        <w:right w:val="none" w:sz="0" w:space="0" w:color="auto"/>
      </w:divBdr>
    </w:div>
    <w:div w:id="1113208302">
      <w:bodyDiv w:val="1"/>
      <w:marLeft w:val="0"/>
      <w:marRight w:val="0"/>
      <w:marTop w:val="0"/>
      <w:marBottom w:val="0"/>
      <w:divBdr>
        <w:top w:val="none" w:sz="0" w:space="0" w:color="auto"/>
        <w:left w:val="none" w:sz="0" w:space="0" w:color="auto"/>
        <w:bottom w:val="none" w:sz="0" w:space="0" w:color="auto"/>
        <w:right w:val="none" w:sz="0" w:space="0" w:color="auto"/>
      </w:divBdr>
    </w:div>
    <w:div w:id="1114137466">
      <w:bodyDiv w:val="1"/>
      <w:marLeft w:val="0"/>
      <w:marRight w:val="0"/>
      <w:marTop w:val="0"/>
      <w:marBottom w:val="0"/>
      <w:divBdr>
        <w:top w:val="none" w:sz="0" w:space="0" w:color="auto"/>
        <w:left w:val="none" w:sz="0" w:space="0" w:color="auto"/>
        <w:bottom w:val="none" w:sz="0" w:space="0" w:color="auto"/>
        <w:right w:val="none" w:sz="0" w:space="0" w:color="auto"/>
      </w:divBdr>
    </w:div>
    <w:div w:id="1128668110">
      <w:bodyDiv w:val="1"/>
      <w:marLeft w:val="0"/>
      <w:marRight w:val="0"/>
      <w:marTop w:val="0"/>
      <w:marBottom w:val="0"/>
      <w:divBdr>
        <w:top w:val="none" w:sz="0" w:space="0" w:color="auto"/>
        <w:left w:val="none" w:sz="0" w:space="0" w:color="auto"/>
        <w:bottom w:val="none" w:sz="0" w:space="0" w:color="auto"/>
        <w:right w:val="none" w:sz="0" w:space="0" w:color="auto"/>
      </w:divBdr>
    </w:div>
    <w:div w:id="1131288231">
      <w:bodyDiv w:val="1"/>
      <w:marLeft w:val="0"/>
      <w:marRight w:val="0"/>
      <w:marTop w:val="0"/>
      <w:marBottom w:val="0"/>
      <w:divBdr>
        <w:top w:val="none" w:sz="0" w:space="0" w:color="auto"/>
        <w:left w:val="none" w:sz="0" w:space="0" w:color="auto"/>
        <w:bottom w:val="none" w:sz="0" w:space="0" w:color="auto"/>
        <w:right w:val="none" w:sz="0" w:space="0" w:color="auto"/>
      </w:divBdr>
    </w:div>
    <w:div w:id="1133911033">
      <w:bodyDiv w:val="1"/>
      <w:marLeft w:val="0"/>
      <w:marRight w:val="0"/>
      <w:marTop w:val="0"/>
      <w:marBottom w:val="0"/>
      <w:divBdr>
        <w:top w:val="none" w:sz="0" w:space="0" w:color="auto"/>
        <w:left w:val="none" w:sz="0" w:space="0" w:color="auto"/>
        <w:bottom w:val="none" w:sz="0" w:space="0" w:color="auto"/>
        <w:right w:val="none" w:sz="0" w:space="0" w:color="auto"/>
      </w:divBdr>
    </w:div>
    <w:div w:id="113541197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601848">
      <w:bodyDiv w:val="1"/>
      <w:marLeft w:val="0"/>
      <w:marRight w:val="0"/>
      <w:marTop w:val="0"/>
      <w:marBottom w:val="0"/>
      <w:divBdr>
        <w:top w:val="none" w:sz="0" w:space="0" w:color="auto"/>
        <w:left w:val="none" w:sz="0" w:space="0" w:color="auto"/>
        <w:bottom w:val="none" w:sz="0" w:space="0" w:color="auto"/>
        <w:right w:val="none" w:sz="0" w:space="0" w:color="auto"/>
      </w:divBdr>
    </w:div>
    <w:div w:id="1141654602">
      <w:bodyDiv w:val="1"/>
      <w:marLeft w:val="0"/>
      <w:marRight w:val="0"/>
      <w:marTop w:val="0"/>
      <w:marBottom w:val="0"/>
      <w:divBdr>
        <w:top w:val="none" w:sz="0" w:space="0" w:color="auto"/>
        <w:left w:val="none" w:sz="0" w:space="0" w:color="auto"/>
        <w:bottom w:val="none" w:sz="0" w:space="0" w:color="auto"/>
        <w:right w:val="none" w:sz="0" w:space="0" w:color="auto"/>
      </w:divBdr>
    </w:div>
    <w:div w:id="1142387671">
      <w:bodyDiv w:val="1"/>
      <w:marLeft w:val="0"/>
      <w:marRight w:val="0"/>
      <w:marTop w:val="0"/>
      <w:marBottom w:val="0"/>
      <w:divBdr>
        <w:top w:val="none" w:sz="0" w:space="0" w:color="auto"/>
        <w:left w:val="none" w:sz="0" w:space="0" w:color="auto"/>
        <w:bottom w:val="none" w:sz="0" w:space="0" w:color="auto"/>
        <w:right w:val="none" w:sz="0" w:space="0" w:color="auto"/>
      </w:divBdr>
    </w:div>
    <w:div w:id="1145393162">
      <w:bodyDiv w:val="1"/>
      <w:marLeft w:val="0"/>
      <w:marRight w:val="0"/>
      <w:marTop w:val="0"/>
      <w:marBottom w:val="0"/>
      <w:divBdr>
        <w:top w:val="none" w:sz="0" w:space="0" w:color="auto"/>
        <w:left w:val="none" w:sz="0" w:space="0" w:color="auto"/>
        <w:bottom w:val="none" w:sz="0" w:space="0" w:color="auto"/>
        <w:right w:val="none" w:sz="0" w:space="0" w:color="auto"/>
      </w:divBdr>
    </w:div>
    <w:div w:id="1150974052">
      <w:bodyDiv w:val="1"/>
      <w:marLeft w:val="0"/>
      <w:marRight w:val="0"/>
      <w:marTop w:val="0"/>
      <w:marBottom w:val="0"/>
      <w:divBdr>
        <w:top w:val="none" w:sz="0" w:space="0" w:color="auto"/>
        <w:left w:val="none" w:sz="0" w:space="0" w:color="auto"/>
        <w:bottom w:val="none" w:sz="0" w:space="0" w:color="auto"/>
        <w:right w:val="none" w:sz="0" w:space="0" w:color="auto"/>
      </w:divBdr>
    </w:div>
    <w:div w:id="1161385558">
      <w:bodyDiv w:val="1"/>
      <w:marLeft w:val="0"/>
      <w:marRight w:val="0"/>
      <w:marTop w:val="0"/>
      <w:marBottom w:val="0"/>
      <w:divBdr>
        <w:top w:val="none" w:sz="0" w:space="0" w:color="auto"/>
        <w:left w:val="none" w:sz="0" w:space="0" w:color="auto"/>
        <w:bottom w:val="none" w:sz="0" w:space="0" w:color="auto"/>
        <w:right w:val="none" w:sz="0" w:space="0" w:color="auto"/>
      </w:divBdr>
    </w:div>
    <w:div w:id="1163859155">
      <w:bodyDiv w:val="1"/>
      <w:marLeft w:val="0"/>
      <w:marRight w:val="0"/>
      <w:marTop w:val="0"/>
      <w:marBottom w:val="0"/>
      <w:divBdr>
        <w:top w:val="none" w:sz="0" w:space="0" w:color="auto"/>
        <w:left w:val="none" w:sz="0" w:space="0" w:color="auto"/>
        <w:bottom w:val="none" w:sz="0" w:space="0" w:color="auto"/>
        <w:right w:val="none" w:sz="0" w:space="0" w:color="auto"/>
      </w:divBdr>
    </w:div>
    <w:div w:id="1169252254">
      <w:bodyDiv w:val="1"/>
      <w:marLeft w:val="0"/>
      <w:marRight w:val="0"/>
      <w:marTop w:val="0"/>
      <w:marBottom w:val="0"/>
      <w:divBdr>
        <w:top w:val="none" w:sz="0" w:space="0" w:color="auto"/>
        <w:left w:val="none" w:sz="0" w:space="0" w:color="auto"/>
        <w:bottom w:val="none" w:sz="0" w:space="0" w:color="auto"/>
        <w:right w:val="none" w:sz="0" w:space="0" w:color="auto"/>
      </w:divBdr>
    </w:div>
    <w:div w:id="1178345141">
      <w:bodyDiv w:val="1"/>
      <w:marLeft w:val="0"/>
      <w:marRight w:val="0"/>
      <w:marTop w:val="0"/>
      <w:marBottom w:val="0"/>
      <w:divBdr>
        <w:top w:val="none" w:sz="0" w:space="0" w:color="auto"/>
        <w:left w:val="none" w:sz="0" w:space="0" w:color="auto"/>
        <w:bottom w:val="none" w:sz="0" w:space="0" w:color="auto"/>
        <w:right w:val="none" w:sz="0" w:space="0" w:color="auto"/>
      </w:divBdr>
    </w:div>
    <w:div w:id="1179004654">
      <w:bodyDiv w:val="1"/>
      <w:marLeft w:val="0"/>
      <w:marRight w:val="0"/>
      <w:marTop w:val="0"/>
      <w:marBottom w:val="0"/>
      <w:divBdr>
        <w:top w:val="none" w:sz="0" w:space="0" w:color="auto"/>
        <w:left w:val="none" w:sz="0" w:space="0" w:color="auto"/>
        <w:bottom w:val="none" w:sz="0" w:space="0" w:color="auto"/>
        <w:right w:val="none" w:sz="0" w:space="0" w:color="auto"/>
      </w:divBdr>
    </w:div>
    <w:div w:id="1194422045">
      <w:bodyDiv w:val="1"/>
      <w:marLeft w:val="0"/>
      <w:marRight w:val="0"/>
      <w:marTop w:val="0"/>
      <w:marBottom w:val="0"/>
      <w:divBdr>
        <w:top w:val="none" w:sz="0" w:space="0" w:color="auto"/>
        <w:left w:val="none" w:sz="0" w:space="0" w:color="auto"/>
        <w:bottom w:val="none" w:sz="0" w:space="0" w:color="auto"/>
        <w:right w:val="none" w:sz="0" w:space="0" w:color="auto"/>
      </w:divBdr>
    </w:div>
    <w:div w:id="120089672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8950193">
      <w:bodyDiv w:val="1"/>
      <w:marLeft w:val="0"/>
      <w:marRight w:val="0"/>
      <w:marTop w:val="0"/>
      <w:marBottom w:val="0"/>
      <w:divBdr>
        <w:top w:val="none" w:sz="0" w:space="0" w:color="auto"/>
        <w:left w:val="none" w:sz="0" w:space="0" w:color="auto"/>
        <w:bottom w:val="none" w:sz="0" w:space="0" w:color="auto"/>
        <w:right w:val="none" w:sz="0" w:space="0" w:color="auto"/>
      </w:divBdr>
    </w:div>
    <w:div w:id="1211646592">
      <w:bodyDiv w:val="1"/>
      <w:marLeft w:val="0"/>
      <w:marRight w:val="0"/>
      <w:marTop w:val="0"/>
      <w:marBottom w:val="0"/>
      <w:divBdr>
        <w:top w:val="none" w:sz="0" w:space="0" w:color="auto"/>
        <w:left w:val="none" w:sz="0" w:space="0" w:color="auto"/>
        <w:bottom w:val="none" w:sz="0" w:space="0" w:color="auto"/>
        <w:right w:val="none" w:sz="0" w:space="0" w:color="auto"/>
      </w:divBdr>
    </w:div>
    <w:div w:id="1213730132">
      <w:bodyDiv w:val="1"/>
      <w:marLeft w:val="0"/>
      <w:marRight w:val="0"/>
      <w:marTop w:val="0"/>
      <w:marBottom w:val="0"/>
      <w:divBdr>
        <w:top w:val="none" w:sz="0" w:space="0" w:color="auto"/>
        <w:left w:val="none" w:sz="0" w:space="0" w:color="auto"/>
        <w:bottom w:val="none" w:sz="0" w:space="0" w:color="auto"/>
        <w:right w:val="none" w:sz="0" w:space="0" w:color="auto"/>
      </w:divBdr>
    </w:div>
    <w:div w:id="1217887653">
      <w:bodyDiv w:val="1"/>
      <w:marLeft w:val="0"/>
      <w:marRight w:val="0"/>
      <w:marTop w:val="0"/>
      <w:marBottom w:val="0"/>
      <w:divBdr>
        <w:top w:val="none" w:sz="0" w:space="0" w:color="auto"/>
        <w:left w:val="none" w:sz="0" w:space="0" w:color="auto"/>
        <w:bottom w:val="none" w:sz="0" w:space="0" w:color="auto"/>
        <w:right w:val="none" w:sz="0" w:space="0" w:color="auto"/>
      </w:divBdr>
    </w:div>
    <w:div w:id="1218669316">
      <w:bodyDiv w:val="1"/>
      <w:marLeft w:val="0"/>
      <w:marRight w:val="0"/>
      <w:marTop w:val="0"/>
      <w:marBottom w:val="0"/>
      <w:divBdr>
        <w:top w:val="none" w:sz="0" w:space="0" w:color="auto"/>
        <w:left w:val="none" w:sz="0" w:space="0" w:color="auto"/>
        <w:bottom w:val="none" w:sz="0" w:space="0" w:color="auto"/>
        <w:right w:val="none" w:sz="0" w:space="0" w:color="auto"/>
      </w:divBdr>
    </w:div>
    <w:div w:id="1220631863">
      <w:bodyDiv w:val="1"/>
      <w:marLeft w:val="0"/>
      <w:marRight w:val="0"/>
      <w:marTop w:val="0"/>
      <w:marBottom w:val="0"/>
      <w:divBdr>
        <w:top w:val="none" w:sz="0" w:space="0" w:color="auto"/>
        <w:left w:val="none" w:sz="0" w:space="0" w:color="auto"/>
        <w:bottom w:val="none" w:sz="0" w:space="0" w:color="auto"/>
        <w:right w:val="none" w:sz="0" w:space="0" w:color="auto"/>
      </w:divBdr>
    </w:div>
    <w:div w:id="1225797345">
      <w:bodyDiv w:val="1"/>
      <w:marLeft w:val="0"/>
      <w:marRight w:val="0"/>
      <w:marTop w:val="0"/>
      <w:marBottom w:val="0"/>
      <w:divBdr>
        <w:top w:val="none" w:sz="0" w:space="0" w:color="auto"/>
        <w:left w:val="none" w:sz="0" w:space="0" w:color="auto"/>
        <w:bottom w:val="none" w:sz="0" w:space="0" w:color="auto"/>
        <w:right w:val="none" w:sz="0" w:space="0" w:color="auto"/>
      </w:divBdr>
    </w:div>
    <w:div w:id="1229338616">
      <w:bodyDiv w:val="1"/>
      <w:marLeft w:val="0"/>
      <w:marRight w:val="0"/>
      <w:marTop w:val="0"/>
      <w:marBottom w:val="0"/>
      <w:divBdr>
        <w:top w:val="none" w:sz="0" w:space="0" w:color="auto"/>
        <w:left w:val="none" w:sz="0" w:space="0" w:color="auto"/>
        <w:bottom w:val="none" w:sz="0" w:space="0" w:color="auto"/>
        <w:right w:val="none" w:sz="0" w:space="0" w:color="auto"/>
      </w:divBdr>
    </w:div>
    <w:div w:id="1236472834">
      <w:bodyDiv w:val="1"/>
      <w:marLeft w:val="0"/>
      <w:marRight w:val="0"/>
      <w:marTop w:val="0"/>
      <w:marBottom w:val="0"/>
      <w:divBdr>
        <w:top w:val="none" w:sz="0" w:space="0" w:color="auto"/>
        <w:left w:val="none" w:sz="0" w:space="0" w:color="auto"/>
        <w:bottom w:val="none" w:sz="0" w:space="0" w:color="auto"/>
        <w:right w:val="none" w:sz="0" w:space="0" w:color="auto"/>
      </w:divBdr>
    </w:div>
    <w:div w:id="1237934748">
      <w:bodyDiv w:val="1"/>
      <w:marLeft w:val="0"/>
      <w:marRight w:val="0"/>
      <w:marTop w:val="0"/>
      <w:marBottom w:val="0"/>
      <w:divBdr>
        <w:top w:val="none" w:sz="0" w:space="0" w:color="auto"/>
        <w:left w:val="none" w:sz="0" w:space="0" w:color="auto"/>
        <w:bottom w:val="none" w:sz="0" w:space="0" w:color="auto"/>
        <w:right w:val="none" w:sz="0" w:space="0" w:color="auto"/>
      </w:divBdr>
    </w:div>
    <w:div w:id="1246960191">
      <w:bodyDiv w:val="1"/>
      <w:marLeft w:val="0"/>
      <w:marRight w:val="0"/>
      <w:marTop w:val="0"/>
      <w:marBottom w:val="0"/>
      <w:divBdr>
        <w:top w:val="none" w:sz="0" w:space="0" w:color="auto"/>
        <w:left w:val="none" w:sz="0" w:space="0" w:color="auto"/>
        <w:bottom w:val="none" w:sz="0" w:space="0" w:color="auto"/>
        <w:right w:val="none" w:sz="0" w:space="0" w:color="auto"/>
      </w:divBdr>
    </w:div>
    <w:div w:id="1247153735">
      <w:bodyDiv w:val="1"/>
      <w:marLeft w:val="0"/>
      <w:marRight w:val="0"/>
      <w:marTop w:val="0"/>
      <w:marBottom w:val="0"/>
      <w:divBdr>
        <w:top w:val="none" w:sz="0" w:space="0" w:color="auto"/>
        <w:left w:val="none" w:sz="0" w:space="0" w:color="auto"/>
        <w:bottom w:val="none" w:sz="0" w:space="0" w:color="auto"/>
        <w:right w:val="none" w:sz="0" w:space="0" w:color="auto"/>
      </w:divBdr>
    </w:div>
    <w:div w:id="124761778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672740">
      <w:bodyDiv w:val="1"/>
      <w:marLeft w:val="0"/>
      <w:marRight w:val="0"/>
      <w:marTop w:val="0"/>
      <w:marBottom w:val="0"/>
      <w:divBdr>
        <w:top w:val="none" w:sz="0" w:space="0" w:color="auto"/>
        <w:left w:val="none" w:sz="0" w:space="0" w:color="auto"/>
        <w:bottom w:val="none" w:sz="0" w:space="0" w:color="auto"/>
        <w:right w:val="none" w:sz="0" w:space="0" w:color="auto"/>
      </w:divBdr>
    </w:div>
    <w:div w:id="1260794740">
      <w:bodyDiv w:val="1"/>
      <w:marLeft w:val="0"/>
      <w:marRight w:val="0"/>
      <w:marTop w:val="0"/>
      <w:marBottom w:val="0"/>
      <w:divBdr>
        <w:top w:val="none" w:sz="0" w:space="0" w:color="auto"/>
        <w:left w:val="none" w:sz="0" w:space="0" w:color="auto"/>
        <w:bottom w:val="none" w:sz="0" w:space="0" w:color="auto"/>
        <w:right w:val="none" w:sz="0" w:space="0" w:color="auto"/>
      </w:divBdr>
    </w:div>
    <w:div w:id="1262181968">
      <w:bodyDiv w:val="1"/>
      <w:marLeft w:val="0"/>
      <w:marRight w:val="0"/>
      <w:marTop w:val="0"/>
      <w:marBottom w:val="0"/>
      <w:divBdr>
        <w:top w:val="none" w:sz="0" w:space="0" w:color="auto"/>
        <w:left w:val="none" w:sz="0" w:space="0" w:color="auto"/>
        <w:bottom w:val="none" w:sz="0" w:space="0" w:color="auto"/>
        <w:right w:val="none" w:sz="0" w:space="0" w:color="auto"/>
      </w:divBdr>
    </w:div>
    <w:div w:id="1270233613">
      <w:bodyDiv w:val="1"/>
      <w:marLeft w:val="0"/>
      <w:marRight w:val="0"/>
      <w:marTop w:val="0"/>
      <w:marBottom w:val="0"/>
      <w:divBdr>
        <w:top w:val="none" w:sz="0" w:space="0" w:color="auto"/>
        <w:left w:val="none" w:sz="0" w:space="0" w:color="auto"/>
        <w:bottom w:val="none" w:sz="0" w:space="0" w:color="auto"/>
        <w:right w:val="none" w:sz="0" w:space="0" w:color="auto"/>
      </w:divBdr>
    </w:div>
    <w:div w:id="1272282163">
      <w:bodyDiv w:val="1"/>
      <w:marLeft w:val="0"/>
      <w:marRight w:val="0"/>
      <w:marTop w:val="0"/>
      <w:marBottom w:val="0"/>
      <w:divBdr>
        <w:top w:val="none" w:sz="0" w:space="0" w:color="auto"/>
        <w:left w:val="none" w:sz="0" w:space="0" w:color="auto"/>
        <w:bottom w:val="none" w:sz="0" w:space="0" w:color="auto"/>
        <w:right w:val="none" w:sz="0" w:space="0" w:color="auto"/>
      </w:divBdr>
    </w:div>
    <w:div w:id="1279414574">
      <w:bodyDiv w:val="1"/>
      <w:marLeft w:val="0"/>
      <w:marRight w:val="0"/>
      <w:marTop w:val="0"/>
      <w:marBottom w:val="0"/>
      <w:divBdr>
        <w:top w:val="none" w:sz="0" w:space="0" w:color="auto"/>
        <w:left w:val="none" w:sz="0" w:space="0" w:color="auto"/>
        <w:bottom w:val="none" w:sz="0" w:space="0" w:color="auto"/>
        <w:right w:val="none" w:sz="0" w:space="0" w:color="auto"/>
      </w:divBdr>
    </w:div>
    <w:div w:id="1283880014">
      <w:bodyDiv w:val="1"/>
      <w:marLeft w:val="0"/>
      <w:marRight w:val="0"/>
      <w:marTop w:val="0"/>
      <w:marBottom w:val="0"/>
      <w:divBdr>
        <w:top w:val="none" w:sz="0" w:space="0" w:color="auto"/>
        <w:left w:val="none" w:sz="0" w:space="0" w:color="auto"/>
        <w:bottom w:val="none" w:sz="0" w:space="0" w:color="auto"/>
        <w:right w:val="none" w:sz="0" w:space="0" w:color="auto"/>
      </w:divBdr>
    </w:div>
    <w:div w:id="1289817362">
      <w:bodyDiv w:val="1"/>
      <w:marLeft w:val="0"/>
      <w:marRight w:val="0"/>
      <w:marTop w:val="0"/>
      <w:marBottom w:val="0"/>
      <w:divBdr>
        <w:top w:val="none" w:sz="0" w:space="0" w:color="auto"/>
        <w:left w:val="none" w:sz="0" w:space="0" w:color="auto"/>
        <w:bottom w:val="none" w:sz="0" w:space="0" w:color="auto"/>
        <w:right w:val="none" w:sz="0" w:space="0" w:color="auto"/>
      </w:divBdr>
    </w:div>
    <w:div w:id="1290479629">
      <w:bodyDiv w:val="1"/>
      <w:marLeft w:val="0"/>
      <w:marRight w:val="0"/>
      <w:marTop w:val="0"/>
      <w:marBottom w:val="0"/>
      <w:divBdr>
        <w:top w:val="none" w:sz="0" w:space="0" w:color="auto"/>
        <w:left w:val="none" w:sz="0" w:space="0" w:color="auto"/>
        <w:bottom w:val="none" w:sz="0" w:space="0" w:color="auto"/>
        <w:right w:val="none" w:sz="0" w:space="0" w:color="auto"/>
      </w:divBdr>
    </w:div>
    <w:div w:id="1293634554">
      <w:bodyDiv w:val="1"/>
      <w:marLeft w:val="0"/>
      <w:marRight w:val="0"/>
      <w:marTop w:val="0"/>
      <w:marBottom w:val="0"/>
      <w:divBdr>
        <w:top w:val="none" w:sz="0" w:space="0" w:color="auto"/>
        <w:left w:val="none" w:sz="0" w:space="0" w:color="auto"/>
        <w:bottom w:val="none" w:sz="0" w:space="0" w:color="auto"/>
        <w:right w:val="none" w:sz="0" w:space="0" w:color="auto"/>
      </w:divBdr>
    </w:div>
    <w:div w:id="1294755795">
      <w:bodyDiv w:val="1"/>
      <w:marLeft w:val="0"/>
      <w:marRight w:val="0"/>
      <w:marTop w:val="0"/>
      <w:marBottom w:val="0"/>
      <w:divBdr>
        <w:top w:val="none" w:sz="0" w:space="0" w:color="auto"/>
        <w:left w:val="none" w:sz="0" w:space="0" w:color="auto"/>
        <w:bottom w:val="none" w:sz="0" w:space="0" w:color="auto"/>
        <w:right w:val="none" w:sz="0" w:space="0" w:color="auto"/>
      </w:divBdr>
    </w:div>
    <w:div w:id="129479546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2270876">
      <w:bodyDiv w:val="1"/>
      <w:marLeft w:val="0"/>
      <w:marRight w:val="0"/>
      <w:marTop w:val="0"/>
      <w:marBottom w:val="0"/>
      <w:divBdr>
        <w:top w:val="none" w:sz="0" w:space="0" w:color="auto"/>
        <w:left w:val="none" w:sz="0" w:space="0" w:color="auto"/>
        <w:bottom w:val="none" w:sz="0" w:space="0" w:color="auto"/>
        <w:right w:val="none" w:sz="0" w:space="0" w:color="auto"/>
      </w:divBdr>
    </w:div>
    <w:div w:id="1302735411">
      <w:bodyDiv w:val="1"/>
      <w:marLeft w:val="0"/>
      <w:marRight w:val="0"/>
      <w:marTop w:val="0"/>
      <w:marBottom w:val="0"/>
      <w:divBdr>
        <w:top w:val="none" w:sz="0" w:space="0" w:color="auto"/>
        <w:left w:val="none" w:sz="0" w:space="0" w:color="auto"/>
        <w:bottom w:val="none" w:sz="0" w:space="0" w:color="auto"/>
        <w:right w:val="none" w:sz="0" w:space="0" w:color="auto"/>
      </w:divBdr>
    </w:div>
    <w:div w:id="1305889014">
      <w:bodyDiv w:val="1"/>
      <w:marLeft w:val="0"/>
      <w:marRight w:val="0"/>
      <w:marTop w:val="0"/>
      <w:marBottom w:val="0"/>
      <w:divBdr>
        <w:top w:val="none" w:sz="0" w:space="0" w:color="auto"/>
        <w:left w:val="none" w:sz="0" w:space="0" w:color="auto"/>
        <w:bottom w:val="none" w:sz="0" w:space="0" w:color="auto"/>
        <w:right w:val="none" w:sz="0" w:space="0" w:color="auto"/>
      </w:divBdr>
    </w:div>
    <w:div w:id="1308632338">
      <w:bodyDiv w:val="1"/>
      <w:marLeft w:val="0"/>
      <w:marRight w:val="0"/>
      <w:marTop w:val="0"/>
      <w:marBottom w:val="0"/>
      <w:divBdr>
        <w:top w:val="none" w:sz="0" w:space="0" w:color="auto"/>
        <w:left w:val="none" w:sz="0" w:space="0" w:color="auto"/>
        <w:bottom w:val="none" w:sz="0" w:space="0" w:color="auto"/>
        <w:right w:val="none" w:sz="0" w:space="0" w:color="auto"/>
      </w:divBdr>
    </w:div>
    <w:div w:id="1310749606">
      <w:bodyDiv w:val="1"/>
      <w:marLeft w:val="0"/>
      <w:marRight w:val="0"/>
      <w:marTop w:val="0"/>
      <w:marBottom w:val="0"/>
      <w:divBdr>
        <w:top w:val="none" w:sz="0" w:space="0" w:color="auto"/>
        <w:left w:val="none" w:sz="0" w:space="0" w:color="auto"/>
        <w:bottom w:val="none" w:sz="0" w:space="0" w:color="auto"/>
        <w:right w:val="none" w:sz="0" w:space="0" w:color="auto"/>
      </w:divBdr>
    </w:div>
    <w:div w:id="1311403314">
      <w:bodyDiv w:val="1"/>
      <w:marLeft w:val="0"/>
      <w:marRight w:val="0"/>
      <w:marTop w:val="0"/>
      <w:marBottom w:val="0"/>
      <w:divBdr>
        <w:top w:val="none" w:sz="0" w:space="0" w:color="auto"/>
        <w:left w:val="none" w:sz="0" w:space="0" w:color="auto"/>
        <w:bottom w:val="none" w:sz="0" w:space="0" w:color="auto"/>
        <w:right w:val="none" w:sz="0" w:space="0" w:color="auto"/>
      </w:divBdr>
    </w:div>
    <w:div w:id="1313217428">
      <w:bodyDiv w:val="1"/>
      <w:marLeft w:val="0"/>
      <w:marRight w:val="0"/>
      <w:marTop w:val="0"/>
      <w:marBottom w:val="0"/>
      <w:divBdr>
        <w:top w:val="none" w:sz="0" w:space="0" w:color="auto"/>
        <w:left w:val="none" w:sz="0" w:space="0" w:color="auto"/>
        <w:bottom w:val="none" w:sz="0" w:space="0" w:color="auto"/>
        <w:right w:val="none" w:sz="0" w:space="0" w:color="auto"/>
      </w:divBdr>
    </w:div>
    <w:div w:id="1314407366">
      <w:bodyDiv w:val="1"/>
      <w:marLeft w:val="0"/>
      <w:marRight w:val="0"/>
      <w:marTop w:val="0"/>
      <w:marBottom w:val="0"/>
      <w:divBdr>
        <w:top w:val="none" w:sz="0" w:space="0" w:color="auto"/>
        <w:left w:val="none" w:sz="0" w:space="0" w:color="auto"/>
        <w:bottom w:val="none" w:sz="0" w:space="0" w:color="auto"/>
        <w:right w:val="none" w:sz="0" w:space="0" w:color="auto"/>
      </w:divBdr>
    </w:div>
    <w:div w:id="1314792748">
      <w:bodyDiv w:val="1"/>
      <w:marLeft w:val="0"/>
      <w:marRight w:val="0"/>
      <w:marTop w:val="0"/>
      <w:marBottom w:val="0"/>
      <w:divBdr>
        <w:top w:val="none" w:sz="0" w:space="0" w:color="auto"/>
        <w:left w:val="none" w:sz="0" w:space="0" w:color="auto"/>
        <w:bottom w:val="none" w:sz="0" w:space="0" w:color="auto"/>
        <w:right w:val="none" w:sz="0" w:space="0" w:color="auto"/>
      </w:divBdr>
    </w:div>
    <w:div w:id="1315329112">
      <w:bodyDiv w:val="1"/>
      <w:marLeft w:val="0"/>
      <w:marRight w:val="0"/>
      <w:marTop w:val="0"/>
      <w:marBottom w:val="0"/>
      <w:divBdr>
        <w:top w:val="none" w:sz="0" w:space="0" w:color="auto"/>
        <w:left w:val="none" w:sz="0" w:space="0" w:color="auto"/>
        <w:bottom w:val="none" w:sz="0" w:space="0" w:color="auto"/>
        <w:right w:val="none" w:sz="0" w:space="0" w:color="auto"/>
      </w:divBdr>
    </w:div>
    <w:div w:id="1317226700">
      <w:bodyDiv w:val="1"/>
      <w:marLeft w:val="0"/>
      <w:marRight w:val="0"/>
      <w:marTop w:val="0"/>
      <w:marBottom w:val="0"/>
      <w:divBdr>
        <w:top w:val="none" w:sz="0" w:space="0" w:color="auto"/>
        <w:left w:val="none" w:sz="0" w:space="0" w:color="auto"/>
        <w:bottom w:val="none" w:sz="0" w:space="0" w:color="auto"/>
        <w:right w:val="none" w:sz="0" w:space="0" w:color="auto"/>
      </w:divBdr>
    </w:div>
    <w:div w:id="1317958039">
      <w:bodyDiv w:val="1"/>
      <w:marLeft w:val="0"/>
      <w:marRight w:val="0"/>
      <w:marTop w:val="0"/>
      <w:marBottom w:val="0"/>
      <w:divBdr>
        <w:top w:val="none" w:sz="0" w:space="0" w:color="auto"/>
        <w:left w:val="none" w:sz="0" w:space="0" w:color="auto"/>
        <w:bottom w:val="none" w:sz="0" w:space="0" w:color="auto"/>
        <w:right w:val="none" w:sz="0" w:space="0" w:color="auto"/>
      </w:divBdr>
    </w:div>
    <w:div w:id="1318873738">
      <w:bodyDiv w:val="1"/>
      <w:marLeft w:val="0"/>
      <w:marRight w:val="0"/>
      <w:marTop w:val="0"/>
      <w:marBottom w:val="0"/>
      <w:divBdr>
        <w:top w:val="none" w:sz="0" w:space="0" w:color="auto"/>
        <w:left w:val="none" w:sz="0" w:space="0" w:color="auto"/>
        <w:bottom w:val="none" w:sz="0" w:space="0" w:color="auto"/>
        <w:right w:val="none" w:sz="0" w:space="0" w:color="auto"/>
      </w:divBdr>
    </w:div>
    <w:div w:id="1324047378">
      <w:bodyDiv w:val="1"/>
      <w:marLeft w:val="0"/>
      <w:marRight w:val="0"/>
      <w:marTop w:val="0"/>
      <w:marBottom w:val="0"/>
      <w:divBdr>
        <w:top w:val="none" w:sz="0" w:space="0" w:color="auto"/>
        <w:left w:val="none" w:sz="0" w:space="0" w:color="auto"/>
        <w:bottom w:val="none" w:sz="0" w:space="0" w:color="auto"/>
        <w:right w:val="none" w:sz="0" w:space="0" w:color="auto"/>
      </w:divBdr>
    </w:div>
    <w:div w:id="1326275181">
      <w:bodyDiv w:val="1"/>
      <w:marLeft w:val="0"/>
      <w:marRight w:val="0"/>
      <w:marTop w:val="0"/>
      <w:marBottom w:val="0"/>
      <w:divBdr>
        <w:top w:val="none" w:sz="0" w:space="0" w:color="auto"/>
        <w:left w:val="none" w:sz="0" w:space="0" w:color="auto"/>
        <w:bottom w:val="none" w:sz="0" w:space="0" w:color="auto"/>
        <w:right w:val="none" w:sz="0" w:space="0" w:color="auto"/>
      </w:divBdr>
    </w:div>
    <w:div w:id="1333289742">
      <w:bodyDiv w:val="1"/>
      <w:marLeft w:val="0"/>
      <w:marRight w:val="0"/>
      <w:marTop w:val="0"/>
      <w:marBottom w:val="0"/>
      <w:divBdr>
        <w:top w:val="none" w:sz="0" w:space="0" w:color="auto"/>
        <w:left w:val="none" w:sz="0" w:space="0" w:color="auto"/>
        <w:bottom w:val="none" w:sz="0" w:space="0" w:color="auto"/>
        <w:right w:val="none" w:sz="0" w:space="0" w:color="auto"/>
      </w:divBdr>
    </w:div>
    <w:div w:id="1338313851">
      <w:bodyDiv w:val="1"/>
      <w:marLeft w:val="0"/>
      <w:marRight w:val="0"/>
      <w:marTop w:val="0"/>
      <w:marBottom w:val="0"/>
      <w:divBdr>
        <w:top w:val="none" w:sz="0" w:space="0" w:color="auto"/>
        <w:left w:val="none" w:sz="0" w:space="0" w:color="auto"/>
        <w:bottom w:val="none" w:sz="0" w:space="0" w:color="auto"/>
        <w:right w:val="none" w:sz="0" w:space="0" w:color="auto"/>
      </w:divBdr>
    </w:div>
    <w:div w:id="1339119037">
      <w:bodyDiv w:val="1"/>
      <w:marLeft w:val="0"/>
      <w:marRight w:val="0"/>
      <w:marTop w:val="0"/>
      <w:marBottom w:val="0"/>
      <w:divBdr>
        <w:top w:val="none" w:sz="0" w:space="0" w:color="auto"/>
        <w:left w:val="none" w:sz="0" w:space="0" w:color="auto"/>
        <w:bottom w:val="none" w:sz="0" w:space="0" w:color="auto"/>
        <w:right w:val="none" w:sz="0" w:space="0" w:color="auto"/>
      </w:divBdr>
    </w:div>
    <w:div w:id="13446238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257189">
      <w:bodyDiv w:val="1"/>
      <w:marLeft w:val="0"/>
      <w:marRight w:val="0"/>
      <w:marTop w:val="0"/>
      <w:marBottom w:val="0"/>
      <w:divBdr>
        <w:top w:val="none" w:sz="0" w:space="0" w:color="auto"/>
        <w:left w:val="none" w:sz="0" w:space="0" w:color="auto"/>
        <w:bottom w:val="none" w:sz="0" w:space="0" w:color="auto"/>
        <w:right w:val="none" w:sz="0" w:space="0" w:color="auto"/>
      </w:divBdr>
    </w:div>
    <w:div w:id="1357463138">
      <w:bodyDiv w:val="1"/>
      <w:marLeft w:val="0"/>
      <w:marRight w:val="0"/>
      <w:marTop w:val="0"/>
      <w:marBottom w:val="0"/>
      <w:divBdr>
        <w:top w:val="none" w:sz="0" w:space="0" w:color="auto"/>
        <w:left w:val="none" w:sz="0" w:space="0" w:color="auto"/>
        <w:bottom w:val="none" w:sz="0" w:space="0" w:color="auto"/>
        <w:right w:val="none" w:sz="0" w:space="0" w:color="auto"/>
      </w:divBdr>
    </w:div>
    <w:div w:id="1363900927">
      <w:bodyDiv w:val="1"/>
      <w:marLeft w:val="0"/>
      <w:marRight w:val="0"/>
      <w:marTop w:val="0"/>
      <w:marBottom w:val="0"/>
      <w:divBdr>
        <w:top w:val="none" w:sz="0" w:space="0" w:color="auto"/>
        <w:left w:val="none" w:sz="0" w:space="0" w:color="auto"/>
        <w:bottom w:val="none" w:sz="0" w:space="0" w:color="auto"/>
        <w:right w:val="none" w:sz="0" w:space="0" w:color="auto"/>
      </w:divBdr>
    </w:div>
    <w:div w:id="1366253650">
      <w:bodyDiv w:val="1"/>
      <w:marLeft w:val="0"/>
      <w:marRight w:val="0"/>
      <w:marTop w:val="0"/>
      <w:marBottom w:val="0"/>
      <w:divBdr>
        <w:top w:val="none" w:sz="0" w:space="0" w:color="auto"/>
        <w:left w:val="none" w:sz="0" w:space="0" w:color="auto"/>
        <w:bottom w:val="none" w:sz="0" w:space="0" w:color="auto"/>
        <w:right w:val="none" w:sz="0" w:space="0" w:color="auto"/>
      </w:divBdr>
    </w:div>
    <w:div w:id="1367366198">
      <w:bodyDiv w:val="1"/>
      <w:marLeft w:val="0"/>
      <w:marRight w:val="0"/>
      <w:marTop w:val="0"/>
      <w:marBottom w:val="0"/>
      <w:divBdr>
        <w:top w:val="none" w:sz="0" w:space="0" w:color="auto"/>
        <w:left w:val="none" w:sz="0" w:space="0" w:color="auto"/>
        <w:bottom w:val="none" w:sz="0" w:space="0" w:color="auto"/>
        <w:right w:val="none" w:sz="0" w:space="0" w:color="auto"/>
      </w:divBdr>
    </w:div>
    <w:div w:id="1368095363">
      <w:bodyDiv w:val="1"/>
      <w:marLeft w:val="0"/>
      <w:marRight w:val="0"/>
      <w:marTop w:val="0"/>
      <w:marBottom w:val="0"/>
      <w:divBdr>
        <w:top w:val="none" w:sz="0" w:space="0" w:color="auto"/>
        <w:left w:val="none" w:sz="0" w:space="0" w:color="auto"/>
        <w:bottom w:val="none" w:sz="0" w:space="0" w:color="auto"/>
        <w:right w:val="none" w:sz="0" w:space="0" w:color="auto"/>
      </w:divBdr>
    </w:div>
    <w:div w:id="1369600627">
      <w:bodyDiv w:val="1"/>
      <w:marLeft w:val="0"/>
      <w:marRight w:val="0"/>
      <w:marTop w:val="0"/>
      <w:marBottom w:val="0"/>
      <w:divBdr>
        <w:top w:val="none" w:sz="0" w:space="0" w:color="auto"/>
        <w:left w:val="none" w:sz="0" w:space="0" w:color="auto"/>
        <w:bottom w:val="none" w:sz="0" w:space="0" w:color="auto"/>
        <w:right w:val="none" w:sz="0" w:space="0" w:color="auto"/>
      </w:divBdr>
    </w:div>
    <w:div w:id="1372223920">
      <w:bodyDiv w:val="1"/>
      <w:marLeft w:val="0"/>
      <w:marRight w:val="0"/>
      <w:marTop w:val="0"/>
      <w:marBottom w:val="0"/>
      <w:divBdr>
        <w:top w:val="none" w:sz="0" w:space="0" w:color="auto"/>
        <w:left w:val="none" w:sz="0" w:space="0" w:color="auto"/>
        <w:bottom w:val="none" w:sz="0" w:space="0" w:color="auto"/>
        <w:right w:val="none" w:sz="0" w:space="0" w:color="auto"/>
      </w:divBdr>
    </w:div>
    <w:div w:id="1377388810">
      <w:bodyDiv w:val="1"/>
      <w:marLeft w:val="0"/>
      <w:marRight w:val="0"/>
      <w:marTop w:val="0"/>
      <w:marBottom w:val="0"/>
      <w:divBdr>
        <w:top w:val="none" w:sz="0" w:space="0" w:color="auto"/>
        <w:left w:val="none" w:sz="0" w:space="0" w:color="auto"/>
        <w:bottom w:val="none" w:sz="0" w:space="0" w:color="auto"/>
        <w:right w:val="none" w:sz="0" w:space="0" w:color="auto"/>
      </w:divBdr>
    </w:div>
    <w:div w:id="1381171460">
      <w:bodyDiv w:val="1"/>
      <w:marLeft w:val="0"/>
      <w:marRight w:val="0"/>
      <w:marTop w:val="0"/>
      <w:marBottom w:val="0"/>
      <w:divBdr>
        <w:top w:val="none" w:sz="0" w:space="0" w:color="auto"/>
        <w:left w:val="none" w:sz="0" w:space="0" w:color="auto"/>
        <w:bottom w:val="none" w:sz="0" w:space="0" w:color="auto"/>
        <w:right w:val="none" w:sz="0" w:space="0" w:color="auto"/>
      </w:divBdr>
    </w:div>
    <w:div w:id="1384014797">
      <w:bodyDiv w:val="1"/>
      <w:marLeft w:val="0"/>
      <w:marRight w:val="0"/>
      <w:marTop w:val="0"/>
      <w:marBottom w:val="0"/>
      <w:divBdr>
        <w:top w:val="none" w:sz="0" w:space="0" w:color="auto"/>
        <w:left w:val="none" w:sz="0" w:space="0" w:color="auto"/>
        <w:bottom w:val="none" w:sz="0" w:space="0" w:color="auto"/>
        <w:right w:val="none" w:sz="0" w:space="0" w:color="auto"/>
      </w:divBdr>
    </w:div>
    <w:div w:id="1384524730">
      <w:bodyDiv w:val="1"/>
      <w:marLeft w:val="0"/>
      <w:marRight w:val="0"/>
      <w:marTop w:val="0"/>
      <w:marBottom w:val="0"/>
      <w:divBdr>
        <w:top w:val="none" w:sz="0" w:space="0" w:color="auto"/>
        <w:left w:val="none" w:sz="0" w:space="0" w:color="auto"/>
        <w:bottom w:val="none" w:sz="0" w:space="0" w:color="auto"/>
        <w:right w:val="none" w:sz="0" w:space="0" w:color="auto"/>
      </w:divBdr>
    </w:div>
    <w:div w:id="1386219132">
      <w:bodyDiv w:val="1"/>
      <w:marLeft w:val="0"/>
      <w:marRight w:val="0"/>
      <w:marTop w:val="0"/>
      <w:marBottom w:val="0"/>
      <w:divBdr>
        <w:top w:val="none" w:sz="0" w:space="0" w:color="auto"/>
        <w:left w:val="none" w:sz="0" w:space="0" w:color="auto"/>
        <w:bottom w:val="none" w:sz="0" w:space="0" w:color="auto"/>
        <w:right w:val="none" w:sz="0" w:space="0" w:color="auto"/>
      </w:divBdr>
    </w:div>
    <w:div w:id="1391614672">
      <w:bodyDiv w:val="1"/>
      <w:marLeft w:val="0"/>
      <w:marRight w:val="0"/>
      <w:marTop w:val="0"/>
      <w:marBottom w:val="0"/>
      <w:divBdr>
        <w:top w:val="none" w:sz="0" w:space="0" w:color="auto"/>
        <w:left w:val="none" w:sz="0" w:space="0" w:color="auto"/>
        <w:bottom w:val="none" w:sz="0" w:space="0" w:color="auto"/>
        <w:right w:val="none" w:sz="0" w:space="0" w:color="auto"/>
      </w:divBdr>
    </w:div>
    <w:div w:id="1392576277">
      <w:bodyDiv w:val="1"/>
      <w:marLeft w:val="0"/>
      <w:marRight w:val="0"/>
      <w:marTop w:val="0"/>
      <w:marBottom w:val="0"/>
      <w:divBdr>
        <w:top w:val="none" w:sz="0" w:space="0" w:color="auto"/>
        <w:left w:val="none" w:sz="0" w:space="0" w:color="auto"/>
        <w:bottom w:val="none" w:sz="0" w:space="0" w:color="auto"/>
        <w:right w:val="none" w:sz="0" w:space="0" w:color="auto"/>
      </w:divBdr>
    </w:div>
    <w:div w:id="1394768030">
      <w:bodyDiv w:val="1"/>
      <w:marLeft w:val="0"/>
      <w:marRight w:val="0"/>
      <w:marTop w:val="0"/>
      <w:marBottom w:val="0"/>
      <w:divBdr>
        <w:top w:val="none" w:sz="0" w:space="0" w:color="auto"/>
        <w:left w:val="none" w:sz="0" w:space="0" w:color="auto"/>
        <w:bottom w:val="none" w:sz="0" w:space="0" w:color="auto"/>
        <w:right w:val="none" w:sz="0" w:space="0" w:color="auto"/>
      </w:divBdr>
    </w:div>
    <w:div w:id="1394936576">
      <w:bodyDiv w:val="1"/>
      <w:marLeft w:val="0"/>
      <w:marRight w:val="0"/>
      <w:marTop w:val="0"/>
      <w:marBottom w:val="0"/>
      <w:divBdr>
        <w:top w:val="none" w:sz="0" w:space="0" w:color="auto"/>
        <w:left w:val="none" w:sz="0" w:space="0" w:color="auto"/>
        <w:bottom w:val="none" w:sz="0" w:space="0" w:color="auto"/>
        <w:right w:val="none" w:sz="0" w:space="0" w:color="auto"/>
      </w:divBdr>
    </w:div>
    <w:div w:id="1395619975">
      <w:bodyDiv w:val="1"/>
      <w:marLeft w:val="0"/>
      <w:marRight w:val="0"/>
      <w:marTop w:val="0"/>
      <w:marBottom w:val="0"/>
      <w:divBdr>
        <w:top w:val="none" w:sz="0" w:space="0" w:color="auto"/>
        <w:left w:val="none" w:sz="0" w:space="0" w:color="auto"/>
        <w:bottom w:val="none" w:sz="0" w:space="0" w:color="auto"/>
        <w:right w:val="none" w:sz="0" w:space="0" w:color="auto"/>
      </w:divBdr>
    </w:div>
    <w:div w:id="1396274331">
      <w:bodyDiv w:val="1"/>
      <w:marLeft w:val="0"/>
      <w:marRight w:val="0"/>
      <w:marTop w:val="0"/>
      <w:marBottom w:val="0"/>
      <w:divBdr>
        <w:top w:val="none" w:sz="0" w:space="0" w:color="auto"/>
        <w:left w:val="none" w:sz="0" w:space="0" w:color="auto"/>
        <w:bottom w:val="none" w:sz="0" w:space="0" w:color="auto"/>
        <w:right w:val="none" w:sz="0" w:space="0" w:color="auto"/>
      </w:divBdr>
    </w:div>
    <w:div w:id="1399132345">
      <w:bodyDiv w:val="1"/>
      <w:marLeft w:val="0"/>
      <w:marRight w:val="0"/>
      <w:marTop w:val="0"/>
      <w:marBottom w:val="0"/>
      <w:divBdr>
        <w:top w:val="none" w:sz="0" w:space="0" w:color="auto"/>
        <w:left w:val="none" w:sz="0" w:space="0" w:color="auto"/>
        <w:bottom w:val="none" w:sz="0" w:space="0" w:color="auto"/>
        <w:right w:val="none" w:sz="0" w:space="0" w:color="auto"/>
      </w:divBdr>
    </w:div>
    <w:div w:id="1399936907">
      <w:bodyDiv w:val="1"/>
      <w:marLeft w:val="0"/>
      <w:marRight w:val="0"/>
      <w:marTop w:val="0"/>
      <w:marBottom w:val="0"/>
      <w:divBdr>
        <w:top w:val="none" w:sz="0" w:space="0" w:color="auto"/>
        <w:left w:val="none" w:sz="0" w:space="0" w:color="auto"/>
        <w:bottom w:val="none" w:sz="0" w:space="0" w:color="auto"/>
        <w:right w:val="none" w:sz="0" w:space="0" w:color="auto"/>
      </w:divBdr>
    </w:div>
    <w:div w:id="1400983417">
      <w:bodyDiv w:val="1"/>
      <w:marLeft w:val="0"/>
      <w:marRight w:val="0"/>
      <w:marTop w:val="0"/>
      <w:marBottom w:val="0"/>
      <w:divBdr>
        <w:top w:val="none" w:sz="0" w:space="0" w:color="auto"/>
        <w:left w:val="none" w:sz="0" w:space="0" w:color="auto"/>
        <w:bottom w:val="none" w:sz="0" w:space="0" w:color="auto"/>
        <w:right w:val="none" w:sz="0" w:space="0" w:color="auto"/>
      </w:divBdr>
    </w:div>
    <w:div w:id="14049139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20699">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09959784">
      <w:bodyDiv w:val="1"/>
      <w:marLeft w:val="0"/>
      <w:marRight w:val="0"/>
      <w:marTop w:val="0"/>
      <w:marBottom w:val="0"/>
      <w:divBdr>
        <w:top w:val="none" w:sz="0" w:space="0" w:color="auto"/>
        <w:left w:val="none" w:sz="0" w:space="0" w:color="auto"/>
        <w:bottom w:val="none" w:sz="0" w:space="0" w:color="auto"/>
        <w:right w:val="none" w:sz="0" w:space="0" w:color="auto"/>
      </w:divBdr>
    </w:div>
    <w:div w:id="1421560587">
      <w:bodyDiv w:val="1"/>
      <w:marLeft w:val="0"/>
      <w:marRight w:val="0"/>
      <w:marTop w:val="0"/>
      <w:marBottom w:val="0"/>
      <w:divBdr>
        <w:top w:val="none" w:sz="0" w:space="0" w:color="auto"/>
        <w:left w:val="none" w:sz="0" w:space="0" w:color="auto"/>
        <w:bottom w:val="none" w:sz="0" w:space="0" w:color="auto"/>
        <w:right w:val="none" w:sz="0" w:space="0" w:color="auto"/>
      </w:divBdr>
    </w:div>
    <w:div w:id="1430197854">
      <w:bodyDiv w:val="1"/>
      <w:marLeft w:val="0"/>
      <w:marRight w:val="0"/>
      <w:marTop w:val="0"/>
      <w:marBottom w:val="0"/>
      <w:divBdr>
        <w:top w:val="none" w:sz="0" w:space="0" w:color="auto"/>
        <w:left w:val="none" w:sz="0" w:space="0" w:color="auto"/>
        <w:bottom w:val="none" w:sz="0" w:space="0" w:color="auto"/>
        <w:right w:val="none" w:sz="0" w:space="0" w:color="auto"/>
      </w:divBdr>
    </w:div>
    <w:div w:id="1434545719">
      <w:bodyDiv w:val="1"/>
      <w:marLeft w:val="0"/>
      <w:marRight w:val="0"/>
      <w:marTop w:val="0"/>
      <w:marBottom w:val="0"/>
      <w:divBdr>
        <w:top w:val="none" w:sz="0" w:space="0" w:color="auto"/>
        <w:left w:val="none" w:sz="0" w:space="0" w:color="auto"/>
        <w:bottom w:val="none" w:sz="0" w:space="0" w:color="auto"/>
        <w:right w:val="none" w:sz="0" w:space="0" w:color="auto"/>
      </w:divBdr>
    </w:div>
    <w:div w:id="1436712262">
      <w:bodyDiv w:val="1"/>
      <w:marLeft w:val="0"/>
      <w:marRight w:val="0"/>
      <w:marTop w:val="0"/>
      <w:marBottom w:val="0"/>
      <w:divBdr>
        <w:top w:val="none" w:sz="0" w:space="0" w:color="auto"/>
        <w:left w:val="none" w:sz="0" w:space="0" w:color="auto"/>
        <w:bottom w:val="none" w:sz="0" w:space="0" w:color="auto"/>
        <w:right w:val="none" w:sz="0" w:space="0" w:color="auto"/>
      </w:divBdr>
    </w:div>
    <w:div w:id="1436905008">
      <w:bodyDiv w:val="1"/>
      <w:marLeft w:val="0"/>
      <w:marRight w:val="0"/>
      <w:marTop w:val="0"/>
      <w:marBottom w:val="0"/>
      <w:divBdr>
        <w:top w:val="none" w:sz="0" w:space="0" w:color="auto"/>
        <w:left w:val="none" w:sz="0" w:space="0" w:color="auto"/>
        <w:bottom w:val="none" w:sz="0" w:space="0" w:color="auto"/>
        <w:right w:val="none" w:sz="0" w:space="0" w:color="auto"/>
      </w:divBdr>
    </w:div>
    <w:div w:id="143898324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108219">
      <w:bodyDiv w:val="1"/>
      <w:marLeft w:val="0"/>
      <w:marRight w:val="0"/>
      <w:marTop w:val="0"/>
      <w:marBottom w:val="0"/>
      <w:divBdr>
        <w:top w:val="none" w:sz="0" w:space="0" w:color="auto"/>
        <w:left w:val="none" w:sz="0" w:space="0" w:color="auto"/>
        <w:bottom w:val="none" w:sz="0" w:space="0" w:color="auto"/>
        <w:right w:val="none" w:sz="0" w:space="0" w:color="auto"/>
      </w:divBdr>
    </w:div>
    <w:div w:id="1449854175">
      <w:bodyDiv w:val="1"/>
      <w:marLeft w:val="0"/>
      <w:marRight w:val="0"/>
      <w:marTop w:val="0"/>
      <w:marBottom w:val="0"/>
      <w:divBdr>
        <w:top w:val="none" w:sz="0" w:space="0" w:color="auto"/>
        <w:left w:val="none" w:sz="0" w:space="0" w:color="auto"/>
        <w:bottom w:val="none" w:sz="0" w:space="0" w:color="auto"/>
        <w:right w:val="none" w:sz="0" w:space="0" w:color="auto"/>
      </w:divBdr>
    </w:div>
    <w:div w:id="1450589785">
      <w:bodyDiv w:val="1"/>
      <w:marLeft w:val="0"/>
      <w:marRight w:val="0"/>
      <w:marTop w:val="0"/>
      <w:marBottom w:val="0"/>
      <w:divBdr>
        <w:top w:val="none" w:sz="0" w:space="0" w:color="auto"/>
        <w:left w:val="none" w:sz="0" w:space="0" w:color="auto"/>
        <w:bottom w:val="none" w:sz="0" w:space="0" w:color="auto"/>
        <w:right w:val="none" w:sz="0" w:space="0" w:color="auto"/>
      </w:divBdr>
    </w:div>
    <w:div w:id="1450852975">
      <w:bodyDiv w:val="1"/>
      <w:marLeft w:val="0"/>
      <w:marRight w:val="0"/>
      <w:marTop w:val="0"/>
      <w:marBottom w:val="0"/>
      <w:divBdr>
        <w:top w:val="none" w:sz="0" w:space="0" w:color="auto"/>
        <w:left w:val="none" w:sz="0" w:space="0" w:color="auto"/>
        <w:bottom w:val="none" w:sz="0" w:space="0" w:color="auto"/>
        <w:right w:val="none" w:sz="0" w:space="0" w:color="auto"/>
      </w:divBdr>
    </w:div>
    <w:div w:id="1453592351">
      <w:bodyDiv w:val="1"/>
      <w:marLeft w:val="0"/>
      <w:marRight w:val="0"/>
      <w:marTop w:val="0"/>
      <w:marBottom w:val="0"/>
      <w:divBdr>
        <w:top w:val="none" w:sz="0" w:space="0" w:color="auto"/>
        <w:left w:val="none" w:sz="0" w:space="0" w:color="auto"/>
        <w:bottom w:val="none" w:sz="0" w:space="0" w:color="auto"/>
        <w:right w:val="none" w:sz="0" w:space="0" w:color="auto"/>
      </w:divBdr>
    </w:div>
    <w:div w:id="1460880591">
      <w:bodyDiv w:val="1"/>
      <w:marLeft w:val="0"/>
      <w:marRight w:val="0"/>
      <w:marTop w:val="0"/>
      <w:marBottom w:val="0"/>
      <w:divBdr>
        <w:top w:val="none" w:sz="0" w:space="0" w:color="auto"/>
        <w:left w:val="none" w:sz="0" w:space="0" w:color="auto"/>
        <w:bottom w:val="none" w:sz="0" w:space="0" w:color="auto"/>
        <w:right w:val="none" w:sz="0" w:space="0" w:color="auto"/>
      </w:divBdr>
    </w:div>
    <w:div w:id="1461994973">
      <w:bodyDiv w:val="1"/>
      <w:marLeft w:val="0"/>
      <w:marRight w:val="0"/>
      <w:marTop w:val="0"/>
      <w:marBottom w:val="0"/>
      <w:divBdr>
        <w:top w:val="none" w:sz="0" w:space="0" w:color="auto"/>
        <w:left w:val="none" w:sz="0" w:space="0" w:color="auto"/>
        <w:bottom w:val="none" w:sz="0" w:space="0" w:color="auto"/>
        <w:right w:val="none" w:sz="0" w:space="0" w:color="auto"/>
      </w:divBdr>
    </w:div>
    <w:div w:id="1469014366">
      <w:bodyDiv w:val="1"/>
      <w:marLeft w:val="0"/>
      <w:marRight w:val="0"/>
      <w:marTop w:val="0"/>
      <w:marBottom w:val="0"/>
      <w:divBdr>
        <w:top w:val="none" w:sz="0" w:space="0" w:color="auto"/>
        <w:left w:val="none" w:sz="0" w:space="0" w:color="auto"/>
        <w:bottom w:val="none" w:sz="0" w:space="0" w:color="auto"/>
        <w:right w:val="none" w:sz="0" w:space="0" w:color="auto"/>
      </w:divBdr>
    </w:div>
    <w:div w:id="1469283002">
      <w:bodyDiv w:val="1"/>
      <w:marLeft w:val="0"/>
      <w:marRight w:val="0"/>
      <w:marTop w:val="0"/>
      <w:marBottom w:val="0"/>
      <w:divBdr>
        <w:top w:val="none" w:sz="0" w:space="0" w:color="auto"/>
        <w:left w:val="none" w:sz="0" w:space="0" w:color="auto"/>
        <w:bottom w:val="none" w:sz="0" w:space="0" w:color="auto"/>
        <w:right w:val="none" w:sz="0" w:space="0" w:color="auto"/>
      </w:divBdr>
    </w:div>
    <w:div w:id="1471554279">
      <w:bodyDiv w:val="1"/>
      <w:marLeft w:val="0"/>
      <w:marRight w:val="0"/>
      <w:marTop w:val="0"/>
      <w:marBottom w:val="0"/>
      <w:divBdr>
        <w:top w:val="none" w:sz="0" w:space="0" w:color="auto"/>
        <w:left w:val="none" w:sz="0" w:space="0" w:color="auto"/>
        <w:bottom w:val="none" w:sz="0" w:space="0" w:color="auto"/>
        <w:right w:val="none" w:sz="0" w:space="0" w:color="auto"/>
      </w:divBdr>
    </w:div>
    <w:div w:id="1473907652">
      <w:bodyDiv w:val="1"/>
      <w:marLeft w:val="0"/>
      <w:marRight w:val="0"/>
      <w:marTop w:val="0"/>
      <w:marBottom w:val="0"/>
      <w:divBdr>
        <w:top w:val="none" w:sz="0" w:space="0" w:color="auto"/>
        <w:left w:val="none" w:sz="0" w:space="0" w:color="auto"/>
        <w:bottom w:val="none" w:sz="0" w:space="0" w:color="auto"/>
        <w:right w:val="none" w:sz="0" w:space="0" w:color="auto"/>
      </w:divBdr>
    </w:div>
    <w:div w:id="1475370063">
      <w:bodyDiv w:val="1"/>
      <w:marLeft w:val="0"/>
      <w:marRight w:val="0"/>
      <w:marTop w:val="0"/>
      <w:marBottom w:val="0"/>
      <w:divBdr>
        <w:top w:val="none" w:sz="0" w:space="0" w:color="auto"/>
        <w:left w:val="none" w:sz="0" w:space="0" w:color="auto"/>
        <w:bottom w:val="none" w:sz="0" w:space="0" w:color="auto"/>
        <w:right w:val="none" w:sz="0" w:space="0" w:color="auto"/>
      </w:divBdr>
    </w:div>
    <w:div w:id="1481341098">
      <w:bodyDiv w:val="1"/>
      <w:marLeft w:val="0"/>
      <w:marRight w:val="0"/>
      <w:marTop w:val="0"/>
      <w:marBottom w:val="0"/>
      <w:divBdr>
        <w:top w:val="none" w:sz="0" w:space="0" w:color="auto"/>
        <w:left w:val="none" w:sz="0" w:space="0" w:color="auto"/>
        <w:bottom w:val="none" w:sz="0" w:space="0" w:color="auto"/>
        <w:right w:val="none" w:sz="0" w:space="0" w:color="auto"/>
      </w:divBdr>
    </w:div>
    <w:div w:id="1485391328">
      <w:bodyDiv w:val="1"/>
      <w:marLeft w:val="0"/>
      <w:marRight w:val="0"/>
      <w:marTop w:val="0"/>
      <w:marBottom w:val="0"/>
      <w:divBdr>
        <w:top w:val="none" w:sz="0" w:space="0" w:color="auto"/>
        <w:left w:val="none" w:sz="0" w:space="0" w:color="auto"/>
        <w:bottom w:val="none" w:sz="0" w:space="0" w:color="auto"/>
        <w:right w:val="none" w:sz="0" w:space="0" w:color="auto"/>
      </w:divBdr>
    </w:div>
    <w:div w:id="1490244919">
      <w:bodyDiv w:val="1"/>
      <w:marLeft w:val="0"/>
      <w:marRight w:val="0"/>
      <w:marTop w:val="0"/>
      <w:marBottom w:val="0"/>
      <w:divBdr>
        <w:top w:val="none" w:sz="0" w:space="0" w:color="auto"/>
        <w:left w:val="none" w:sz="0" w:space="0" w:color="auto"/>
        <w:bottom w:val="none" w:sz="0" w:space="0" w:color="auto"/>
        <w:right w:val="none" w:sz="0" w:space="0" w:color="auto"/>
      </w:divBdr>
    </w:div>
    <w:div w:id="1490440322">
      <w:bodyDiv w:val="1"/>
      <w:marLeft w:val="0"/>
      <w:marRight w:val="0"/>
      <w:marTop w:val="0"/>
      <w:marBottom w:val="0"/>
      <w:divBdr>
        <w:top w:val="none" w:sz="0" w:space="0" w:color="auto"/>
        <w:left w:val="none" w:sz="0" w:space="0" w:color="auto"/>
        <w:bottom w:val="none" w:sz="0" w:space="0" w:color="auto"/>
        <w:right w:val="none" w:sz="0" w:space="0" w:color="auto"/>
      </w:divBdr>
    </w:div>
    <w:div w:id="1492332479">
      <w:bodyDiv w:val="1"/>
      <w:marLeft w:val="0"/>
      <w:marRight w:val="0"/>
      <w:marTop w:val="0"/>
      <w:marBottom w:val="0"/>
      <w:divBdr>
        <w:top w:val="none" w:sz="0" w:space="0" w:color="auto"/>
        <w:left w:val="none" w:sz="0" w:space="0" w:color="auto"/>
        <w:bottom w:val="none" w:sz="0" w:space="0" w:color="auto"/>
        <w:right w:val="none" w:sz="0" w:space="0" w:color="auto"/>
      </w:divBdr>
    </w:div>
    <w:div w:id="1497770859">
      <w:bodyDiv w:val="1"/>
      <w:marLeft w:val="0"/>
      <w:marRight w:val="0"/>
      <w:marTop w:val="0"/>
      <w:marBottom w:val="0"/>
      <w:divBdr>
        <w:top w:val="none" w:sz="0" w:space="0" w:color="auto"/>
        <w:left w:val="none" w:sz="0" w:space="0" w:color="auto"/>
        <w:bottom w:val="none" w:sz="0" w:space="0" w:color="auto"/>
        <w:right w:val="none" w:sz="0" w:space="0" w:color="auto"/>
      </w:divBdr>
    </w:div>
    <w:div w:id="1503427862">
      <w:bodyDiv w:val="1"/>
      <w:marLeft w:val="0"/>
      <w:marRight w:val="0"/>
      <w:marTop w:val="0"/>
      <w:marBottom w:val="0"/>
      <w:divBdr>
        <w:top w:val="none" w:sz="0" w:space="0" w:color="auto"/>
        <w:left w:val="none" w:sz="0" w:space="0" w:color="auto"/>
        <w:bottom w:val="none" w:sz="0" w:space="0" w:color="auto"/>
        <w:right w:val="none" w:sz="0" w:space="0" w:color="auto"/>
      </w:divBdr>
    </w:div>
    <w:div w:id="1504517051">
      <w:bodyDiv w:val="1"/>
      <w:marLeft w:val="0"/>
      <w:marRight w:val="0"/>
      <w:marTop w:val="0"/>
      <w:marBottom w:val="0"/>
      <w:divBdr>
        <w:top w:val="none" w:sz="0" w:space="0" w:color="auto"/>
        <w:left w:val="none" w:sz="0" w:space="0" w:color="auto"/>
        <w:bottom w:val="none" w:sz="0" w:space="0" w:color="auto"/>
        <w:right w:val="none" w:sz="0" w:space="0" w:color="auto"/>
      </w:divBdr>
    </w:div>
    <w:div w:id="1505238788">
      <w:bodyDiv w:val="1"/>
      <w:marLeft w:val="0"/>
      <w:marRight w:val="0"/>
      <w:marTop w:val="0"/>
      <w:marBottom w:val="0"/>
      <w:divBdr>
        <w:top w:val="none" w:sz="0" w:space="0" w:color="auto"/>
        <w:left w:val="none" w:sz="0" w:space="0" w:color="auto"/>
        <w:bottom w:val="none" w:sz="0" w:space="0" w:color="auto"/>
        <w:right w:val="none" w:sz="0" w:space="0" w:color="auto"/>
      </w:divBdr>
    </w:div>
    <w:div w:id="1507138414">
      <w:bodyDiv w:val="1"/>
      <w:marLeft w:val="0"/>
      <w:marRight w:val="0"/>
      <w:marTop w:val="0"/>
      <w:marBottom w:val="0"/>
      <w:divBdr>
        <w:top w:val="none" w:sz="0" w:space="0" w:color="auto"/>
        <w:left w:val="none" w:sz="0" w:space="0" w:color="auto"/>
        <w:bottom w:val="none" w:sz="0" w:space="0" w:color="auto"/>
        <w:right w:val="none" w:sz="0" w:space="0" w:color="auto"/>
      </w:divBdr>
    </w:div>
    <w:div w:id="1514148460">
      <w:bodyDiv w:val="1"/>
      <w:marLeft w:val="0"/>
      <w:marRight w:val="0"/>
      <w:marTop w:val="0"/>
      <w:marBottom w:val="0"/>
      <w:divBdr>
        <w:top w:val="none" w:sz="0" w:space="0" w:color="auto"/>
        <w:left w:val="none" w:sz="0" w:space="0" w:color="auto"/>
        <w:bottom w:val="none" w:sz="0" w:space="0" w:color="auto"/>
        <w:right w:val="none" w:sz="0" w:space="0" w:color="auto"/>
      </w:divBdr>
    </w:div>
    <w:div w:id="1517230537">
      <w:bodyDiv w:val="1"/>
      <w:marLeft w:val="0"/>
      <w:marRight w:val="0"/>
      <w:marTop w:val="0"/>
      <w:marBottom w:val="0"/>
      <w:divBdr>
        <w:top w:val="none" w:sz="0" w:space="0" w:color="auto"/>
        <w:left w:val="none" w:sz="0" w:space="0" w:color="auto"/>
        <w:bottom w:val="none" w:sz="0" w:space="0" w:color="auto"/>
        <w:right w:val="none" w:sz="0" w:space="0" w:color="auto"/>
      </w:divBdr>
    </w:div>
    <w:div w:id="1521775010">
      <w:bodyDiv w:val="1"/>
      <w:marLeft w:val="0"/>
      <w:marRight w:val="0"/>
      <w:marTop w:val="0"/>
      <w:marBottom w:val="0"/>
      <w:divBdr>
        <w:top w:val="none" w:sz="0" w:space="0" w:color="auto"/>
        <w:left w:val="none" w:sz="0" w:space="0" w:color="auto"/>
        <w:bottom w:val="none" w:sz="0" w:space="0" w:color="auto"/>
        <w:right w:val="none" w:sz="0" w:space="0" w:color="auto"/>
      </w:divBdr>
    </w:div>
    <w:div w:id="1529175825">
      <w:bodyDiv w:val="1"/>
      <w:marLeft w:val="0"/>
      <w:marRight w:val="0"/>
      <w:marTop w:val="0"/>
      <w:marBottom w:val="0"/>
      <w:divBdr>
        <w:top w:val="none" w:sz="0" w:space="0" w:color="auto"/>
        <w:left w:val="none" w:sz="0" w:space="0" w:color="auto"/>
        <w:bottom w:val="none" w:sz="0" w:space="0" w:color="auto"/>
        <w:right w:val="none" w:sz="0" w:space="0" w:color="auto"/>
      </w:divBdr>
    </w:div>
    <w:div w:id="1529638697">
      <w:bodyDiv w:val="1"/>
      <w:marLeft w:val="0"/>
      <w:marRight w:val="0"/>
      <w:marTop w:val="0"/>
      <w:marBottom w:val="0"/>
      <w:divBdr>
        <w:top w:val="none" w:sz="0" w:space="0" w:color="auto"/>
        <w:left w:val="none" w:sz="0" w:space="0" w:color="auto"/>
        <w:bottom w:val="none" w:sz="0" w:space="0" w:color="auto"/>
        <w:right w:val="none" w:sz="0" w:space="0" w:color="auto"/>
      </w:divBdr>
    </w:div>
    <w:div w:id="1535465179">
      <w:bodyDiv w:val="1"/>
      <w:marLeft w:val="0"/>
      <w:marRight w:val="0"/>
      <w:marTop w:val="0"/>
      <w:marBottom w:val="0"/>
      <w:divBdr>
        <w:top w:val="none" w:sz="0" w:space="0" w:color="auto"/>
        <w:left w:val="none" w:sz="0" w:space="0" w:color="auto"/>
        <w:bottom w:val="none" w:sz="0" w:space="0" w:color="auto"/>
        <w:right w:val="none" w:sz="0" w:space="0" w:color="auto"/>
      </w:divBdr>
    </w:div>
    <w:div w:id="1544633121">
      <w:bodyDiv w:val="1"/>
      <w:marLeft w:val="0"/>
      <w:marRight w:val="0"/>
      <w:marTop w:val="0"/>
      <w:marBottom w:val="0"/>
      <w:divBdr>
        <w:top w:val="none" w:sz="0" w:space="0" w:color="auto"/>
        <w:left w:val="none" w:sz="0" w:space="0" w:color="auto"/>
        <w:bottom w:val="none" w:sz="0" w:space="0" w:color="auto"/>
        <w:right w:val="none" w:sz="0" w:space="0" w:color="auto"/>
      </w:divBdr>
    </w:div>
    <w:div w:id="1545212614">
      <w:bodyDiv w:val="1"/>
      <w:marLeft w:val="0"/>
      <w:marRight w:val="0"/>
      <w:marTop w:val="0"/>
      <w:marBottom w:val="0"/>
      <w:divBdr>
        <w:top w:val="none" w:sz="0" w:space="0" w:color="auto"/>
        <w:left w:val="none" w:sz="0" w:space="0" w:color="auto"/>
        <w:bottom w:val="none" w:sz="0" w:space="0" w:color="auto"/>
        <w:right w:val="none" w:sz="0" w:space="0" w:color="auto"/>
      </w:divBdr>
    </w:div>
    <w:div w:id="1546988730">
      <w:bodyDiv w:val="1"/>
      <w:marLeft w:val="0"/>
      <w:marRight w:val="0"/>
      <w:marTop w:val="0"/>
      <w:marBottom w:val="0"/>
      <w:divBdr>
        <w:top w:val="none" w:sz="0" w:space="0" w:color="auto"/>
        <w:left w:val="none" w:sz="0" w:space="0" w:color="auto"/>
        <w:bottom w:val="none" w:sz="0" w:space="0" w:color="auto"/>
        <w:right w:val="none" w:sz="0" w:space="0" w:color="auto"/>
      </w:divBdr>
    </w:div>
    <w:div w:id="1547597116">
      <w:bodyDiv w:val="1"/>
      <w:marLeft w:val="0"/>
      <w:marRight w:val="0"/>
      <w:marTop w:val="0"/>
      <w:marBottom w:val="0"/>
      <w:divBdr>
        <w:top w:val="none" w:sz="0" w:space="0" w:color="auto"/>
        <w:left w:val="none" w:sz="0" w:space="0" w:color="auto"/>
        <w:bottom w:val="none" w:sz="0" w:space="0" w:color="auto"/>
        <w:right w:val="none" w:sz="0" w:space="0" w:color="auto"/>
      </w:divBdr>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
    <w:div w:id="1558781713">
      <w:bodyDiv w:val="1"/>
      <w:marLeft w:val="0"/>
      <w:marRight w:val="0"/>
      <w:marTop w:val="0"/>
      <w:marBottom w:val="0"/>
      <w:divBdr>
        <w:top w:val="none" w:sz="0" w:space="0" w:color="auto"/>
        <w:left w:val="none" w:sz="0" w:space="0" w:color="auto"/>
        <w:bottom w:val="none" w:sz="0" w:space="0" w:color="auto"/>
        <w:right w:val="none" w:sz="0" w:space="0" w:color="auto"/>
      </w:divBdr>
    </w:div>
    <w:div w:id="1560363036">
      <w:bodyDiv w:val="1"/>
      <w:marLeft w:val="0"/>
      <w:marRight w:val="0"/>
      <w:marTop w:val="0"/>
      <w:marBottom w:val="0"/>
      <w:divBdr>
        <w:top w:val="none" w:sz="0" w:space="0" w:color="auto"/>
        <w:left w:val="none" w:sz="0" w:space="0" w:color="auto"/>
        <w:bottom w:val="none" w:sz="0" w:space="0" w:color="auto"/>
        <w:right w:val="none" w:sz="0" w:space="0" w:color="auto"/>
      </w:divBdr>
    </w:div>
    <w:div w:id="1563255141">
      <w:bodyDiv w:val="1"/>
      <w:marLeft w:val="0"/>
      <w:marRight w:val="0"/>
      <w:marTop w:val="0"/>
      <w:marBottom w:val="0"/>
      <w:divBdr>
        <w:top w:val="none" w:sz="0" w:space="0" w:color="auto"/>
        <w:left w:val="none" w:sz="0" w:space="0" w:color="auto"/>
        <w:bottom w:val="none" w:sz="0" w:space="0" w:color="auto"/>
        <w:right w:val="none" w:sz="0" w:space="0" w:color="auto"/>
      </w:divBdr>
    </w:div>
    <w:div w:id="1567646475">
      <w:bodyDiv w:val="1"/>
      <w:marLeft w:val="0"/>
      <w:marRight w:val="0"/>
      <w:marTop w:val="0"/>
      <w:marBottom w:val="0"/>
      <w:divBdr>
        <w:top w:val="none" w:sz="0" w:space="0" w:color="auto"/>
        <w:left w:val="none" w:sz="0" w:space="0" w:color="auto"/>
        <w:bottom w:val="none" w:sz="0" w:space="0" w:color="auto"/>
        <w:right w:val="none" w:sz="0" w:space="0" w:color="auto"/>
      </w:divBdr>
    </w:div>
    <w:div w:id="1568149653">
      <w:bodyDiv w:val="1"/>
      <w:marLeft w:val="0"/>
      <w:marRight w:val="0"/>
      <w:marTop w:val="0"/>
      <w:marBottom w:val="0"/>
      <w:divBdr>
        <w:top w:val="none" w:sz="0" w:space="0" w:color="auto"/>
        <w:left w:val="none" w:sz="0" w:space="0" w:color="auto"/>
        <w:bottom w:val="none" w:sz="0" w:space="0" w:color="auto"/>
        <w:right w:val="none" w:sz="0" w:space="0" w:color="auto"/>
      </w:divBdr>
    </w:div>
    <w:div w:id="1568956103">
      <w:bodyDiv w:val="1"/>
      <w:marLeft w:val="0"/>
      <w:marRight w:val="0"/>
      <w:marTop w:val="0"/>
      <w:marBottom w:val="0"/>
      <w:divBdr>
        <w:top w:val="none" w:sz="0" w:space="0" w:color="auto"/>
        <w:left w:val="none" w:sz="0" w:space="0" w:color="auto"/>
        <w:bottom w:val="none" w:sz="0" w:space="0" w:color="auto"/>
        <w:right w:val="none" w:sz="0" w:space="0" w:color="auto"/>
      </w:divBdr>
    </w:div>
    <w:div w:id="1571619965">
      <w:bodyDiv w:val="1"/>
      <w:marLeft w:val="0"/>
      <w:marRight w:val="0"/>
      <w:marTop w:val="0"/>
      <w:marBottom w:val="0"/>
      <w:divBdr>
        <w:top w:val="none" w:sz="0" w:space="0" w:color="auto"/>
        <w:left w:val="none" w:sz="0" w:space="0" w:color="auto"/>
        <w:bottom w:val="none" w:sz="0" w:space="0" w:color="auto"/>
        <w:right w:val="none" w:sz="0" w:space="0" w:color="auto"/>
      </w:divBdr>
    </w:div>
    <w:div w:id="1572614097">
      <w:bodyDiv w:val="1"/>
      <w:marLeft w:val="0"/>
      <w:marRight w:val="0"/>
      <w:marTop w:val="0"/>
      <w:marBottom w:val="0"/>
      <w:divBdr>
        <w:top w:val="none" w:sz="0" w:space="0" w:color="auto"/>
        <w:left w:val="none" w:sz="0" w:space="0" w:color="auto"/>
        <w:bottom w:val="none" w:sz="0" w:space="0" w:color="auto"/>
        <w:right w:val="none" w:sz="0" w:space="0" w:color="auto"/>
      </w:divBdr>
    </w:div>
    <w:div w:id="1575970640">
      <w:bodyDiv w:val="1"/>
      <w:marLeft w:val="0"/>
      <w:marRight w:val="0"/>
      <w:marTop w:val="0"/>
      <w:marBottom w:val="0"/>
      <w:divBdr>
        <w:top w:val="none" w:sz="0" w:space="0" w:color="auto"/>
        <w:left w:val="none" w:sz="0" w:space="0" w:color="auto"/>
        <w:bottom w:val="none" w:sz="0" w:space="0" w:color="auto"/>
        <w:right w:val="none" w:sz="0" w:space="0" w:color="auto"/>
      </w:divBdr>
    </w:div>
    <w:div w:id="1585143422">
      <w:bodyDiv w:val="1"/>
      <w:marLeft w:val="0"/>
      <w:marRight w:val="0"/>
      <w:marTop w:val="0"/>
      <w:marBottom w:val="0"/>
      <w:divBdr>
        <w:top w:val="none" w:sz="0" w:space="0" w:color="auto"/>
        <w:left w:val="none" w:sz="0" w:space="0" w:color="auto"/>
        <w:bottom w:val="none" w:sz="0" w:space="0" w:color="auto"/>
        <w:right w:val="none" w:sz="0" w:space="0" w:color="auto"/>
      </w:divBdr>
    </w:div>
    <w:div w:id="1586643619">
      <w:bodyDiv w:val="1"/>
      <w:marLeft w:val="0"/>
      <w:marRight w:val="0"/>
      <w:marTop w:val="0"/>
      <w:marBottom w:val="0"/>
      <w:divBdr>
        <w:top w:val="none" w:sz="0" w:space="0" w:color="auto"/>
        <w:left w:val="none" w:sz="0" w:space="0" w:color="auto"/>
        <w:bottom w:val="none" w:sz="0" w:space="0" w:color="auto"/>
        <w:right w:val="none" w:sz="0" w:space="0" w:color="auto"/>
      </w:divBdr>
    </w:div>
    <w:div w:id="1590581974">
      <w:bodyDiv w:val="1"/>
      <w:marLeft w:val="0"/>
      <w:marRight w:val="0"/>
      <w:marTop w:val="0"/>
      <w:marBottom w:val="0"/>
      <w:divBdr>
        <w:top w:val="none" w:sz="0" w:space="0" w:color="auto"/>
        <w:left w:val="none" w:sz="0" w:space="0" w:color="auto"/>
        <w:bottom w:val="none" w:sz="0" w:space="0" w:color="auto"/>
        <w:right w:val="none" w:sz="0" w:space="0" w:color="auto"/>
      </w:divBdr>
    </w:div>
    <w:div w:id="1597133201">
      <w:bodyDiv w:val="1"/>
      <w:marLeft w:val="0"/>
      <w:marRight w:val="0"/>
      <w:marTop w:val="0"/>
      <w:marBottom w:val="0"/>
      <w:divBdr>
        <w:top w:val="none" w:sz="0" w:space="0" w:color="auto"/>
        <w:left w:val="none" w:sz="0" w:space="0" w:color="auto"/>
        <w:bottom w:val="none" w:sz="0" w:space="0" w:color="auto"/>
        <w:right w:val="none" w:sz="0" w:space="0" w:color="auto"/>
      </w:divBdr>
    </w:div>
    <w:div w:id="1603302640">
      <w:bodyDiv w:val="1"/>
      <w:marLeft w:val="0"/>
      <w:marRight w:val="0"/>
      <w:marTop w:val="0"/>
      <w:marBottom w:val="0"/>
      <w:divBdr>
        <w:top w:val="none" w:sz="0" w:space="0" w:color="auto"/>
        <w:left w:val="none" w:sz="0" w:space="0" w:color="auto"/>
        <w:bottom w:val="none" w:sz="0" w:space="0" w:color="auto"/>
        <w:right w:val="none" w:sz="0" w:space="0" w:color="auto"/>
      </w:divBdr>
    </w:div>
    <w:div w:id="1608926670">
      <w:bodyDiv w:val="1"/>
      <w:marLeft w:val="0"/>
      <w:marRight w:val="0"/>
      <w:marTop w:val="0"/>
      <w:marBottom w:val="0"/>
      <w:divBdr>
        <w:top w:val="none" w:sz="0" w:space="0" w:color="auto"/>
        <w:left w:val="none" w:sz="0" w:space="0" w:color="auto"/>
        <w:bottom w:val="none" w:sz="0" w:space="0" w:color="auto"/>
        <w:right w:val="none" w:sz="0" w:space="0" w:color="auto"/>
      </w:divBdr>
    </w:div>
    <w:div w:id="1611357452">
      <w:bodyDiv w:val="1"/>
      <w:marLeft w:val="0"/>
      <w:marRight w:val="0"/>
      <w:marTop w:val="0"/>
      <w:marBottom w:val="0"/>
      <w:divBdr>
        <w:top w:val="none" w:sz="0" w:space="0" w:color="auto"/>
        <w:left w:val="none" w:sz="0" w:space="0" w:color="auto"/>
        <w:bottom w:val="none" w:sz="0" w:space="0" w:color="auto"/>
        <w:right w:val="none" w:sz="0" w:space="0" w:color="auto"/>
      </w:divBdr>
    </w:div>
    <w:div w:id="1612937608">
      <w:bodyDiv w:val="1"/>
      <w:marLeft w:val="0"/>
      <w:marRight w:val="0"/>
      <w:marTop w:val="0"/>
      <w:marBottom w:val="0"/>
      <w:divBdr>
        <w:top w:val="none" w:sz="0" w:space="0" w:color="auto"/>
        <w:left w:val="none" w:sz="0" w:space="0" w:color="auto"/>
        <w:bottom w:val="none" w:sz="0" w:space="0" w:color="auto"/>
        <w:right w:val="none" w:sz="0" w:space="0" w:color="auto"/>
      </w:divBdr>
    </w:div>
    <w:div w:id="1613629002">
      <w:bodyDiv w:val="1"/>
      <w:marLeft w:val="0"/>
      <w:marRight w:val="0"/>
      <w:marTop w:val="0"/>
      <w:marBottom w:val="0"/>
      <w:divBdr>
        <w:top w:val="none" w:sz="0" w:space="0" w:color="auto"/>
        <w:left w:val="none" w:sz="0" w:space="0" w:color="auto"/>
        <w:bottom w:val="none" w:sz="0" w:space="0" w:color="auto"/>
        <w:right w:val="none" w:sz="0" w:space="0" w:color="auto"/>
      </w:divBdr>
    </w:div>
    <w:div w:id="1616862296">
      <w:bodyDiv w:val="1"/>
      <w:marLeft w:val="0"/>
      <w:marRight w:val="0"/>
      <w:marTop w:val="0"/>
      <w:marBottom w:val="0"/>
      <w:divBdr>
        <w:top w:val="none" w:sz="0" w:space="0" w:color="auto"/>
        <w:left w:val="none" w:sz="0" w:space="0" w:color="auto"/>
        <w:bottom w:val="none" w:sz="0" w:space="0" w:color="auto"/>
        <w:right w:val="none" w:sz="0" w:space="0" w:color="auto"/>
      </w:divBdr>
    </w:div>
    <w:div w:id="162399898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292387">
      <w:bodyDiv w:val="1"/>
      <w:marLeft w:val="0"/>
      <w:marRight w:val="0"/>
      <w:marTop w:val="0"/>
      <w:marBottom w:val="0"/>
      <w:divBdr>
        <w:top w:val="none" w:sz="0" w:space="0" w:color="auto"/>
        <w:left w:val="none" w:sz="0" w:space="0" w:color="auto"/>
        <w:bottom w:val="none" w:sz="0" w:space="0" w:color="auto"/>
        <w:right w:val="none" w:sz="0" w:space="0" w:color="auto"/>
      </w:divBdr>
    </w:div>
    <w:div w:id="1643190290">
      <w:bodyDiv w:val="1"/>
      <w:marLeft w:val="0"/>
      <w:marRight w:val="0"/>
      <w:marTop w:val="0"/>
      <w:marBottom w:val="0"/>
      <w:divBdr>
        <w:top w:val="none" w:sz="0" w:space="0" w:color="auto"/>
        <w:left w:val="none" w:sz="0" w:space="0" w:color="auto"/>
        <w:bottom w:val="none" w:sz="0" w:space="0" w:color="auto"/>
        <w:right w:val="none" w:sz="0" w:space="0" w:color="auto"/>
      </w:divBdr>
    </w:div>
    <w:div w:id="1650524565">
      <w:bodyDiv w:val="1"/>
      <w:marLeft w:val="0"/>
      <w:marRight w:val="0"/>
      <w:marTop w:val="0"/>
      <w:marBottom w:val="0"/>
      <w:divBdr>
        <w:top w:val="none" w:sz="0" w:space="0" w:color="auto"/>
        <w:left w:val="none" w:sz="0" w:space="0" w:color="auto"/>
        <w:bottom w:val="none" w:sz="0" w:space="0" w:color="auto"/>
        <w:right w:val="none" w:sz="0" w:space="0" w:color="auto"/>
      </w:divBdr>
    </w:div>
    <w:div w:id="1654748669">
      <w:bodyDiv w:val="1"/>
      <w:marLeft w:val="0"/>
      <w:marRight w:val="0"/>
      <w:marTop w:val="0"/>
      <w:marBottom w:val="0"/>
      <w:divBdr>
        <w:top w:val="none" w:sz="0" w:space="0" w:color="auto"/>
        <w:left w:val="none" w:sz="0" w:space="0" w:color="auto"/>
        <w:bottom w:val="none" w:sz="0" w:space="0" w:color="auto"/>
        <w:right w:val="none" w:sz="0" w:space="0" w:color="auto"/>
      </w:divBdr>
    </w:div>
    <w:div w:id="1654793421">
      <w:bodyDiv w:val="1"/>
      <w:marLeft w:val="0"/>
      <w:marRight w:val="0"/>
      <w:marTop w:val="0"/>
      <w:marBottom w:val="0"/>
      <w:divBdr>
        <w:top w:val="none" w:sz="0" w:space="0" w:color="auto"/>
        <w:left w:val="none" w:sz="0" w:space="0" w:color="auto"/>
        <w:bottom w:val="none" w:sz="0" w:space="0" w:color="auto"/>
        <w:right w:val="none" w:sz="0" w:space="0" w:color="auto"/>
      </w:divBdr>
    </w:div>
    <w:div w:id="1656715206">
      <w:bodyDiv w:val="1"/>
      <w:marLeft w:val="0"/>
      <w:marRight w:val="0"/>
      <w:marTop w:val="0"/>
      <w:marBottom w:val="0"/>
      <w:divBdr>
        <w:top w:val="none" w:sz="0" w:space="0" w:color="auto"/>
        <w:left w:val="none" w:sz="0" w:space="0" w:color="auto"/>
        <w:bottom w:val="none" w:sz="0" w:space="0" w:color="auto"/>
        <w:right w:val="none" w:sz="0" w:space="0" w:color="auto"/>
      </w:divBdr>
    </w:div>
    <w:div w:id="1662463415">
      <w:bodyDiv w:val="1"/>
      <w:marLeft w:val="0"/>
      <w:marRight w:val="0"/>
      <w:marTop w:val="0"/>
      <w:marBottom w:val="0"/>
      <w:divBdr>
        <w:top w:val="none" w:sz="0" w:space="0" w:color="auto"/>
        <w:left w:val="none" w:sz="0" w:space="0" w:color="auto"/>
        <w:bottom w:val="none" w:sz="0" w:space="0" w:color="auto"/>
        <w:right w:val="none" w:sz="0" w:space="0" w:color="auto"/>
      </w:divBdr>
    </w:div>
    <w:div w:id="1663117192">
      <w:bodyDiv w:val="1"/>
      <w:marLeft w:val="0"/>
      <w:marRight w:val="0"/>
      <w:marTop w:val="0"/>
      <w:marBottom w:val="0"/>
      <w:divBdr>
        <w:top w:val="none" w:sz="0" w:space="0" w:color="auto"/>
        <w:left w:val="none" w:sz="0" w:space="0" w:color="auto"/>
        <w:bottom w:val="none" w:sz="0" w:space="0" w:color="auto"/>
        <w:right w:val="none" w:sz="0" w:space="0" w:color="auto"/>
      </w:divBdr>
    </w:div>
    <w:div w:id="1663971487">
      <w:bodyDiv w:val="1"/>
      <w:marLeft w:val="0"/>
      <w:marRight w:val="0"/>
      <w:marTop w:val="0"/>
      <w:marBottom w:val="0"/>
      <w:divBdr>
        <w:top w:val="none" w:sz="0" w:space="0" w:color="auto"/>
        <w:left w:val="none" w:sz="0" w:space="0" w:color="auto"/>
        <w:bottom w:val="none" w:sz="0" w:space="0" w:color="auto"/>
        <w:right w:val="none" w:sz="0" w:space="0" w:color="auto"/>
      </w:divBdr>
    </w:div>
    <w:div w:id="1668822276">
      <w:bodyDiv w:val="1"/>
      <w:marLeft w:val="0"/>
      <w:marRight w:val="0"/>
      <w:marTop w:val="0"/>
      <w:marBottom w:val="0"/>
      <w:divBdr>
        <w:top w:val="none" w:sz="0" w:space="0" w:color="auto"/>
        <w:left w:val="none" w:sz="0" w:space="0" w:color="auto"/>
        <w:bottom w:val="none" w:sz="0" w:space="0" w:color="auto"/>
        <w:right w:val="none" w:sz="0" w:space="0" w:color="auto"/>
      </w:divBdr>
    </w:div>
    <w:div w:id="1674795537">
      <w:bodyDiv w:val="1"/>
      <w:marLeft w:val="0"/>
      <w:marRight w:val="0"/>
      <w:marTop w:val="0"/>
      <w:marBottom w:val="0"/>
      <w:divBdr>
        <w:top w:val="none" w:sz="0" w:space="0" w:color="auto"/>
        <w:left w:val="none" w:sz="0" w:space="0" w:color="auto"/>
        <w:bottom w:val="none" w:sz="0" w:space="0" w:color="auto"/>
        <w:right w:val="none" w:sz="0" w:space="0" w:color="auto"/>
      </w:divBdr>
    </w:div>
    <w:div w:id="1678193673">
      <w:bodyDiv w:val="1"/>
      <w:marLeft w:val="0"/>
      <w:marRight w:val="0"/>
      <w:marTop w:val="0"/>
      <w:marBottom w:val="0"/>
      <w:divBdr>
        <w:top w:val="none" w:sz="0" w:space="0" w:color="auto"/>
        <w:left w:val="none" w:sz="0" w:space="0" w:color="auto"/>
        <w:bottom w:val="none" w:sz="0" w:space="0" w:color="auto"/>
        <w:right w:val="none" w:sz="0" w:space="0" w:color="auto"/>
      </w:divBdr>
    </w:div>
    <w:div w:id="1678534145">
      <w:bodyDiv w:val="1"/>
      <w:marLeft w:val="0"/>
      <w:marRight w:val="0"/>
      <w:marTop w:val="0"/>
      <w:marBottom w:val="0"/>
      <w:divBdr>
        <w:top w:val="none" w:sz="0" w:space="0" w:color="auto"/>
        <w:left w:val="none" w:sz="0" w:space="0" w:color="auto"/>
        <w:bottom w:val="none" w:sz="0" w:space="0" w:color="auto"/>
        <w:right w:val="none" w:sz="0" w:space="0" w:color="auto"/>
      </w:divBdr>
    </w:div>
    <w:div w:id="1680428824">
      <w:bodyDiv w:val="1"/>
      <w:marLeft w:val="0"/>
      <w:marRight w:val="0"/>
      <w:marTop w:val="0"/>
      <w:marBottom w:val="0"/>
      <w:divBdr>
        <w:top w:val="none" w:sz="0" w:space="0" w:color="auto"/>
        <w:left w:val="none" w:sz="0" w:space="0" w:color="auto"/>
        <w:bottom w:val="none" w:sz="0" w:space="0" w:color="auto"/>
        <w:right w:val="none" w:sz="0" w:space="0" w:color="auto"/>
      </w:divBdr>
    </w:div>
    <w:div w:id="1684475502">
      <w:bodyDiv w:val="1"/>
      <w:marLeft w:val="0"/>
      <w:marRight w:val="0"/>
      <w:marTop w:val="0"/>
      <w:marBottom w:val="0"/>
      <w:divBdr>
        <w:top w:val="none" w:sz="0" w:space="0" w:color="auto"/>
        <w:left w:val="none" w:sz="0" w:space="0" w:color="auto"/>
        <w:bottom w:val="none" w:sz="0" w:space="0" w:color="auto"/>
        <w:right w:val="none" w:sz="0" w:space="0" w:color="auto"/>
      </w:divBdr>
    </w:div>
    <w:div w:id="1685862532">
      <w:bodyDiv w:val="1"/>
      <w:marLeft w:val="0"/>
      <w:marRight w:val="0"/>
      <w:marTop w:val="0"/>
      <w:marBottom w:val="0"/>
      <w:divBdr>
        <w:top w:val="none" w:sz="0" w:space="0" w:color="auto"/>
        <w:left w:val="none" w:sz="0" w:space="0" w:color="auto"/>
        <w:bottom w:val="none" w:sz="0" w:space="0" w:color="auto"/>
        <w:right w:val="none" w:sz="0" w:space="0" w:color="auto"/>
      </w:divBdr>
    </w:div>
    <w:div w:id="1686248608">
      <w:bodyDiv w:val="1"/>
      <w:marLeft w:val="0"/>
      <w:marRight w:val="0"/>
      <w:marTop w:val="0"/>
      <w:marBottom w:val="0"/>
      <w:divBdr>
        <w:top w:val="none" w:sz="0" w:space="0" w:color="auto"/>
        <w:left w:val="none" w:sz="0" w:space="0" w:color="auto"/>
        <w:bottom w:val="none" w:sz="0" w:space="0" w:color="auto"/>
        <w:right w:val="none" w:sz="0" w:space="0" w:color="auto"/>
      </w:divBdr>
    </w:div>
    <w:div w:id="1688874088">
      <w:bodyDiv w:val="1"/>
      <w:marLeft w:val="0"/>
      <w:marRight w:val="0"/>
      <w:marTop w:val="0"/>
      <w:marBottom w:val="0"/>
      <w:divBdr>
        <w:top w:val="none" w:sz="0" w:space="0" w:color="auto"/>
        <w:left w:val="none" w:sz="0" w:space="0" w:color="auto"/>
        <w:bottom w:val="none" w:sz="0" w:space="0" w:color="auto"/>
        <w:right w:val="none" w:sz="0" w:space="0" w:color="auto"/>
      </w:divBdr>
    </w:div>
    <w:div w:id="1694071036">
      <w:bodyDiv w:val="1"/>
      <w:marLeft w:val="0"/>
      <w:marRight w:val="0"/>
      <w:marTop w:val="0"/>
      <w:marBottom w:val="0"/>
      <w:divBdr>
        <w:top w:val="none" w:sz="0" w:space="0" w:color="auto"/>
        <w:left w:val="none" w:sz="0" w:space="0" w:color="auto"/>
        <w:bottom w:val="none" w:sz="0" w:space="0" w:color="auto"/>
        <w:right w:val="none" w:sz="0" w:space="0" w:color="auto"/>
      </w:divBdr>
    </w:div>
    <w:div w:id="1695032043">
      <w:bodyDiv w:val="1"/>
      <w:marLeft w:val="0"/>
      <w:marRight w:val="0"/>
      <w:marTop w:val="0"/>
      <w:marBottom w:val="0"/>
      <w:divBdr>
        <w:top w:val="none" w:sz="0" w:space="0" w:color="auto"/>
        <w:left w:val="none" w:sz="0" w:space="0" w:color="auto"/>
        <w:bottom w:val="none" w:sz="0" w:space="0" w:color="auto"/>
        <w:right w:val="none" w:sz="0" w:space="0" w:color="auto"/>
      </w:divBdr>
    </w:div>
    <w:div w:id="1696807904">
      <w:bodyDiv w:val="1"/>
      <w:marLeft w:val="0"/>
      <w:marRight w:val="0"/>
      <w:marTop w:val="0"/>
      <w:marBottom w:val="0"/>
      <w:divBdr>
        <w:top w:val="none" w:sz="0" w:space="0" w:color="auto"/>
        <w:left w:val="none" w:sz="0" w:space="0" w:color="auto"/>
        <w:bottom w:val="none" w:sz="0" w:space="0" w:color="auto"/>
        <w:right w:val="none" w:sz="0" w:space="0" w:color="auto"/>
      </w:divBdr>
    </w:div>
    <w:div w:id="1697191742">
      <w:bodyDiv w:val="1"/>
      <w:marLeft w:val="0"/>
      <w:marRight w:val="0"/>
      <w:marTop w:val="0"/>
      <w:marBottom w:val="0"/>
      <w:divBdr>
        <w:top w:val="none" w:sz="0" w:space="0" w:color="auto"/>
        <w:left w:val="none" w:sz="0" w:space="0" w:color="auto"/>
        <w:bottom w:val="none" w:sz="0" w:space="0" w:color="auto"/>
        <w:right w:val="none" w:sz="0" w:space="0" w:color="auto"/>
      </w:divBdr>
    </w:div>
    <w:div w:id="1699810885">
      <w:bodyDiv w:val="1"/>
      <w:marLeft w:val="0"/>
      <w:marRight w:val="0"/>
      <w:marTop w:val="0"/>
      <w:marBottom w:val="0"/>
      <w:divBdr>
        <w:top w:val="none" w:sz="0" w:space="0" w:color="auto"/>
        <w:left w:val="none" w:sz="0" w:space="0" w:color="auto"/>
        <w:bottom w:val="none" w:sz="0" w:space="0" w:color="auto"/>
        <w:right w:val="none" w:sz="0" w:space="0" w:color="auto"/>
      </w:divBdr>
    </w:div>
    <w:div w:id="1720394493">
      <w:bodyDiv w:val="1"/>
      <w:marLeft w:val="0"/>
      <w:marRight w:val="0"/>
      <w:marTop w:val="0"/>
      <w:marBottom w:val="0"/>
      <w:divBdr>
        <w:top w:val="none" w:sz="0" w:space="0" w:color="auto"/>
        <w:left w:val="none" w:sz="0" w:space="0" w:color="auto"/>
        <w:bottom w:val="none" w:sz="0" w:space="0" w:color="auto"/>
        <w:right w:val="none" w:sz="0" w:space="0" w:color="auto"/>
      </w:divBdr>
    </w:div>
    <w:div w:id="1721856406">
      <w:bodyDiv w:val="1"/>
      <w:marLeft w:val="0"/>
      <w:marRight w:val="0"/>
      <w:marTop w:val="0"/>
      <w:marBottom w:val="0"/>
      <w:divBdr>
        <w:top w:val="none" w:sz="0" w:space="0" w:color="auto"/>
        <w:left w:val="none" w:sz="0" w:space="0" w:color="auto"/>
        <w:bottom w:val="none" w:sz="0" w:space="0" w:color="auto"/>
        <w:right w:val="none" w:sz="0" w:space="0" w:color="auto"/>
      </w:divBdr>
    </w:div>
    <w:div w:id="1723288899">
      <w:bodyDiv w:val="1"/>
      <w:marLeft w:val="0"/>
      <w:marRight w:val="0"/>
      <w:marTop w:val="0"/>
      <w:marBottom w:val="0"/>
      <w:divBdr>
        <w:top w:val="none" w:sz="0" w:space="0" w:color="auto"/>
        <w:left w:val="none" w:sz="0" w:space="0" w:color="auto"/>
        <w:bottom w:val="none" w:sz="0" w:space="0" w:color="auto"/>
        <w:right w:val="none" w:sz="0" w:space="0" w:color="auto"/>
      </w:divBdr>
    </w:div>
    <w:div w:id="1724600516">
      <w:bodyDiv w:val="1"/>
      <w:marLeft w:val="0"/>
      <w:marRight w:val="0"/>
      <w:marTop w:val="0"/>
      <w:marBottom w:val="0"/>
      <w:divBdr>
        <w:top w:val="none" w:sz="0" w:space="0" w:color="auto"/>
        <w:left w:val="none" w:sz="0" w:space="0" w:color="auto"/>
        <w:bottom w:val="none" w:sz="0" w:space="0" w:color="auto"/>
        <w:right w:val="none" w:sz="0" w:space="0" w:color="auto"/>
      </w:divBdr>
    </w:div>
    <w:div w:id="1724984444">
      <w:bodyDiv w:val="1"/>
      <w:marLeft w:val="0"/>
      <w:marRight w:val="0"/>
      <w:marTop w:val="0"/>
      <w:marBottom w:val="0"/>
      <w:divBdr>
        <w:top w:val="none" w:sz="0" w:space="0" w:color="auto"/>
        <w:left w:val="none" w:sz="0" w:space="0" w:color="auto"/>
        <w:bottom w:val="none" w:sz="0" w:space="0" w:color="auto"/>
        <w:right w:val="none" w:sz="0" w:space="0" w:color="auto"/>
      </w:divBdr>
    </w:div>
    <w:div w:id="1726566771">
      <w:bodyDiv w:val="1"/>
      <w:marLeft w:val="0"/>
      <w:marRight w:val="0"/>
      <w:marTop w:val="0"/>
      <w:marBottom w:val="0"/>
      <w:divBdr>
        <w:top w:val="none" w:sz="0" w:space="0" w:color="auto"/>
        <w:left w:val="none" w:sz="0" w:space="0" w:color="auto"/>
        <w:bottom w:val="none" w:sz="0" w:space="0" w:color="auto"/>
        <w:right w:val="none" w:sz="0" w:space="0" w:color="auto"/>
      </w:divBdr>
    </w:div>
    <w:div w:id="1727989375">
      <w:bodyDiv w:val="1"/>
      <w:marLeft w:val="0"/>
      <w:marRight w:val="0"/>
      <w:marTop w:val="0"/>
      <w:marBottom w:val="0"/>
      <w:divBdr>
        <w:top w:val="none" w:sz="0" w:space="0" w:color="auto"/>
        <w:left w:val="none" w:sz="0" w:space="0" w:color="auto"/>
        <w:bottom w:val="none" w:sz="0" w:space="0" w:color="auto"/>
        <w:right w:val="none" w:sz="0" w:space="0" w:color="auto"/>
      </w:divBdr>
    </w:div>
    <w:div w:id="1732457911">
      <w:bodyDiv w:val="1"/>
      <w:marLeft w:val="0"/>
      <w:marRight w:val="0"/>
      <w:marTop w:val="0"/>
      <w:marBottom w:val="0"/>
      <w:divBdr>
        <w:top w:val="none" w:sz="0" w:space="0" w:color="auto"/>
        <w:left w:val="none" w:sz="0" w:space="0" w:color="auto"/>
        <w:bottom w:val="none" w:sz="0" w:space="0" w:color="auto"/>
        <w:right w:val="none" w:sz="0" w:space="0" w:color="auto"/>
      </w:divBdr>
    </w:div>
    <w:div w:id="1736276601">
      <w:bodyDiv w:val="1"/>
      <w:marLeft w:val="0"/>
      <w:marRight w:val="0"/>
      <w:marTop w:val="0"/>
      <w:marBottom w:val="0"/>
      <w:divBdr>
        <w:top w:val="none" w:sz="0" w:space="0" w:color="auto"/>
        <w:left w:val="none" w:sz="0" w:space="0" w:color="auto"/>
        <w:bottom w:val="none" w:sz="0" w:space="0" w:color="auto"/>
        <w:right w:val="none" w:sz="0" w:space="0" w:color="auto"/>
      </w:divBdr>
    </w:div>
    <w:div w:id="1738279556">
      <w:bodyDiv w:val="1"/>
      <w:marLeft w:val="0"/>
      <w:marRight w:val="0"/>
      <w:marTop w:val="0"/>
      <w:marBottom w:val="0"/>
      <w:divBdr>
        <w:top w:val="none" w:sz="0" w:space="0" w:color="auto"/>
        <w:left w:val="none" w:sz="0" w:space="0" w:color="auto"/>
        <w:bottom w:val="none" w:sz="0" w:space="0" w:color="auto"/>
        <w:right w:val="none" w:sz="0" w:space="0" w:color="auto"/>
      </w:divBdr>
    </w:div>
    <w:div w:id="1744839124">
      <w:bodyDiv w:val="1"/>
      <w:marLeft w:val="0"/>
      <w:marRight w:val="0"/>
      <w:marTop w:val="0"/>
      <w:marBottom w:val="0"/>
      <w:divBdr>
        <w:top w:val="none" w:sz="0" w:space="0" w:color="auto"/>
        <w:left w:val="none" w:sz="0" w:space="0" w:color="auto"/>
        <w:bottom w:val="none" w:sz="0" w:space="0" w:color="auto"/>
        <w:right w:val="none" w:sz="0" w:space="0" w:color="auto"/>
      </w:divBdr>
    </w:div>
    <w:div w:id="1746954845">
      <w:bodyDiv w:val="1"/>
      <w:marLeft w:val="0"/>
      <w:marRight w:val="0"/>
      <w:marTop w:val="0"/>
      <w:marBottom w:val="0"/>
      <w:divBdr>
        <w:top w:val="none" w:sz="0" w:space="0" w:color="auto"/>
        <w:left w:val="none" w:sz="0" w:space="0" w:color="auto"/>
        <w:bottom w:val="none" w:sz="0" w:space="0" w:color="auto"/>
        <w:right w:val="none" w:sz="0" w:space="0" w:color="auto"/>
      </w:divBdr>
    </w:div>
    <w:div w:id="1747801356">
      <w:bodyDiv w:val="1"/>
      <w:marLeft w:val="0"/>
      <w:marRight w:val="0"/>
      <w:marTop w:val="0"/>
      <w:marBottom w:val="0"/>
      <w:divBdr>
        <w:top w:val="none" w:sz="0" w:space="0" w:color="auto"/>
        <w:left w:val="none" w:sz="0" w:space="0" w:color="auto"/>
        <w:bottom w:val="none" w:sz="0" w:space="0" w:color="auto"/>
        <w:right w:val="none" w:sz="0" w:space="0" w:color="auto"/>
      </w:divBdr>
    </w:div>
    <w:div w:id="1750039619">
      <w:bodyDiv w:val="1"/>
      <w:marLeft w:val="0"/>
      <w:marRight w:val="0"/>
      <w:marTop w:val="0"/>
      <w:marBottom w:val="0"/>
      <w:divBdr>
        <w:top w:val="none" w:sz="0" w:space="0" w:color="auto"/>
        <w:left w:val="none" w:sz="0" w:space="0" w:color="auto"/>
        <w:bottom w:val="none" w:sz="0" w:space="0" w:color="auto"/>
        <w:right w:val="none" w:sz="0" w:space="0" w:color="auto"/>
      </w:divBdr>
    </w:div>
    <w:div w:id="1761557937">
      <w:bodyDiv w:val="1"/>
      <w:marLeft w:val="0"/>
      <w:marRight w:val="0"/>
      <w:marTop w:val="0"/>
      <w:marBottom w:val="0"/>
      <w:divBdr>
        <w:top w:val="none" w:sz="0" w:space="0" w:color="auto"/>
        <w:left w:val="none" w:sz="0" w:space="0" w:color="auto"/>
        <w:bottom w:val="none" w:sz="0" w:space="0" w:color="auto"/>
        <w:right w:val="none" w:sz="0" w:space="0" w:color="auto"/>
      </w:divBdr>
    </w:div>
    <w:div w:id="1766799686">
      <w:bodyDiv w:val="1"/>
      <w:marLeft w:val="0"/>
      <w:marRight w:val="0"/>
      <w:marTop w:val="0"/>
      <w:marBottom w:val="0"/>
      <w:divBdr>
        <w:top w:val="none" w:sz="0" w:space="0" w:color="auto"/>
        <w:left w:val="none" w:sz="0" w:space="0" w:color="auto"/>
        <w:bottom w:val="none" w:sz="0" w:space="0" w:color="auto"/>
        <w:right w:val="none" w:sz="0" w:space="0" w:color="auto"/>
      </w:divBdr>
    </w:div>
    <w:div w:id="1771270734">
      <w:bodyDiv w:val="1"/>
      <w:marLeft w:val="0"/>
      <w:marRight w:val="0"/>
      <w:marTop w:val="0"/>
      <w:marBottom w:val="0"/>
      <w:divBdr>
        <w:top w:val="none" w:sz="0" w:space="0" w:color="auto"/>
        <w:left w:val="none" w:sz="0" w:space="0" w:color="auto"/>
        <w:bottom w:val="none" w:sz="0" w:space="0" w:color="auto"/>
        <w:right w:val="none" w:sz="0" w:space="0" w:color="auto"/>
      </w:divBdr>
    </w:div>
    <w:div w:id="1771463697">
      <w:bodyDiv w:val="1"/>
      <w:marLeft w:val="0"/>
      <w:marRight w:val="0"/>
      <w:marTop w:val="0"/>
      <w:marBottom w:val="0"/>
      <w:divBdr>
        <w:top w:val="none" w:sz="0" w:space="0" w:color="auto"/>
        <w:left w:val="none" w:sz="0" w:space="0" w:color="auto"/>
        <w:bottom w:val="none" w:sz="0" w:space="0" w:color="auto"/>
        <w:right w:val="none" w:sz="0" w:space="0" w:color="auto"/>
      </w:divBdr>
    </w:div>
    <w:div w:id="1781142977">
      <w:bodyDiv w:val="1"/>
      <w:marLeft w:val="0"/>
      <w:marRight w:val="0"/>
      <w:marTop w:val="0"/>
      <w:marBottom w:val="0"/>
      <w:divBdr>
        <w:top w:val="none" w:sz="0" w:space="0" w:color="auto"/>
        <w:left w:val="none" w:sz="0" w:space="0" w:color="auto"/>
        <w:bottom w:val="none" w:sz="0" w:space="0" w:color="auto"/>
        <w:right w:val="none" w:sz="0" w:space="0" w:color="auto"/>
      </w:divBdr>
    </w:div>
    <w:div w:id="1781681479">
      <w:bodyDiv w:val="1"/>
      <w:marLeft w:val="0"/>
      <w:marRight w:val="0"/>
      <w:marTop w:val="0"/>
      <w:marBottom w:val="0"/>
      <w:divBdr>
        <w:top w:val="none" w:sz="0" w:space="0" w:color="auto"/>
        <w:left w:val="none" w:sz="0" w:space="0" w:color="auto"/>
        <w:bottom w:val="none" w:sz="0" w:space="0" w:color="auto"/>
        <w:right w:val="none" w:sz="0" w:space="0" w:color="auto"/>
      </w:divBdr>
    </w:div>
    <w:div w:id="1782408791">
      <w:bodyDiv w:val="1"/>
      <w:marLeft w:val="0"/>
      <w:marRight w:val="0"/>
      <w:marTop w:val="0"/>
      <w:marBottom w:val="0"/>
      <w:divBdr>
        <w:top w:val="none" w:sz="0" w:space="0" w:color="auto"/>
        <w:left w:val="none" w:sz="0" w:space="0" w:color="auto"/>
        <w:bottom w:val="none" w:sz="0" w:space="0" w:color="auto"/>
        <w:right w:val="none" w:sz="0" w:space="0" w:color="auto"/>
      </w:divBdr>
    </w:div>
    <w:div w:id="1782846202">
      <w:bodyDiv w:val="1"/>
      <w:marLeft w:val="0"/>
      <w:marRight w:val="0"/>
      <w:marTop w:val="0"/>
      <w:marBottom w:val="0"/>
      <w:divBdr>
        <w:top w:val="none" w:sz="0" w:space="0" w:color="auto"/>
        <w:left w:val="none" w:sz="0" w:space="0" w:color="auto"/>
        <w:bottom w:val="none" w:sz="0" w:space="0" w:color="auto"/>
        <w:right w:val="none" w:sz="0" w:space="0" w:color="auto"/>
      </w:divBdr>
    </w:div>
    <w:div w:id="1788044570">
      <w:bodyDiv w:val="1"/>
      <w:marLeft w:val="0"/>
      <w:marRight w:val="0"/>
      <w:marTop w:val="0"/>
      <w:marBottom w:val="0"/>
      <w:divBdr>
        <w:top w:val="none" w:sz="0" w:space="0" w:color="auto"/>
        <w:left w:val="none" w:sz="0" w:space="0" w:color="auto"/>
        <w:bottom w:val="none" w:sz="0" w:space="0" w:color="auto"/>
        <w:right w:val="none" w:sz="0" w:space="0" w:color="auto"/>
      </w:divBdr>
    </w:div>
    <w:div w:id="1789858233">
      <w:bodyDiv w:val="1"/>
      <w:marLeft w:val="0"/>
      <w:marRight w:val="0"/>
      <w:marTop w:val="0"/>
      <w:marBottom w:val="0"/>
      <w:divBdr>
        <w:top w:val="none" w:sz="0" w:space="0" w:color="auto"/>
        <w:left w:val="none" w:sz="0" w:space="0" w:color="auto"/>
        <w:bottom w:val="none" w:sz="0" w:space="0" w:color="auto"/>
        <w:right w:val="none" w:sz="0" w:space="0" w:color="auto"/>
      </w:divBdr>
    </w:div>
    <w:div w:id="1794052474">
      <w:bodyDiv w:val="1"/>
      <w:marLeft w:val="0"/>
      <w:marRight w:val="0"/>
      <w:marTop w:val="0"/>
      <w:marBottom w:val="0"/>
      <w:divBdr>
        <w:top w:val="none" w:sz="0" w:space="0" w:color="auto"/>
        <w:left w:val="none" w:sz="0" w:space="0" w:color="auto"/>
        <w:bottom w:val="none" w:sz="0" w:space="0" w:color="auto"/>
        <w:right w:val="none" w:sz="0" w:space="0" w:color="auto"/>
      </w:divBdr>
    </w:div>
    <w:div w:id="1794057536">
      <w:bodyDiv w:val="1"/>
      <w:marLeft w:val="0"/>
      <w:marRight w:val="0"/>
      <w:marTop w:val="0"/>
      <w:marBottom w:val="0"/>
      <w:divBdr>
        <w:top w:val="none" w:sz="0" w:space="0" w:color="auto"/>
        <w:left w:val="none" w:sz="0" w:space="0" w:color="auto"/>
        <w:bottom w:val="none" w:sz="0" w:space="0" w:color="auto"/>
        <w:right w:val="none" w:sz="0" w:space="0" w:color="auto"/>
      </w:divBdr>
    </w:div>
    <w:div w:id="1796556004">
      <w:bodyDiv w:val="1"/>
      <w:marLeft w:val="0"/>
      <w:marRight w:val="0"/>
      <w:marTop w:val="0"/>
      <w:marBottom w:val="0"/>
      <w:divBdr>
        <w:top w:val="none" w:sz="0" w:space="0" w:color="auto"/>
        <w:left w:val="none" w:sz="0" w:space="0" w:color="auto"/>
        <w:bottom w:val="none" w:sz="0" w:space="0" w:color="auto"/>
        <w:right w:val="none" w:sz="0" w:space="0" w:color="auto"/>
      </w:divBdr>
    </w:div>
    <w:div w:id="1797017871">
      <w:bodyDiv w:val="1"/>
      <w:marLeft w:val="0"/>
      <w:marRight w:val="0"/>
      <w:marTop w:val="0"/>
      <w:marBottom w:val="0"/>
      <w:divBdr>
        <w:top w:val="none" w:sz="0" w:space="0" w:color="auto"/>
        <w:left w:val="none" w:sz="0" w:space="0" w:color="auto"/>
        <w:bottom w:val="none" w:sz="0" w:space="0" w:color="auto"/>
        <w:right w:val="none" w:sz="0" w:space="0" w:color="auto"/>
      </w:divBdr>
    </w:div>
    <w:div w:id="1799185479">
      <w:bodyDiv w:val="1"/>
      <w:marLeft w:val="0"/>
      <w:marRight w:val="0"/>
      <w:marTop w:val="0"/>
      <w:marBottom w:val="0"/>
      <w:divBdr>
        <w:top w:val="none" w:sz="0" w:space="0" w:color="auto"/>
        <w:left w:val="none" w:sz="0" w:space="0" w:color="auto"/>
        <w:bottom w:val="none" w:sz="0" w:space="0" w:color="auto"/>
        <w:right w:val="none" w:sz="0" w:space="0" w:color="auto"/>
      </w:divBdr>
    </w:div>
    <w:div w:id="1801877365">
      <w:bodyDiv w:val="1"/>
      <w:marLeft w:val="0"/>
      <w:marRight w:val="0"/>
      <w:marTop w:val="0"/>
      <w:marBottom w:val="0"/>
      <w:divBdr>
        <w:top w:val="none" w:sz="0" w:space="0" w:color="auto"/>
        <w:left w:val="none" w:sz="0" w:space="0" w:color="auto"/>
        <w:bottom w:val="none" w:sz="0" w:space="0" w:color="auto"/>
        <w:right w:val="none" w:sz="0" w:space="0" w:color="auto"/>
      </w:divBdr>
    </w:div>
    <w:div w:id="180226554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144757">
      <w:bodyDiv w:val="1"/>
      <w:marLeft w:val="0"/>
      <w:marRight w:val="0"/>
      <w:marTop w:val="0"/>
      <w:marBottom w:val="0"/>
      <w:divBdr>
        <w:top w:val="none" w:sz="0" w:space="0" w:color="auto"/>
        <w:left w:val="none" w:sz="0" w:space="0" w:color="auto"/>
        <w:bottom w:val="none" w:sz="0" w:space="0" w:color="auto"/>
        <w:right w:val="none" w:sz="0" w:space="0" w:color="auto"/>
      </w:divBdr>
    </w:div>
    <w:div w:id="181810747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085636">
      <w:bodyDiv w:val="1"/>
      <w:marLeft w:val="0"/>
      <w:marRight w:val="0"/>
      <w:marTop w:val="0"/>
      <w:marBottom w:val="0"/>
      <w:divBdr>
        <w:top w:val="none" w:sz="0" w:space="0" w:color="auto"/>
        <w:left w:val="none" w:sz="0" w:space="0" w:color="auto"/>
        <w:bottom w:val="none" w:sz="0" w:space="0" w:color="auto"/>
        <w:right w:val="none" w:sz="0" w:space="0" w:color="auto"/>
      </w:divBdr>
    </w:div>
    <w:div w:id="1829708866">
      <w:bodyDiv w:val="1"/>
      <w:marLeft w:val="0"/>
      <w:marRight w:val="0"/>
      <w:marTop w:val="0"/>
      <w:marBottom w:val="0"/>
      <w:divBdr>
        <w:top w:val="none" w:sz="0" w:space="0" w:color="auto"/>
        <w:left w:val="none" w:sz="0" w:space="0" w:color="auto"/>
        <w:bottom w:val="none" w:sz="0" w:space="0" w:color="auto"/>
        <w:right w:val="none" w:sz="0" w:space="0" w:color="auto"/>
      </w:divBdr>
    </w:div>
    <w:div w:id="1834175487">
      <w:bodyDiv w:val="1"/>
      <w:marLeft w:val="0"/>
      <w:marRight w:val="0"/>
      <w:marTop w:val="0"/>
      <w:marBottom w:val="0"/>
      <w:divBdr>
        <w:top w:val="none" w:sz="0" w:space="0" w:color="auto"/>
        <w:left w:val="none" w:sz="0" w:space="0" w:color="auto"/>
        <w:bottom w:val="none" w:sz="0" w:space="0" w:color="auto"/>
        <w:right w:val="none" w:sz="0" w:space="0" w:color="auto"/>
      </w:divBdr>
    </w:div>
    <w:div w:id="1835219562">
      <w:bodyDiv w:val="1"/>
      <w:marLeft w:val="0"/>
      <w:marRight w:val="0"/>
      <w:marTop w:val="0"/>
      <w:marBottom w:val="0"/>
      <w:divBdr>
        <w:top w:val="none" w:sz="0" w:space="0" w:color="auto"/>
        <w:left w:val="none" w:sz="0" w:space="0" w:color="auto"/>
        <w:bottom w:val="none" w:sz="0" w:space="0" w:color="auto"/>
        <w:right w:val="none" w:sz="0" w:space="0" w:color="auto"/>
      </w:divBdr>
    </w:div>
    <w:div w:id="1835804901">
      <w:bodyDiv w:val="1"/>
      <w:marLeft w:val="0"/>
      <w:marRight w:val="0"/>
      <w:marTop w:val="0"/>
      <w:marBottom w:val="0"/>
      <w:divBdr>
        <w:top w:val="none" w:sz="0" w:space="0" w:color="auto"/>
        <w:left w:val="none" w:sz="0" w:space="0" w:color="auto"/>
        <w:bottom w:val="none" w:sz="0" w:space="0" w:color="auto"/>
        <w:right w:val="none" w:sz="0" w:space="0" w:color="auto"/>
      </w:divBdr>
    </w:div>
    <w:div w:id="1838232930">
      <w:bodyDiv w:val="1"/>
      <w:marLeft w:val="0"/>
      <w:marRight w:val="0"/>
      <w:marTop w:val="0"/>
      <w:marBottom w:val="0"/>
      <w:divBdr>
        <w:top w:val="none" w:sz="0" w:space="0" w:color="auto"/>
        <w:left w:val="none" w:sz="0" w:space="0" w:color="auto"/>
        <w:bottom w:val="none" w:sz="0" w:space="0" w:color="auto"/>
        <w:right w:val="none" w:sz="0" w:space="0" w:color="auto"/>
      </w:divBdr>
    </w:div>
    <w:div w:id="1844860568">
      <w:bodyDiv w:val="1"/>
      <w:marLeft w:val="0"/>
      <w:marRight w:val="0"/>
      <w:marTop w:val="0"/>
      <w:marBottom w:val="0"/>
      <w:divBdr>
        <w:top w:val="none" w:sz="0" w:space="0" w:color="auto"/>
        <w:left w:val="none" w:sz="0" w:space="0" w:color="auto"/>
        <w:bottom w:val="none" w:sz="0" w:space="0" w:color="auto"/>
        <w:right w:val="none" w:sz="0" w:space="0" w:color="auto"/>
      </w:divBdr>
    </w:div>
    <w:div w:id="1845126668">
      <w:bodyDiv w:val="1"/>
      <w:marLeft w:val="0"/>
      <w:marRight w:val="0"/>
      <w:marTop w:val="0"/>
      <w:marBottom w:val="0"/>
      <w:divBdr>
        <w:top w:val="none" w:sz="0" w:space="0" w:color="auto"/>
        <w:left w:val="none" w:sz="0" w:space="0" w:color="auto"/>
        <w:bottom w:val="none" w:sz="0" w:space="0" w:color="auto"/>
        <w:right w:val="none" w:sz="0" w:space="0" w:color="auto"/>
      </w:divBdr>
    </w:div>
    <w:div w:id="1845437647">
      <w:bodyDiv w:val="1"/>
      <w:marLeft w:val="0"/>
      <w:marRight w:val="0"/>
      <w:marTop w:val="0"/>
      <w:marBottom w:val="0"/>
      <w:divBdr>
        <w:top w:val="none" w:sz="0" w:space="0" w:color="auto"/>
        <w:left w:val="none" w:sz="0" w:space="0" w:color="auto"/>
        <w:bottom w:val="none" w:sz="0" w:space="0" w:color="auto"/>
        <w:right w:val="none" w:sz="0" w:space="0" w:color="auto"/>
      </w:divBdr>
    </w:div>
    <w:div w:id="1846705231">
      <w:bodyDiv w:val="1"/>
      <w:marLeft w:val="0"/>
      <w:marRight w:val="0"/>
      <w:marTop w:val="0"/>
      <w:marBottom w:val="0"/>
      <w:divBdr>
        <w:top w:val="none" w:sz="0" w:space="0" w:color="auto"/>
        <w:left w:val="none" w:sz="0" w:space="0" w:color="auto"/>
        <w:bottom w:val="none" w:sz="0" w:space="0" w:color="auto"/>
        <w:right w:val="none" w:sz="0" w:space="0" w:color="auto"/>
      </w:divBdr>
    </w:div>
    <w:div w:id="1846938864">
      <w:bodyDiv w:val="1"/>
      <w:marLeft w:val="0"/>
      <w:marRight w:val="0"/>
      <w:marTop w:val="0"/>
      <w:marBottom w:val="0"/>
      <w:divBdr>
        <w:top w:val="none" w:sz="0" w:space="0" w:color="auto"/>
        <w:left w:val="none" w:sz="0" w:space="0" w:color="auto"/>
        <w:bottom w:val="none" w:sz="0" w:space="0" w:color="auto"/>
        <w:right w:val="none" w:sz="0" w:space="0" w:color="auto"/>
      </w:divBdr>
    </w:div>
    <w:div w:id="1852333181">
      <w:bodyDiv w:val="1"/>
      <w:marLeft w:val="0"/>
      <w:marRight w:val="0"/>
      <w:marTop w:val="0"/>
      <w:marBottom w:val="0"/>
      <w:divBdr>
        <w:top w:val="none" w:sz="0" w:space="0" w:color="auto"/>
        <w:left w:val="none" w:sz="0" w:space="0" w:color="auto"/>
        <w:bottom w:val="none" w:sz="0" w:space="0" w:color="auto"/>
        <w:right w:val="none" w:sz="0" w:space="0" w:color="auto"/>
      </w:divBdr>
    </w:div>
    <w:div w:id="1853833322">
      <w:bodyDiv w:val="1"/>
      <w:marLeft w:val="0"/>
      <w:marRight w:val="0"/>
      <w:marTop w:val="0"/>
      <w:marBottom w:val="0"/>
      <w:divBdr>
        <w:top w:val="none" w:sz="0" w:space="0" w:color="auto"/>
        <w:left w:val="none" w:sz="0" w:space="0" w:color="auto"/>
        <w:bottom w:val="none" w:sz="0" w:space="0" w:color="auto"/>
        <w:right w:val="none" w:sz="0" w:space="0" w:color="auto"/>
      </w:divBdr>
    </w:div>
    <w:div w:id="1857578020">
      <w:bodyDiv w:val="1"/>
      <w:marLeft w:val="0"/>
      <w:marRight w:val="0"/>
      <w:marTop w:val="0"/>
      <w:marBottom w:val="0"/>
      <w:divBdr>
        <w:top w:val="none" w:sz="0" w:space="0" w:color="auto"/>
        <w:left w:val="none" w:sz="0" w:space="0" w:color="auto"/>
        <w:bottom w:val="none" w:sz="0" w:space="0" w:color="auto"/>
        <w:right w:val="none" w:sz="0" w:space="0" w:color="auto"/>
      </w:divBdr>
    </w:div>
    <w:div w:id="1858076923">
      <w:bodyDiv w:val="1"/>
      <w:marLeft w:val="0"/>
      <w:marRight w:val="0"/>
      <w:marTop w:val="0"/>
      <w:marBottom w:val="0"/>
      <w:divBdr>
        <w:top w:val="none" w:sz="0" w:space="0" w:color="auto"/>
        <w:left w:val="none" w:sz="0" w:space="0" w:color="auto"/>
        <w:bottom w:val="none" w:sz="0" w:space="0" w:color="auto"/>
        <w:right w:val="none" w:sz="0" w:space="0" w:color="auto"/>
      </w:divBdr>
    </w:div>
    <w:div w:id="1865551440">
      <w:bodyDiv w:val="1"/>
      <w:marLeft w:val="0"/>
      <w:marRight w:val="0"/>
      <w:marTop w:val="0"/>
      <w:marBottom w:val="0"/>
      <w:divBdr>
        <w:top w:val="none" w:sz="0" w:space="0" w:color="auto"/>
        <w:left w:val="none" w:sz="0" w:space="0" w:color="auto"/>
        <w:bottom w:val="none" w:sz="0" w:space="0" w:color="auto"/>
        <w:right w:val="none" w:sz="0" w:space="0" w:color="auto"/>
      </w:divBdr>
    </w:div>
    <w:div w:id="1866139836">
      <w:bodyDiv w:val="1"/>
      <w:marLeft w:val="0"/>
      <w:marRight w:val="0"/>
      <w:marTop w:val="0"/>
      <w:marBottom w:val="0"/>
      <w:divBdr>
        <w:top w:val="none" w:sz="0" w:space="0" w:color="auto"/>
        <w:left w:val="none" w:sz="0" w:space="0" w:color="auto"/>
        <w:bottom w:val="none" w:sz="0" w:space="0" w:color="auto"/>
        <w:right w:val="none" w:sz="0" w:space="0" w:color="auto"/>
      </w:divBdr>
    </w:div>
    <w:div w:id="1872717832">
      <w:bodyDiv w:val="1"/>
      <w:marLeft w:val="0"/>
      <w:marRight w:val="0"/>
      <w:marTop w:val="0"/>
      <w:marBottom w:val="0"/>
      <w:divBdr>
        <w:top w:val="none" w:sz="0" w:space="0" w:color="auto"/>
        <w:left w:val="none" w:sz="0" w:space="0" w:color="auto"/>
        <w:bottom w:val="none" w:sz="0" w:space="0" w:color="auto"/>
        <w:right w:val="none" w:sz="0" w:space="0" w:color="auto"/>
      </w:divBdr>
    </w:div>
    <w:div w:id="1873958257">
      <w:bodyDiv w:val="1"/>
      <w:marLeft w:val="0"/>
      <w:marRight w:val="0"/>
      <w:marTop w:val="0"/>
      <w:marBottom w:val="0"/>
      <w:divBdr>
        <w:top w:val="none" w:sz="0" w:space="0" w:color="auto"/>
        <w:left w:val="none" w:sz="0" w:space="0" w:color="auto"/>
        <w:bottom w:val="none" w:sz="0" w:space="0" w:color="auto"/>
        <w:right w:val="none" w:sz="0" w:space="0" w:color="auto"/>
      </w:divBdr>
    </w:div>
    <w:div w:id="1876236988">
      <w:bodyDiv w:val="1"/>
      <w:marLeft w:val="0"/>
      <w:marRight w:val="0"/>
      <w:marTop w:val="0"/>
      <w:marBottom w:val="0"/>
      <w:divBdr>
        <w:top w:val="none" w:sz="0" w:space="0" w:color="auto"/>
        <w:left w:val="none" w:sz="0" w:space="0" w:color="auto"/>
        <w:bottom w:val="none" w:sz="0" w:space="0" w:color="auto"/>
        <w:right w:val="none" w:sz="0" w:space="0" w:color="auto"/>
      </w:divBdr>
    </w:div>
    <w:div w:id="1879662293">
      <w:bodyDiv w:val="1"/>
      <w:marLeft w:val="0"/>
      <w:marRight w:val="0"/>
      <w:marTop w:val="0"/>
      <w:marBottom w:val="0"/>
      <w:divBdr>
        <w:top w:val="none" w:sz="0" w:space="0" w:color="auto"/>
        <w:left w:val="none" w:sz="0" w:space="0" w:color="auto"/>
        <w:bottom w:val="none" w:sz="0" w:space="0" w:color="auto"/>
        <w:right w:val="none" w:sz="0" w:space="0" w:color="auto"/>
      </w:divBdr>
    </w:div>
    <w:div w:id="1881167310">
      <w:bodyDiv w:val="1"/>
      <w:marLeft w:val="0"/>
      <w:marRight w:val="0"/>
      <w:marTop w:val="0"/>
      <w:marBottom w:val="0"/>
      <w:divBdr>
        <w:top w:val="none" w:sz="0" w:space="0" w:color="auto"/>
        <w:left w:val="none" w:sz="0" w:space="0" w:color="auto"/>
        <w:bottom w:val="none" w:sz="0" w:space="0" w:color="auto"/>
        <w:right w:val="none" w:sz="0" w:space="0" w:color="auto"/>
      </w:divBdr>
    </w:div>
    <w:div w:id="1881625075">
      <w:bodyDiv w:val="1"/>
      <w:marLeft w:val="0"/>
      <w:marRight w:val="0"/>
      <w:marTop w:val="0"/>
      <w:marBottom w:val="0"/>
      <w:divBdr>
        <w:top w:val="none" w:sz="0" w:space="0" w:color="auto"/>
        <w:left w:val="none" w:sz="0" w:space="0" w:color="auto"/>
        <w:bottom w:val="none" w:sz="0" w:space="0" w:color="auto"/>
        <w:right w:val="none" w:sz="0" w:space="0" w:color="auto"/>
      </w:divBdr>
    </w:div>
    <w:div w:id="1894611436">
      <w:bodyDiv w:val="1"/>
      <w:marLeft w:val="0"/>
      <w:marRight w:val="0"/>
      <w:marTop w:val="0"/>
      <w:marBottom w:val="0"/>
      <w:divBdr>
        <w:top w:val="none" w:sz="0" w:space="0" w:color="auto"/>
        <w:left w:val="none" w:sz="0" w:space="0" w:color="auto"/>
        <w:bottom w:val="none" w:sz="0" w:space="0" w:color="auto"/>
        <w:right w:val="none" w:sz="0" w:space="0" w:color="auto"/>
      </w:divBdr>
    </w:div>
    <w:div w:id="1900168538">
      <w:bodyDiv w:val="1"/>
      <w:marLeft w:val="0"/>
      <w:marRight w:val="0"/>
      <w:marTop w:val="0"/>
      <w:marBottom w:val="0"/>
      <w:divBdr>
        <w:top w:val="none" w:sz="0" w:space="0" w:color="auto"/>
        <w:left w:val="none" w:sz="0" w:space="0" w:color="auto"/>
        <w:bottom w:val="none" w:sz="0" w:space="0" w:color="auto"/>
        <w:right w:val="none" w:sz="0" w:space="0" w:color="auto"/>
      </w:divBdr>
    </w:div>
    <w:div w:id="1911187199">
      <w:bodyDiv w:val="1"/>
      <w:marLeft w:val="0"/>
      <w:marRight w:val="0"/>
      <w:marTop w:val="0"/>
      <w:marBottom w:val="0"/>
      <w:divBdr>
        <w:top w:val="none" w:sz="0" w:space="0" w:color="auto"/>
        <w:left w:val="none" w:sz="0" w:space="0" w:color="auto"/>
        <w:bottom w:val="none" w:sz="0" w:space="0" w:color="auto"/>
        <w:right w:val="none" w:sz="0" w:space="0" w:color="auto"/>
      </w:divBdr>
    </w:div>
    <w:div w:id="1911577037">
      <w:bodyDiv w:val="1"/>
      <w:marLeft w:val="0"/>
      <w:marRight w:val="0"/>
      <w:marTop w:val="0"/>
      <w:marBottom w:val="0"/>
      <w:divBdr>
        <w:top w:val="none" w:sz="0" w:space="0" w:color="auto"/>
        <w:left w:val="none" w:sz="0" w:space="0" w:color="auto"/>
        <w:bottom w:val="none" w:sz="0" w:space="0" w:color="auto"/>
        <w:right w:val="none" w:sz="0" w:space="0" w:color="auto"/>
      </w:divBdr>
    </w:div>
    <w:div w:id="1916356856">
      <w:bodyDiv w:val="1"/>
      <w:marLeft w:val="0"/>
      <w:marRight w:val="0"/>
      <w:marTop w:val="0"/>
      <w:marBottom w:val="0"/>
      <w:divBdr>
        <w:top w:val="none" w:sz="0" w:space="0" w:color="auto"/>
        <w:left w:val="none" w:sz="0" w:space="0" w:color="auto"/>
        <w:bottom w:val="none" w:sz="0" w:space="0" w:color="auto"/>
        <w:right w:val="none" w:sz="0" w:space="0" w:color="auto"/>
      </w:divBdr>
    </w:div>
    <w:div w:id="1924753814">
      <w:bodyDiv w:val="1"/>
      <w:marLeft w:val="0"/>
      <w:marRight w:val="0"/>
      <w:marTop w:val="0"/>
      <w:marBottom w:val="0"/>
      <w:divBdr>
        <w:top w:val="none" w:sz="0" w:space="0" w:color="auto"/>
        <w:left w:val="none" w:sz="0" w:space="0" w:color="auto"/>
        <w:bottom w:val="none" w:sz="0" w:space="0" w:color="auto"/>
        <w:right w:val="none" w:sz="0" w:space="0" w:color="auto"/>
      </w:divBdr>
    </w:div>
    <w:div w:id="1925068989">
      <w:bodyDiv w:val="1"/>
      <w:marLeft w:val="0"/>
      <w:marRight w:val="0"/>
      <w:marTop w:val="0"/>
      <w:marBottom w:val="0"/>
      <w:divBdr>
        <w:top w:val="none" w:sz="0" w:space="0" w:color="auto"/>
        <w:left w:val="none" w:sz="0" w:space="0" w:color="auto"/>
        <w:bottom w:val="none" w:sz="0" w:space="0" w:color="auto"/>
        <w:right w:val="none" w:sz="0" w:space="0" w:color="auto"/>
      </w:divBdr>
    </w:div>
    <w:div w:id="1926255539">
      <w:bodyDiv w:val="1"/>
      <w:marLeft w:val="0"/>
      <w:marRight w:val="0"/>
      <w:marTop w:val="0"/>
      <w:marBottom w:val="0"/>
      <w:divBdr>
        <w:top w:val="none" w:sz="0" w:space="0" w:color="auto"/>
        <w:left w:val="none" w:sz="0" w:space="0" w:color="auto"/>
        <w:bottom w:val="none" w:sz="0" w:space="0" w:color="auto"/>
        <w:right w:val="none" w:sz="0" w:space="0" w:color="auto"/>
      </w:divBdr>
    </w:div>
    <w:div w:id="1927642226">
      <w:bodyDiv w:val="1"/>
      <w:marLeft w:val="0"/>
      <w:marRight w:val="0"/>
      <w:marTop w:val="0"/>
      <w:marBottom w:val="0"/>
      <w:divBdr>
        <w:top w:val="none" w:sz="0" w:space="0" w:color="auto"/>
        <w:left w:val="none" w:sz="0" w:space="0" w:color="auto"/>
        <w:bottom w:val="none" w:sz="0" w:space="0" w:color="auto"/>
        <w:right w:val="none" w:sz="0" w:space="0" w:color="auto"/>
      </w:divBdr>
    </w:div>
    <w:div w:id="1929850312">
      <w:bodyDiv w:val="1"/>
      <w:marLeft w:val="0"/>
      <w:marRight w:val="0"/>
      <w:marTop w:val="0"/>
      <w:marBottom w:val="0"/>
      <w:divBdr>
        <w:top w:val="none" w:sz="0" w:space="0" w:color="auto"/>
        <w:left w:val="none" w:sz="0" w:space="0" w:color="auto"/>
        <w:bottom w:val="none" w:sz="0" w:space="0" w:color="auto"/>
        <w:right w:val="none" w:sz="0" w:space="0" w:color="auto"/>
      </w:divBdr>
    </w:div>
    <w:div w:id="1930115901">
      <w:bodyDiv w:val="1"/>
      <w:marLeft w:val="0"/>
      <w:marRight w:val="0"/>
      <w:marTop w:val="0"/>
      <w:marBottom w:val="0"/>
      <w:divBdr>
        <w:top w:val="none" w:sz="0" w:space="0" w:color="auto"/>
        <w:left w:val="none" w:sz="0" w:space="0" w:color="auto"/>
        <w:bottom w:val="none" w:sz="0" w:space="0" w:color="auto"/>
        <w:right w:val="none" w:sz="0" w:space="0" w:color="auto"/>
      </w:divBdr>
    </w:div>
    <w:div w:id="1930234727">
      <w:bodyDiv w:val="1"/>
      <w:marLeft w:val="0"/>
      <w:marRight w:val="0"/>
      <w:marTop w:val="0"/>
      <w:marBottom w:val="0"/>
      <w:divBdr>
        <w:top w:val="none" w:sz="0" w:space="0" w:color="auto"/>
        <w:left w:val="none" w:sz="0" w:space="0" w:color="auto"/>
        <w:bottom w:val="none" w:sz="0" w:space="0" w:color="auto"/>
        <w:right w:val="none" w:sz="0" w:space="0" w:color="auto"/>
      </w:divBdr>
    </w:div>
    <w:div w:id="1940749497">
      <w:bodyDiv w:val="1"/>
      <w:marLeft w:val="0"/>
      <w:marRight w:val="0"/>
      <w:marTop w:val="0"/>
      <w:marBottom w:val="0"/>
      <w:divBdr>
        <w:top w:val="none" w:sz="0" w:space="0" w:color="auto"/>
        <w:left w:val="none" w:sz="0" w:space="0" w:color="auto"/>
        <w:bottom w:val="none" w:sz="0" w:space="0" w:color="auto"/>
        <w:right w:val="none" w:sz="0" w:space="0" w:color="auto"/>
      </w:divBdr>
    </w:div>
    <w:div w:id="1942882373">
      <w:bodyDiv w:val="1"/>
      <w:marLeft w:val="0"/>
      <w:marRight w:val="0"/>
      <w:marTop w:val="0"/>
      <w:marBottom w:val="0"/>
      <w:divBdr>
        <w:top w:val="none" w:sz="0" w:space="0" w:color="auto"/>
        <w:left w:val="none" w:sz="0" w:space="0" w:color="auto"/>
        <w:bottom w:val="none" w:sz="0" w:space="0" w:color="auto"/>
        <w:right w:val="none" w:sz="0" w:space="0" w:color="auto"/>
      </w:divBdr>
    </w:div>
    <w:div w:id="1948656878">
      <w:bodyDiv w:val="1"/>
      <w:marLeft w:val="0"/>
      <w:marRight w:val="0"/>
      <w:marTop w:val="0"/>
      <w:marBottom w:val="0"/>
      <w:divBdr>
        <w:top w:val="none" w:sz="0" w:space="0" w:color="auto"/>
        <w:left w:val="none" w:sz="0" w:space="0" w:color="auto"/>
        <w:bottom w:val="none" w:sz="0" w:space="0" w:color="auto"/>
        <w:right w:val="none" w:sz="0" w:space="0" w:color="auto"/>
      </w:divBdr>
    </w:div>
    <w:div w:id="1949970396">
      <w:bodyDiv w:val="1"/>
      <w:marLeft w:val="0"/>
      <w:marRight w:val="0"/>
      <w:marTop w:val="0"/>
      <w:marBottom w:val="0"/>
      <w:divBdr>
        <w:top w:val="none" w:sz="0" w:space="0" w:color="auto"/>
        <w:left w:val="none" w:sz="0" w:space="0" w:color="auto"/>
        <w:bottom w:val="none" w:sz="0" w:space="0" w:color="auto"/>
        <w:right w:val="none" w:sz="0" w:space="0" w:color="auto"/>
      </w:divBdr>
    </w:div>
    <w:div w:id="1952856800">
      <w:bodyDiv w:val="1"/>
      <w:marLeft w:val="0"/>
      <w:marRight w:val="0"/>
      <w:marTop w:val="0"/>
      <w:marBottom w:val="0"/>
      <w:divBdr>
        <w:top w:val="none" w:sz="0" w:space="0" w:color="auto"/>
        <w:left w:val="none" w:sz="0" w:space="0" w:color="auto"/>
        <w:bottom w:val="none" w:sz="0" w:space="0" w:color="auto"/>
        <w:right w:val="none" w:sz="0" w:space="0" w:color="auto"/>
      </w:divBdr>
    </w:div>
    <w:div w:id="1955090894">
      <w:bodyDiv w:val="1"/>
      <w:marLeft w:val="0"/>
      <w:marRight w:val="0"/>
      <w:marTop w:val="0"/>
      <w:marBottom w:val="0"/>
      <w:divBdr>
        <w:top w:val="none" w:sz="0" w:space="0" w:color="auto"/>
        <w:left w:val="none" w:sz="0" w:space="0" w:color="auto"/>
        <w:bottom w:val="none" w:sz="0" w:space="0" w:color="auto"/>
        <w:right w:val="none" w:sz="0" w:space="0" w:color="auto"/>
      </w:divBdr>
    </w:div>
    <w:div w:id="1955863838">
      <w:bodyDiv w:val="1"/>
      <w:marLeft w:val="0"/>
      <w:marRight w:val="0"/>
      <w:marTop w:val="0"/>
      <w:marBottom w:val="0"/>
      <w:divBdr>
        <w:top w:val="none" w:sz="0" w:space="0" w:color="auto"/>
        <w:left w:val="none" w:sz="0" w:space="0" w:color="auto"/>
        <w:bottom w:val="none" w:sz="0" w:space="0" w:color="auto"/>
        <w:right w:val="none" w:sz="0" w:space="0" w:color="auto"/>
      </w:divBdr>
    </w:div>
    <w:div w:id="1961108769">
      <w:bodyDiv w:val="1"/>
      <w:marLeft w:val="0"/>
      <w:marRight w:val="0"/>
      <w:marTop w:val="0"/>
      <w:marBottom w:val="0"/>
      <w:divBdr>
        <w:top w:val="none" w:sz="0" w:space="0" w:color="auto"/>
        <w:left w:val="none" w:sz="0" w:space="0" w:color="auto"/>
        <w:bottom w:val="none" w:sz="0" w:space="0" w:color="auto"/>
        <w:right w:val="none" w:sz="0" w:space="0" w:color="auto"/>
      </w:divBdr>
    </w:div>
    <w:div w:id="1963681297">
      <w:bodyDiv w:val="1"/>
      <w:marLeft w:val="0"/>
      <w:marRight w:val="0"/>
      <w:marTop w:val="0"/>
      <w:marBottom w:val="0"/>
      <w:divBdr>
        <w:top w:val="none" w:sz="0" w:space="0" w:color="auto"/>
        <w:left w:val="none" w:sz="0" w:space="0" w:color="auto"/>
        <w:bottom w:val="none" w:sz="0" w:space="0" w:color="auto"/>
        <w:right w:val="none" w:sz="0" w:space="0" w:color="auto"/>
      </w:divBdr>
    </w:div>
    <w:div w:id="1964191393">
      <w:bodyDiv w:val="1"/>
      <w:marLeft w:val="0"/>
      <w:marRight w:val="0"/>
      <w:marTop w:val="0"/>
      <w:marBottom w:val="0"/>
      <w:divBdr>
        <w:top w:val="none" w:sz="0" w:space="0" w:color="auto"/>
        <w:left w:val="none" w:sz="0" w:space="0" w:color="auto"/>
        <w:bottom w:val="none" w:sz="0" w:space="0" w:color="auto"/>
        <w:right w:val="none" w:sz="0" w:space="0" w:color="auto"/>
      </w:divBdr>
    </w:div>
    <w:div w:id="1964380315">
      <w:bodyDiv w:val="1"/>
      <w:marLeft w:val="0"/>
      <w:marRight w:val="0"/>
      <w:marTop w:val="0"/>
      <w:marBottom w:val="0"/>
      <w:divBdr>
        <w:top w:val="none" w:sz="0" w:space="0" w:color="auto"/>
        <w:left w:val="none" w:sz="0" w:space="0" w:color="auto"/>
        <w:bottom w:val="none" w:sz="0" w:space="0" w:color="auto"/>
        <w:right w:val="none" w:sz="0" w:space="0" w:color="auto"/>
      </w:divBdr>
    </w:div>
    <w:div w:id="1969240084">
      <w:bodyDiv w:val="1"/>
      <w:marLeft w:val="0"/>
      <w:marRight w:val="0"/>
      <w:marTop w:val="0"/>
      <w:marBottom w:val="0"/>
      <w:divBdr>
        <w:top w:val="none" w:sz="0" w:space="0" w:color="auto"/>
        <w:left w:val="none" w:sz="0" w:space="0" w:color="auto"/>
        <w:bottom w:val="none" w:sz="0" w:space="0" w:color="auto"/>
        <w:right w:val="none" w:sz="0" w:space="0" w:color="auto"/>
      </w:divBdr>
    </w:div>
    <w:div w:id="1971587817">
      <w:bodyDiv w:val="1"/>
      <w:marLeft w:val="0"/>
      <w:marRight w:val="0"/>
      <w:marTop w:val="0"/>
      <w:marBottom w:val="0"/>
      <w:divBdr>
        <w:top w:val="none" w:sz="0" w:space="0" w:color="auto"/>
        <w:left w:val="none" w:sz="0" w:space="0" w:color="auto"/>
        <w:bottom w:val="none" w:sz="0" w:space="0" w:color="auto"/>
        <w:right w:val="none" w:sz="0" w:space="0" w:color="auto"/>
      </w:divBdr>
    </w:div>
    <w:div w:id="1974211782">
      <w:bodyDiv w:val="1"/>
      <w:marLeft w:val="0"/>
      <w:marRight w:val="0"/>
      <w:marTop w:val="0"/>
      <w:marBottom w:val="0"/>
      <w:divBdr>
        <w:top w:val="none" w:sz="0" w:space="0" w:color="auto"/>
        <w:left w:val="none" w:sz="0" w:space="0" w:color="auto"/>
        <w:bottom w:val="none" w:sz="0" w:space="0" w:color="auto"/>
        <w:right w:val="none" w:sz="0" w:space="0" w:color="auto"/>
      </w:divBdr>
    </w:div>
    <w:div w:id="1979259008">
      <w:bodyDiv w:val="1"/>
      <w:marLeft w:val="0"/>
      <w:marRight w:val="0"/>
      <w:marTop w:val="0"/>
      <w:marBottom w:val="0"/>
      <w:divBdr>
        <w:top w:val="none" w:sz="0" w:space="0" w:color="auto"/>
        <w:left w:val="none" w:sz="0" w:space="0" w:color="auto"/>
        <w:bottom w:val="none" w:sz="0" w:space="0" w:color="auto"/>
        <w:right w:val="none" w:sz="0" w:space="0" w:color="auto"/>
      </w:divBdr>
    </w:div>
    <w:div w:id="1982269306">
      <w:bodyDiv w:val="1"/>
      <w:marLeft w:val="0"/>
      <w:marRight w:val="0"/>
      <w:marTop w:val="0"/>
      <w:marBottom w:val="0"/>
      <w:divBdr>
        <w:top w:val="none" w:sz="0" w:space="0" w:color="auto"/>
        <w:left w:val="none" w:sz="0" w:space="0" w:color="auto"/>
        <w:bottom w:val="none" w:sz="0" w:space="0" w:color="auto"/>
        <w:right w:val="none" w:sz="0" w:space="0" w:color="auto"/>
      </w:divBdr>
    </w:div>
    <w:div w:id="1983801616">
      <w:bodyDiv w:val="1"/>
      <w:marLeft w:val="0"/>
      <w:marRight w:val="0"/>
      <w:marTop w:val="0"/>
      <w:marBottom w:val="0"/>
      <w:divBdr>
        <w:top w:val="none" w:sz="0" w:space="0" w:color="auto"/>
        <w:left w:val="none" w:sz="0" w:space="0" w:color="auto"/>
        <w:bottom w:val="none" w:sz="0" w:space="0" w:color="auto"/>
        <w:right w:val="none" w:sz="0" w:space="0" w:color="auto"/>
      </w:divBdr>
    </w:div>
    <w:div w:id="1986353475">
      <w:bodyDiv w:val="1"/>
      <w:marLeft w:val="0"/>
      <w:marRight w:val="0"/>
      <w:marTop w:val="0"/>
      <w:marBottom w:val="0"/>
      <w:divBdr>
        <w:top w:val="none" w:sz="0" w:space="0" w:color="auto"/>
        <w:left w:val="none" w:sz="0" w:space="0" w:color="auto"/>
        <w:bottom w:val="none" w:sz="0" w:space="0" w:color="auto"/>
        <w:right w:val="none" w:sz="0" w:space="0" w:color="auto"/>
      </w:divBdr>
    </w:div>
    <w:div w:id="1987586016">
      <w:bodyDiv w:val="1"/>
      <w:marLeft w:val="0"/>
      <w:marRight w:val="0"/>
      <w:marTop w:val="0"/>
      <w:marBottom w:val="0"/>
      <w:divBdr>
        <w:top w:val="none" w:sz="0" w:space="0" w:color="auto"/>
        <w:left w:val="none" w:sz="0" w:space="0" w:color="auto"/>
        <w:bottom w:val="none" w:sz="0" w:space="0" w:color="auto"/>
        <w:right w:val="none" w:sz="0" w:space="0" w:color="auto"/>
      </w:divBdr>
    </w:div>
    <w:div w:id="1987972557">
      <w:bodyDiv w:val="1"/>
      <w:marLeft w:val="0"/>
      <w:marRight w:val="0"/>
      <w:marTop w:val="0"/>
      <w:marBottom w:val="0"/>
      <w:divBdr>
        <w:top w:val="none" w:sz="0" w:space="0" w:color="auto"/>
        <w:left w:val="none" w:sz="0" w:space="0" w:color="auto"/>
        <w:bottom w:val="none" w:sz="0" w:space="0" w:color="auto"/>
        <w:right w:val="none" w:sz="0" w:space="0" w:color="auto"/>
      </w:divBdr>
    </w:div>
    <w:div w:id="1989092874">
      <w:bodyDiv w:val="1"/>
      <w:marLeft w:val="0"/>
      <w:marRight w:val="0"/>
      <w:marTop w:val="0"/>
      <w:marBottom w:val="0"/>
      <w:divBdr>
        <w:top w:val="none" w:sz="0" w:space="0" w:color="auto"/>
        <w:left w:val="none" w:sz="0" w:space="0" w:color="auto"/>
        <w:bottom w:val="none" w:sz="0" w:space="0" w:color="auto"/>
        <w:right w:val="none" w:sz="0" w:space="0" w:color="auto"/>
      </w:divBdr>
    </w:div>
    <w:div w:id="1992977650">
      <w:bodyDiv w:val="1"/>
      <w:marLeft w:val="0"/>
      <w:marRight w:val="0"/>
      <w:marTop w:val="0"/>
      <w:marBottom w:val="0"/>
      <w:divBdr>
        <w:top w:val="none" w:sz="0" w:space="0" w:color="auto"/>
        <w:left w:val="none" w:sz="0" w:space="0" w:color="auto"/>
        <w:bottom w:val="none" w:sz="0" w:space="0" w:color="auto"/>
        <w:right w:val="none" w:sz="0" w:space="0" w:color="auto"/>
      </w:divBdr>
    </w:div>
    <w:div w:id="2011133203">
      <w:bodyDiv w:val="1"/>
      <w:marLeft w:val="0"/>
      <w:marRight w:val="0"/>
      <w:marTop w:val="0"/>
      <w:marBottom w:val="0"/>
      <w:divBdr>
        <w:top w:val="none" w:sz="0" w:space="0" w:color="auto"/>
        <w:left w:val="none" w:sz="0" w:space="0" w:color="auto"/>
        <w:bottom w:val="none" w:sz="0" w:space="0" w:color="auto"/>
        <w:right w:val="none" w:sz="0" w:space="0" w:color="auto"/>
      </w:divBdr>
    </w:div>
    <w:div w:id="202219645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6030769">
      <w:bodyDiv w:val="1"/>
      <w:marLeft w:val="0"/>
      <w:marRight w:val="0"/>
      <w:marTop w:val="0"/>
      <w:marBottom w:val="0"/>
      <w:divBdr>
        <w:top w:val="none" w:sz="0" w:space="0" w:color="auto"/>
        <w:left w:val="none" w:sz="0" w:space="0" w:color="auto"/>
        <w:bottom w:val="none" w:sz="0" w:space="0" w:color="auto"/>
        <w:right w:val="none" w:sz="0" w:space="0" w:color="auto"/>
      </w:divBdr>
    </w:div>
    <w:div w:id="2036148501">
      <w:bodyDiv w:val="1"/>
      <w:marLeft w:val="0"/>
      <w:marRight w:val="0"/>
      <w:marTop w:val="0"/>
      <w:marBottom w:val="0"/>
      <w:divBdr>
        <w:top w:val="none" w:sz="0" w:space="0" w:color="auto"/>
        <w:left w:val="none" w:sz="0" w:space="0" w:color="auto"/>
        <w:bottom w:val="none" w:sz="0" w:space="0" w:color="auto"/>
        <w:right w:val="none" w:sz="0" w:space="0" w:color="auto"/>
      </w:divBdr>
    </w:div>
    <w:div w:id="2039618096">
      <w:bodyDiv w:val="1"/>
      <w:marLeft w:val="0"/>
      <w:marRight w:val="0"/>
      <w:marTop w:val="0"/>
      <w:marBottom w:val="0"/>
      <w:divBdr>
        <w:top w:val="none" w:sz="0" w:space="0" w:color="auto"/>
        <w:left w:val="none" w:sz="0" w:space="0" w:color="auto"/>
        <w:bottom w:val="none" w:sz="0" w:space="0" w:color="auto"/>
        <w:right w:val="none" w:sz="0" w:space="0" w:color="auto"/>
      </w:divBdr>
    </w:div>
    <w:div w:id="2043439594">
      <w:bodyDiv w:val="1"/>
      <w:marLeft w:val="0"/>
      <w:marRight w:val="0"/>
      <w:marTop w:val="0"/>
      <w:marBottom w:val="0"/>
      <w:divBdr>
        <w:top w:val="none" w:sz="0" w:space="0" w:color="auto"/>
        <w:left w:val="none" w:sz="0" w:space="0" w:color="auto"/>
        <w:bottom w:val="none" w:sz="0" w:space="0" w:color="auto"/>
        <w:right w:val="none" w:sz="0" w:space="0" w:color="auto"/>
      </w:divBdr>
    </w:div>
    <w:div w:id="2044212223">
      <w:bodyDiv w:val="1"/>
      <w:marLeft w:val="0"/>
      <w:marRight w:val="0"/>
      <w:marTop w:val="0"/>
      <w:marBottom w:val="0"/>
      <w:divBdr>
        <w:top w:val="none" w:sz="0" w:space="0" w:color="auto"/>
        <w:left w:val="none" w:sz="0" w:space="0" w:color="auto"/>
        <w:bottom w:val="none" w:sz="0" w:space="0" w:color="auto"/>
        <w:right w:val="none" w:sz="0" w:space="0" w:color="auto"/>
      </w:divBdr>
    </w:div>
    <w:div w:id="2048407531">
      <w:bodyDiv w:val="1"/>
      <w:marLeft w:val="0"/>
      <w:marRight w:val="0"/>
      <w:marTop w:val="0"/>
      <w:marBottom w:val="0"/>
      <w:divBdr>
        <w:top w:val="none" w:sz="0" w:space="0" w:color="auto"/>
        <w:left w:val="none" w:sz="0" w:space="0" w:color="auto"/>
        <w:bottom w:val="none" w:sz="0" w:space="0" w:color="auto"/>
        <w:right w:val="none" w:sz="0" w:space="0" w:color="auto"/>
      </w:divBdr>
    </w:div>
    <w:div w:id="2055883788">
      <w:bodyDiv w:val="1"/>
      <w:marLeft w:val="0"/>
      <w:marRight w:val="0"/>
      <w:marTop w:val="0"/>
      <w:marBottom w:val="0"/>
      <w:divBdr>
        <w:top w:val="none" w:sz="0" w:space="0" w:color="auto"/>
        <w:left w:val="none" w:sz="0" w:space="0" w:color="auto"/>
        <w:bottom w:val="none" w:sz="0" w:space="0" w:color="auto"/>
        <w:right w:val="none" w:sz="0" w:space="0" w:color="auto"/>
      </w:divBdr>
    </w:div>
    <w:div w:id="2062319562">
      <w:bodyDiv w:val="1"/>
      <w:marLeft w:val="0"/>
      <w:marRight w:val="0"/>
      <w:marTop w:val="0"/>
      <w:marBottom w:val="0"/>
      <w:divBdr>
        <w:top w:val="none" w:sz="0" w:space="0" w:color="auto"/>
        <w:left w:val="none" w:sz="0" w:space="0" w:color="auto"/>
        <w:bottom w:val="none" w:sz="0" w:space="0" w:color="auto"/>
        <w:right w:val="none" w:sz="0" w:space="0" w:color="auto"/>
      </w:divBdr>
    </w:div>
    <w:div w:id="2063209035">
      <w:bodyDiv w:val="1"/>
      <w:marLeft w:val="0"/>
      <w:marRight w:val="0"/>
      <w:marTop w:val="0"/>
      <w:marBottom w:val="0"/>
      <w:divBdr>
        <w:top w:val="none" w:sz="0" w:space="0" w:color="auto"/>
        <w:left w:val="none" w:sz="0" w:space="0" w:color="auto"/>
        <w:bottom w:val="none" w:sz="0" w:space="0" w:color="auto"/>
        <w:right w:val="none" w:sz="0" w:space="0" w:color="auto"/>
      </w:divBdr>
    </w:div>
    <w:div w:id="2068796239">
      <w:bodyDiv w:val="1"/>
      <w:marLeft w:val="0"/>
      <w:marRight w:val="0"/>
      <w:marTop w:val="0"/>
      <w:marBottom w:val="0"/>
      <w:divBdr>
        <w:top w:val="none" w:sz="0" w:space="0" w:color="auto"/>
        <w:left w:val="none" w:sz="0" w:space="0" w:color="auto"/>
        <w:bottom w:val="none" w:sz="0" w:space="0" w:color="auto"/>
        <w:right w:val="none" w:sz="0" w:space="0" w:color="auto"/>
      </w:divBdr>
    </w:div>
    <w:div w:id="2073307541">
      <w:bodyDiv w:val="1"/>
      <w:marLeft w:val="0"/>
      <w:marRight w:val="0"/>
      <w:marTop w:val="0"/>
      <w:marBottom w:val="0"/>
      <w:divBdr>
        <w:top w:val="none" w:sz="0" w:space="0" w:color="auto"/>
        <w:left w:val="none" w:sz="0" w:space="0" w:color="auto"/>
        <w:bottom w:val="none" w:sz="0" w:space="0" w:color="auto"/>
        <w:right w:val="none" w:sz="0" w:space="0" w:color="auto"/>
      </w:divBdr>
    </w:div>
    <w:div w:id="2077362759">
      <w:bodyDiv w:val="1"/>
      <w:marLeft w:val="0"/>
      <w:marRight w:val="0"/>
      <w:marTop w:val="0"/>
      <w:marBottom w:val="0"/>
      <w:divBdr>
        <w:top w:val="none" w:sz="0" w:space="0" w:color="auto"/>
        <w:left w:val="none" w:sz="0" w:space="0" w:color="auto"/>
        <w:bottom w:val="none" w:sz="0" w:space="0" w:color="auto"/>
        <w:right w:val="none" w:sz="0" w:space="0" w:color="auto"/>
      </w:divBdr>
    </w:div>
    <w:div w:id="20827520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073852">
      <w:bodyDiv w:val="1"/>
      <w:marLeft w:val="0"/>
      <w:marRight w:val="0"/>
      <w:marTop w:val="0"/>
      <w:marBottom w:val="0"/>
      <w:divBdr>
        <w:top w:val="none" w:sz="0" w:space="0" w:color="auto"/>
        <w:left w:val="none" w:sz="0" w:space="0" w:color="auto"/>
        <w:bottom w:val="none" w:sz="0" w:space="0" w:color="auto"/>
        <w:right w:val="none" w:sz="0" w:space="0" w:color="auto"/>
      </w:divBdr>
    </w:div>
    <w:div w:id="208819196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8060696">
      <w:bodyDiv w:val="1"/>
      <w:marLeft w:val="0"/>
      <w:marRight w:val="0"/>
      <w:marTop w:val="0"/>
      <w:marBottom w:val="0"/>
      <w:divBdr>
        <w:top w:val="none" w:sz="0" w:space="0" w:color="auto"/>
        <w:left w:val="none" w:sz="0" w:space="0" w:color="auto"/>
        <w:bottom w:val="none" w:sz="0" w:space="0" w:color="auto"/>
        <w:right w:val="none" w:sz="0" w:space="0" w:color="auto"/>
      </w:divBdr>
    </w:div>
    <w:div w:id="2125878759">
      <w:bodyDiv w:val="1"/>
      <w:marLeft w:val="0"/>
      <w:marRight w:val="0"/>
      <w:marTop w:val="0"/>
      <w:marBottom w:val="0"/>
      <w:divBdr>
        <w:top w:val="none" w:sz="0" w:space="0" w:color="auto"/>
        <w:left w:val="none" w:sz="0" w:space="0" w:color="auto"/>
        <w:bottom w:val="none" w:sz="0" w:space="0" w:color="auto"/>
        <w:right w:val="none" w:sz="0" w:space="0" w:color="auto"/>
      </w:divBdr>
    </w:div>
    <w:div w:id="2131705314">
      <w:bodyDiv w:val="1"/>
      <w:marLeft w:val="0"/>
      <w:marRight w:val="0"/>
      <w:marTop w:val="0"/>
      <w:marBottom w:val="0"/>
      <w:divBdr>
        <w:top w:val="none" w:sz="0" w:space="0" w:color="auto"/>
        <w:left w:val="none" w:sz="0" w:space="0" w:color="auto"/>
        <w:bottom w:val="none" w:sz="0" w:space="0" w:color="auto"/>
        <w:right w:val="none" w:sz="0" w:space="0" w:color="auto"/>
      </w:divBdr>
    </w:div>
    <w:div w:id="2132547400">
      <w:bodyDiv w:val="1"/>
      <w:marLeft w:val="0"/>
      <w:marRight w:val="0"/>
      <w:marTop w:val="0"/>
      <w:marBottom w:val="0"/>
      <w:divBdr>
        <w:top w:val="none" w:sz="0" w:space="0" w:color="auto"/>
        <w:left w:val="none" w:sz="0" w:space="0" w:color="auto"/>
        <w:bottom w:val="none" w:sz="0" w:space="0" w:color="auto"/>
        <w:right w:val="none" w:sz="0" w:space="0" w:color="auto"/>
      </w:divBdr>
    </w:div>
    <w:div w:id="2132894835">
      <w:bodyDiv w:val="1"/>
      <w:marLeft w:val="0"/>
      <w:marRight w:val="0"/>
      <w:marTop w:val="0"/>
      <w:marBottom w:val="0"/>
      <w:divBdr>
        <w:top w:val="none" w:sz="0" w:space="0" w:color="auto"/>
        <w:left w:val="none" w:sz="0" w:space="0" w:color="auto"/>
        <w:bottom w:val="none" w:sz="0" w:space="0" w:color="auto"/>
        <w:right w:val="none" w:sz="0" w:space="0" w:color="auto"/>
      </w:divBdr>
    </w:div>
    <w:div w:id="2133749391">
      <w:bodyDiv w:val="1"/>
      <w:marLeft w:val="0"/>
      <w:marRight w:val="0"/>
      <w:marTop w:val="0"/>
      <w:marBottom w:val="0"/>
      <w:divBdr>
        <w:top w:val="none" w:sz="0" w:space="0" w:color="auto"/>
        <w:left w:val="none" w:sz="0" w:space="0" w:color="auto"/>
        <w:bottom w:val="none" w:sz="0" w:space="0" w:color="auto"/>
        <w:right w:val="none" w:sz="0" w:space="0" w:color="auto"/>
      </w:divBdr>
    </w:div>
    <w:div w:id="2142187009">
      <w:bodyDiv w:val="1"/>
      <w:marLeft w:val="0"/>
      <w:marRight w:val="0"/>
      <w:marTop w:val="0"/>
      <w:marBottom w:val="0"/>
      <w:divBdr>
        <w:top w:val="none" w:sz="0" w:space="0" w:color="auto"/>
        <w:left w:val="none" w:sz="0" w:space="0" w:color="auto"/>
        <w:bottom w:val="none" w:sz="0" w:space="0" w:color="auto"/>
        <w:right w:val="none" w:sz="0" w:space="0" w:color="auto"/>
      </w:divBdr>
    </w:div>
    <w:div w:id="2142187902">
      <w:bodyDiv w:val="1"/>
      <w:marLeft w:val="0"/>
      <w:marRight w:val="0"/>
      <w:marTop w:val="0"/>
      <w:marBottom w:val="0"/>
      <w:divBdr>
        <w:top w:val="none" w:sz="0" w:space="0" w:color="auto"/>
        <w:left w:val="none" w:sz="0" w:space="0" w:color="auto"/>
        <w:bottom w:val="none" w:sz="0" w:space="0" w:color="auto"/>
        <w:right w:val="none" w:sz="0" w:space="0" w:color="auto"/>
      </w:divBdr>
    </w:div>
    <w:div w:id="2143884820">
      <w:bodyDiv w:val="1"/>
      <w:marLeft w:val="0"/>
      <w:marRight w:val="0"/>
      <w:marTop w:val="0"/>
      <w:marBottom w:val="0"/>
      <w:divBdr>
        <w:top w:val="none" w:sz="0" w:space="0" w:color="auto"/>
        <w:left w:val="none" w:sz="0" w:space="0" w:color="auto"/>
        <w:bottom w:val="none" w:sz="0" w:space="0" w:color="auto"/>
        <w:right w:val="none" w:sz="0" w:space="0" w:color="auto"/>
      </w:divBdr>
    </w:div>
    <w:div w:id="2144225375">
      <w:bodyDiv w:val="1"/>
      <w:marLeft w:val="0"/>
      <w:marRight w:val="0"/>
      <w:marTop w:val="0"/>
      <w:marBottom w:val="0"/>
      <w:divBdr>
        <w:top w:val="none" w:sz="0" w:space="0" w:color="auto"/>
        <w:left w:val="none" w:sz="0" w:space="0" w:color="auto"/>
        <w:bottom w:val="none" w:sz="0" w:space="0" w:color="auto"/>
        <w:right w:val="none" w:sz="0" w:space="0" w:color="auto"/>
      </w:divBdr>
    </w:div>
    <w:div w:id="214538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hyperlink" Target="https://www.onr.org.uk/agency-agreements-mou.ht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2687"/>
    <w:rsid w:val="00080D60"/>
    <w:rsid w:val="000A0C3B"/>
    <w:rsid w:val="000A4099"/>
    <w:rsid w:val="00150B2F"/>
    <w:rsid w:val="00164B5A"/>
    <w:rsid w:val="00252452"/>
    <w:rsid w:val="002550FD"/>
    <w:rsid w:val="00256172"/>
    <w:rsid w:val="00350199"/>
    <w:rsid w:val="003C5A45"/>
    <w:rsid w:val="004C2BEE"/>
    <w:rsid w:val="005802B5"/>
    <w:rsid w:val="007154C5"/>
    <w:rsid w:val="00780C80"/>
    <w:rsid w:val="007A0A2B"/>
    <w:rsid w:val="007B144F"/>
    <w:rsid w:val="0082164B"/>
    <w:rsid w:val="00835E07"/>
    <w:rsid w:val="008C47CF"/>
    <w:rsid w:val="00972B41"/>
    <w:rsid w:val="00A271F0"/>
    <w:rsid w:val="00AD1C6C"/>
    <w:rsid w:val="00B84346"/>
    <w:rsid w:val="00CA10A9"/>
    <w:rsid w:val="00CD10A9"/>
    <w:rsid w:val="00D618F4"/>
    <w:rsid w:val="00D75606"/>
    <w:rsid w:val="00DB4022"/>
    <w:rsid w:val="00DD7BA4"/>
    <w:rsid w:val="00DF63D0"/>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Envregwebsite</b:Tag>
    <b:SourceType>Book</b:SourceType>
    <b:Guid>{6DCF86C8-4203-4645-A1FE-13068215CFFC}</b:Guid>
    <b:Title>RSR guidance for nuclear sites undergoing decommissioning, February 2024, https://www.gov.uk/government/publications/the-decommissioning-of-nuclear-facilities/rsr-guidance-for-nuclear-sites-undergoing-decommissioning#:~:text=You%20will%20have%20a%20decom </b:Title>
    <b:RefOrder>28</b:RefOrder>
  </b:Source>
  <b:Source>
    <b:Tag>NSperpol001</b:Tag>
    <b:SourceType>ElectronicSource</b:SourceType>
    <b:Guid>{7172BAC7-2015-48A9-AAC4-2DB35E5133B8}</b:Guid>
    <b:Title>NS-PER-POL-001 - Criterion for Delicensing Nuclear Sites (Issue 1)</b:Title>
    <b:Author>
      <b:Author>
        <b:Corporate>ONR</b:Corporate>
      </b:Author>
    </b:Author>
    <b:Year>2021</b:Year>
    <b:RefOrder>6</b:RefOrder>
  </b:Source>
  <b:Source>
    <b:Tag>NSGDper019</b:Tag>
    <b:SourceType>ElectronicSource</b:SourceType>
    <b:Guid>{08080AFC-0238-4E5B-BA7F-E2A520C1AC90}</b:Guid>
    <b:Title>NS-GD-PER-019 - Guidance to inspectors on the interpretation and implementation of the ONR criterion of no danger for the delicensing of nuclear sites (Issue 1)</b:Title>
    <b:Year>2021</b:Year>
    <b:Author>
      <b:Author>
        <b:Corporate>ONR</b:Corporate>
      </b:Author>
    </b:Author>
    <b:RefOrder>7</b:RefOrder>
  </b:Source>
  <b:Source>
    <b:Tag>HSECD</b:Tag>
    <b:SourceType>ElectronicSource</b:SourceType>
    <b:Guid>{D5680374-B425-4311-86CB-F9695E200C4E}</b:Guid>
    <b:Title>Delicensing Guidance: Guidance to inspectors on the interpretation and implementation of the HSE policy criterion of no danger for the delicensing of nuclear sites</b:Title>
    <b:Author>
      <b:Author>
        <b:Corporate>HSE</b:Corporate>
      </b:Author>
    </b:Author>
    <b:Year>2008</b:Year>
    <b:RefOrder>4</b:RefOrder>
  </b:Source>
  <b:Source>
    <b:Tag>TEA13</b:Tag>
    <b:SourceType>InternetSite</b:SourceType>
    <b:Guid>{70DA3296-850F-4672-BA21-959E5B37BBEC}</b:Guid>
    <b:Title>The Energy Act 2013</b:Title>
    <b:Author>
      <b:Author>
        <b:Corporate>HM Government</b:Corporate>
      </b:Author>
    </b:Author>
    <b:Year>2013</b:Year>
    <b:URL>https://www.legislation.gov.uk/ukpga/2013/32/contents/enacted</b:URL>
    <b:RefOrder>5</b:RefOrder>
  </b:Source>
  <b:Source>
    <b:Tag>HSEC</b:Tag>
    <b:SourceType>Report</b:SourceType>
    <b:Guid>{A4539A57-313F-4EF0-B2CE-C8FFFC9E53F5}</b:Guid>
    <b:Title>Criterion for Delicenisng Nuclear Sites</b:Title>
    <b:Year>2005</b:Year>
    <b:Author>
      <b:Author>
        <b:Corporate>HSE</b:Corporate>
      </b:Author>
    </b:Author>
    <b:RefOrder>3</b:RefOrder>
  </b:Source>
  <b:Source>
    <b:Tag>NIA65</b:Tag>
    <b:SourceType>InternetSite</b:SourceType>
    <b:Guid>{4D5AA880-14C6-4282-9970-81A6D3A34B5F}</b:Guid>
    <b:Title>Nuclear Installations Act 1965 (as amended)</b:Title>
    <b:Author>
      <b:Author>
        <b:Corporate>HM Government</b:Corporate>
      </b:Author>
    </b:Author>
    <b:Year>1965</b:Year>
    <b:URL>https://www.legislation.gov.uk/ukpga/1965/57</b:URL>
    <b:RefOrder>2</b:RefOrder>
  </b:Source>
  <b:Source>
    <b:Tag>Del24P</b:Tag>
    <b:SourceType>ElectronicSource</b:SourceType>
    <b:Guid>{60EA918B-F2D1-49C6-9554-2E3A57750440}</b:Guid>
    <b:Title>NS-PER-PROC-004 - Regulatory Processes for Delicensing Nuclear Licensed Sites (Issue 4)</b:Title>
    <b:Author>
      <b:Author>
        <b:Corporate>ONR</b:Corporate>
      </b:Author>
    </b:Author>
    <b:Year>2024</b:Year>
    <b:RefOrder>8</b:RefOrder>
  </b:Source>
  <b:Source>
    <b:Tag>TEA23</b:Tag>
    <b:SourceType>InternetSite</b:SourceType>
    <b:Guid>{2593FB7C-52CB-4995-8409-611725409A64}</b:Guid>
    <b:Title>The Energy Act 2023</b:Title>
    <b:Author>
      <b:Author>
        <b:Corporate>HM Government</b:Corporate>
      </b:Author>
    </b:Author>
    <b:Year>2023</b:Year>
    <b:URL>https://www.legislation.gov.uk/ukpga/2023/52/contents/enacted</b:URL>
    <b:RefOrder>9</b:RefOrder>
  </b:Source>
  <b:Source>
    <b:Tag>NIR71</b:Tag>
    <b:SourceType>InternetSite</b:SourceType>
    <b:Guid>{CDD23E31-C2A0-461F-BC3C-02C19DCA4DBF}</b:Guid>
    <b:Title>The Nuclear Installations Regulations 1971</b:Title>
    <b:Author>
      <b:Author>
        <b:Corporate>HM Government</b:Corporate>
      </b:Author>
    </b:Author>
    <b:Year>1971</b:Year>
    <b:URL>https://www.legislation.gov.uk/uksi/1971/381/contents/made</b:URL>
    <b:RefOrder>10</b:RefOrder>
  </b:Source>
  <b:Source>
    <b:Tag>L121_2</b:Tag>
    <b:SourceType>Book</b:SourceType>
    <b:Guid>{78CEE103-0441-494E-8866-BA627CC11331}</b:Guid>
    <b:Title>Working with Ionising Radiation. Ionising Radiations Regulations 2017. Approved Code of Practice and Guidance, L121 Second Edition, March  2018, ISBN 978-0-7176-6662-1</b:Title>
    <b:Month>March</b:Month>
    <b:Issue>Second Edition</b:Issue>
    <b:StandardNumber>L121</b:StandardNumber>
    <b:URL>www.hse.gov.uk/pubns/books/l121.htm</b:URL>
    <b:Author>
      <b:Author>
        <b:Corporate>HSE</b:Corporate>
      </b:Author>
    </b:Author>
    <b:Year>2018</b:Year>
    <b:Publisher>HSE</b:Publisher>
    <b:RefOrder>11</b:RefOrder>
  </b:Source>
  <b:Source>
    <b:Tag>EPR16</b:Tag>
    <b:SourceType>InternetSite</b:SourceType>
    <b:Guid>{F07E7D2D-36C8-4BE2-929D-57424DBCB90E}</b:Guid>
    <b:Title>The Environmental Permitting (England and Wales) Regulations 2016 (as amended)</b:Title>
    <b:StandardNumber>2016 No. 1154</b:StandardNumber>
    <b:URL>https://www.legislation.gov.uk/uksi/2016/1154/pdfs/uksi_20161154_en.pdf</b:URL>
    <b:Author>
      <b:Author>
        <b:Corporate>HM Government</b:Corporate>
      </b:Author>
    </b:Author>
    <b:Year>2016</b:Year>
    <b:RefOrder>12</b:RefOrder>
  </b:Source>
  <b:Source>
    <b:Tag>EASR18</b:Tag>
    <b:SourceType>InternetSite</b:SourceType>
    <b:Guid>{A064B8E7-089D-41C6-AAAF-C7C19CD588FD}</b:Guid>
    <b:Title>The Environmental Authorisations (Scotland) Regulations 2018</b:Title>
    <b:Author>
      <b:Author>
        <b:Corporate>HM Government</b:Corporate>
      </b:Author>
    </b:Author>
    <b:Year>2018</b:Year>
    <b:URL> https://www.legislation.gov.uk/sdsi/2018/9780111039014/contents</b:URL>
    <b:RefOrder>13</b:RefOrder>
  </b:Source>
  <b:Source>
    <b:Tag>HSW74</b:Tag>
    <b:SourceType>InternetSite</b:SourceType>
    <b:Guid>{864B6F77-4B21-46B5-A792-F0050DEA36CE}</b:Guid>
    <b:Title>Health and Safety at Work etc. Act 1974 (as amended)</b:Title>
    <b:Author>
      <b:Author>
        <b:Corporate>HM Government</b:Corporate>
      </b:Author>
    </b:Author>
    <b:Year>1974</b:Year>
    <b:URL>https://www.legislation.gov.uk/ukpga/1974/37/contents</b:URL>
    <b:RefOrder>14</b:RefOrder>
  </b:Source>
  <b:Source>
    <b:Tag>WENRADEC</b:Tag>
    <b:SourceType>InternetSite</b:SourceType>
    <b:Guid>{F2E188CA-22CD-4C09-9DBE-F8B4EC22CE60}</b:Guid>
    <b:Title>Decommissioning Safety Reference Levels, Version 2.2</b:Title>
    <b:Year>2015</b:Year>
    <b:Author>
      <b:Author>
        <b:Corporate>WENRA</b:Corporate>
      </b:Author>
    </b:Author>
    <b:Month>April</b:Month>
    <b:URL>https://www.wenra.eu/sites/default/files/publications/wgwd_report_decommissioning_srls_v2_2.pdf</b:URL>
    <b:RefOrder>15</b:RefOrder>
  </b:Source>
  <b:Source>
    <b:Tag>GSRp3</b:Tag>
    <b:SourceType>ElectronicSource</b:SourceType>
    <b:Guid>{01E9A0E6-9CE6-492B-AD55-3581968596CD}</b:Guid>
    <b:Title>IAEA, General Safety Requirements Part 3 - Radiation Protection and Safety of Radiation Sources: International Basic Safety Standards</b:Title>
    <b:Author>
      <b:Author>
        <b:Corporate>IAEA</b:Corporate>
      </b:Author>
    </b:Author>
    <b:Year>2014</b:Year>
    <b:City>Vienna</b:City>
    <b:Publisher>IAEA</b:Publisher>
    <b:RefOrder>16</b:RefOrder>
  </b:Source>
  <b:Source>
    <b:Tag>GSG17</b:Tag>
    <b:SourceType>ElectronicSource</b:SourceType>
    <b:Guid>{5971586D-C596-4BFB-9F39-D758A34957B2}</b:Guid>
    <b:Title>General Safety Guide No.17 - Application of the Concept of Exemption</b:Title>
    <b:Author>
      <b:Author>
        <b:Corporate>IAEA</b:Corporate>
      </b:Author>
    </b:Author>
    <b:Year>2023</b:Year>
    <b:City>Vienna</b:City>
    <b:Publisher>IAEA</b:Publisher>
    <b:RefOrder>17</b:RefOrder>
  </b:Source>
  <b:Source>
    <b:Tag>GSG18</b:Tag>
    <b:SourceType>ElectronicSource</b:SourceType>
    <b:Guid>{234BCAE2-9D6A-46CA-9CA9-255C42A52E93}</b:Guid>
    <b:Title>General Safety Guide No.18 - Application of the Concept of Clearance</b:Title>
    <b:Author>
      <b:Author>
        <b:Corporate>IAEA</b:Corporate>
      </b:Author>
    </b:Author>
    <b:Year>2023</b:Year>
    <b:City>Vienna</b:City>
    <b:Publisher>IAEA</b:Publisher>
    <b:RefOrder>18</b:RefOrder>
  </b:Source>
  <b:Source>
    <b:Tag>SSG47</b:Tag>
    <b:SourceType>ElectronicSource</b:SourceType>
    <b:Guid>{B9B705ED-4C6E-4C55-8924-0560C43B0C6A}</b:Guid>
    <b:Title>Specific Safety Guide No.47 - Decommissioning of Nuclear Power Plants, Research Reactors and Other Nuclear Fuel Cycle Facilties</b:Title>
    <b:Author>
      <b:Author>
        <b:Corporate>IAEA</b:Corporate>
      </b:Author>
    </b:Author>
    <b:Year>2018</b:Year>
    <b:City>Vienna</b:City>
    <b:Publisher>IAEA</b:Publisher>
    <b:RefOrder>19</b:RefOrder>
  </b:Source>
  <b:Source>
    <b:Tag>SSG49</b:Tag>
    <b:SourceType>ElectronicSource</b:SourceType>
    <b:Guid>{03B18F1A-4D31-4136-ABE4-7E35841F459F}</b:Guid>
    <b:Title>Specific Safety Guide No.49 - Decommissioining of Medical, Industrial and Research Facilities</b:Title>
    <b:Author>
      <b:Author>
        <b:Corporate>IAEA</b:Corporate>
      </b:Author>
    </b:Author>
    <b:Year>2019</b:Year>
    <b:City>Vienna</b:City>
    <b:Publisher>IAEA</b:Publisher>
    <b:RefOrder>20</b:RefOrder>
  </b:Source>
  <b:Source>
    <b:Tag>WSG51A</b:Tag>
    <b:SourceType>ElectronicSource</b:SourceType>
    <b:Guid>{CC72B5FA-F2AF-48D9-8B02-5B4F638FC1C4}</b:Guid>
    <b:Title>Safety Guide No.WS-G-5.1 - Release of Sites from Regulatory Control on Termination of Practice</b:Title>
    <b:Author>
      <b:Author>
        <b:Corporate>IAEA</b:Corporate>
      </b:Author>
    </b:Author>
    <b:Year>2006</b:Year>
    <b:City>Vienna</b:City>
    <b:Publisher>IAEA</b:Publisher>
    <b:RefOrder>21</b:RefOrder>
  </b:Source>
  <b:Source>
    <b:Tag>PHECRCE026</b:Tag>
    <b:SourceType>Book</b:SourceType>
    <b:Guid>{90B376A6-BE55-48F4-B015-B8B8F5EEC59A}</b:Guid>
    <b:Title>PHE-CRCE-026 - Ionising radiation exposure of the UK population:2010 review (ISBN 978-0-85951-783-6)</b:Title>
    <b:Year>2016</b:Year>
    <b:Publisher>PHE</b:Publisher>
    <b:Author>
      <b:Author>
        <b:Corporate>Public Health England (PHE)</b:Corporate>
      </b:Author>
    </b:Author>
    <b:RefOrder>34</b:RefOrder>
  </b:Source>
  <b:Source>
    <b:Tag>Living</b:Tag>
    <b:SourceType>Book</b:SourceType>
    <b:Guid>{DB571766-25AB-4058-8825-D60FF2F7DE35}</b:Guid>
    <b:Title>Living with Radiation, 5th edition (ISBN 0-85951-419-6)</b:Title>
    <b:Author>
      <b:Author>
        <b:Corporate>National Radiological Protection Board</b:Corporate>
      </b:Author>
    </b:Author>
    <b:Year>1998</b:Year>
    <b:RefOrder>35</b:RefOrder>
  </b:Source>
  <b:Source>
    <b:Tag>EPA90</b:Tag>
    <b:SourceType>InternetSite</b:SourceType>
    <b:Guid>{64CD6FE7-4779-4710-811B-E9BB662CA9FF}</b:Guid>
    <b:Title>Environmental Protection Act 1990</b:Title>
    <b:Author>
      <b:Author>
        <b:Corporate>HM Government</b:Corporate>
      </b:Author>
    </b:Author>
    <b:Year>1990</b:Year>
    <b:URL>https://www.legislation.gov.uk/ukpga/1990/43/contents</b:URL>
    <b:RefOrder>24</b:RefOrder>
  </b:Source>
  <b:Source>
    <b:Tag>NRPBw36</b:Tag>
    <b:SourceType>Book</b:SourceType>
    <b:Guid>{47993C27-47F1-4AEA-BB35-76C364E7C02B}</b:Guid>
    <b:Title>W-36 - Methodology for Estimating the Doses to Members of the Public from the Future Use of Land Previously Contaminated with Radioactivity (ISBN 0-85951-508-7)</b:Title>
    <b:Year>2003</b:Year>
    <b:Month>March</b:Month>
    <b:URL>https://webarchive.nationalarchives.gov.uk/ukgwa/20140721222816/http://www.hpa.org.uk/Publications/Radiation/NPRBArchive/NRPBWSeriesReports/2003nrpbw036/</b:URL>
    <b:Author>
      <b:Author>
        <b:Corporate>NRPB</b:Corporate>
      </b:Author>
    </b:Author>
    <b:RefOrder>23</b:RefOrder>
  </b:Source>
  <b:Source>
    <b:Tag>CRCE03</b:Tag>
    <b:SourceType>DocumentFromInternetSite</b:SourceType>
    <b:Guid>{842D477B-88CA-402B-9FE3-0C08B8545E59}</b:Guid>
    <b:Title>CRCE-RAD-003-2020 - Principles for assessing the radiological impact of land contaminated with radioactivity</b:Title>
    <b:Author>
      <b:Author>
        <b:Corporate>PHE</b:Corporate>
      </b:Author>
    </b:Author>
    <b:Year>2020</b:Year>
    <b:URL>https://www.ukhsa-protectionservices.org.uk/cms/assets/gfx/content/resource_4934cs4dc3ed26a2.pdf</b:URL>
    <b:RefOrder>25</b:RefOrder>
  </b:Source>
  <b:Source>
    <b:Tag>Safegrounds</b:Tag>
    <b:SourceType>InternetSite</b:SourceType>
    <b:Guid>{6BDDB469-A8BE-4FC8-A323-CB26E39A4F9A}</b:Guid>
    <b:Title>Safegrounds</b:Title>
    <b:URL>http://www.safegrounds.com/</b:URL>
    <b:RefOrder>26</b:RefOrder>
  </b:Source>
  <b:Source>
    <b:Tag>DQAEPA</b:Tag>
    <b:SourceType>DocumentFromInternetSite</b:SourceType>
    <b:Guid>{0CA6CF82-F776-41F2-9A95-E48AE07B109A}</b:Guid>
    <b:Title>Multi-Agency Radiation Survey and Site Investigation Manual (MARSSIM)</b:Title>
    <b:Author>
      <b:Author>
        <b:Corporate>EPA</b:Corporate>
      </b:Author>
    </b:Author>
    <b:URL>https://www.epa.gov/radiation/multi-agency-radiation-survey-and-site-investigation-manual-marssim</b:URL>
    <b:RefOrder>27</b:RefOrder>
  </b:Source>
  <b:Source>
    <b:Tag>GRR</b:Tag>
    <b:SourceType>DocumentFromInternetSite</b:SourceType>
    <b:Guid>{3E99C65F-2DF5-4EEE-9E39-801C152545FD}</b:Guid>
    <b:Title>Management of radioactive waste from decommissioning of nuclear sites: Guidance on Requirements for Release from Radioactive Substances Regulation, Version 1, </b:Title>
    <b:Author>
      <b:Author>
        <b:Corporate>SEPA</b:Corporate>
      </b:Author>
    </b:Author>
    <b:Year>2018</b:Year>
    <b:Month>July</b:Month>
    <b:URL>https://www.sepa.org.uk/media/365893/2018-07-17-grr-publication-v1-0.pdf</b:URL>
    <b:RefOrder>29</b:RefOrder>
  </b:Source>
  <b:Source>
    <b:Tag>MOUONR</b:Tag>
    <b:SourceType>InternetSite</b:SourceType>
    <b:Guid>{BD181CF3-25EB-41E2-B547-BAC01016FDC5}</b:Guid>
    <b:Title>Memorandum of Understandings</b:Title>
    <b:Author>
      <b:Author>
        <b:Corporate>ONR</b:Corporate>
      </b:Author>
    </b:Author>
    <b:URL>https://www.onr.org.uk/agency-agreements-mou.htm</b:URL>
    <b:RefOrder>30</b:RefOrder>
  </b:Source>
  <b:Source>
    <b:Tag>ECRP122</b:Tag>
    <b:SourceType>Book</b:SourceType>
    <b:Guid>{DBC59051-65D7-4632-9847-01FD0C2B0739}</b:Guid>
    <b:Title>Practical use of the Concepts of Clearance and Exemption Part 1, EC RP 122</b:Title>
    <b:Author>
      <b:Author>
        <b:Corporate>EC</b:Corporate>
      </b:Author>
    </b:Author>
    <b:Year>2000</b:Year>
    <b:RefOrder>31</b:RefOrder>
  </b:Source>
  <b:Source>
    <b:Tag>EAguidance</b:Tag>
    <b:SourceType>DocumentFromInternetSite</b:SourceType>
    <b:Guid>{7DD61F08-DD7F-452E-BC23-74D71D7433C3}</b:Guid>
    <b:Title>Scope of and exmptions from the radioactive substances legislation in England, Wales and Northern Ireland guidance doucment</b:Title>
    <b:Year>2018</b:Year>
    <b:Month>August</b:Month>
    <b:URL>https://assets.publishing.service.gov.uk/media/5b643627e5274a76f73e20ce/RSL_Guidance_update_BEIS_format_v5_180803.pdf</b:URL>
    <b:Author>
      <b:Author>
        <b:Corporate>HM Government</b:Corporate>
      </b:Author>
    </b:Author>
    <b:RefOrder>22</b:RefOrder>
  </b:Source>
  <b:Source>
    <b:Tag>NRPBvol9no2</b:Tag>
    <b:SourceType>DocumentFromInternetSite</b:SourceType>
    <b:Guid>{CEF84FED-0581-4005-A8E9-E4FB3C541F14}</b:Guid>
    <b:Title>Volume 9 No 2, Radiological Protection Objectives for Land Contaminated with Radionuclides (ISBN 0-85951-416-1)</b:Title>
    <b:Publisher>https://webarchive.nationalarchives.gov.uk/ukgwa/20140722194429/http://www.hpa.org.uk/Publications/Radiation/NPRBArchive/DocumentsOfTheNRPB/Absd0902/</b:Publisher>
    <b:Author>
      <b:Author>
        <b:Corporate>NRPB</b:Corporate>
      </b:Author>
    </b:Author>
    <b:Year>1998</b:Year>
    <b:URL>https://webarchive.nationalarchives.gov.uk/ukgwa/20140722194429/http://www.hpa.org.uk/Publications/Radiation/NPRBArchive/DocumentsOfTheNRPB/Absd0902/</b:URL>
    <b:RefOrder>32</b:RefOrder>
  </b:Source>
  <b:Source>
    <b:Tag>NIClear</b:Tag>
    <b:SourceType>DocumentFromInternetSite</b:SourceType>
    <b:Guid>{BD55ACDA-F912-4ECC-A1AF-A584985A0E7C}</b:Guid>
    <b:Title>The UK Nuclear Industry Guide To Clearance and Radiological Sentencing: Pricnicples, Process and Practices</b:Title>
    <b:Year>2017</b:Year>
    <b:Author>
      <b:Author>
        <b:Corporate>NI SDF</b:Corporate>
      </b:Author>
    </b:Author>
    <b:Month>May</b:Month>
    <b:URL> https://www.nuclearinst.com/write/MediaUploads/SDF%20documents/CEWG/Clearance_and_Exemption_GPG_2.01.pdf</b:URL>
    <b:RefOrder>33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FD0F6A-75E8-4934-B53E-EF614F09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33</Pages>
  <Words>8942</Words>
  <Characters>51867</Characters>
  <Application>Microsoft Office Word</Application>
  <DocSecurity>4</DocSecurity>
  <Lines>1103</Lines>
  <Paragraphs>431</Paragraphs>
  <ScaleCrop>false</ScaleCrop>
  <HeadingPairs>
    <vt:vector size="2" baseType="variant">
      <vt:variant>
        <vt:lpstr>Title</vt:lpstr>
      </vt:variant>
      <vt:variant>
        <vt:i4>1</vt:i4>
      </vt:variant>
    </vt:vector>
  </HeadingPairs>
  <TitlesOfParts>
    <vt:vector size="1" baseType="lpstr">
      <vt:lpstr>Assessment for the delicensing of a nuclear licenced site</vt:lpstr>
    </vt:vector>
  </TitlesOfParts>
  <Manager>Office for Nuclear Regulation</Manager>
  <Company>Office for Nuclear Regulation</Company>
  <LinksUpToDate>false</LinksUpToDate>
  <CharactersWithSpaces>60378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for the delicensing of a nuclear licenced site</dc:title>
  <dc:subject>[Subtitle or description]</dc:subject>
  <cp:keywords>[Key words separated by commas]</cp:keywords>
  <dc:description/>
  <cp:revision>2</cp:revision>
  <cp:lastPrinted>2016-11-28T11:35:00Z</cp:lastPrinted>
  <dcterms:created xsi:type="dcterms:W3CDTF">2025-02-05T11:41:00Z</dcterms:created>
  <dcterms:modified xsi:type="dcterms:W3CDTF">2025-02-05T11:41:00Z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