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5" w:type="dxa"/>
        <w:tblCellMar>
          <w:top w:w="58" w:type="dxa"/>
          <w:left w:w="58" w:type="dxa"/>
          <w:bottom w:w="58" w:type="dxa"/>
          <w:right w:w="58" w:type="dxa"/>
        </w:tblCellMar>
        <w:tblLook w:val="01E0" w:firstRow="1" w:lastRow="1" w:firstColumn="1" w:lastColumn="1" w:noHBand="0" w:noVBand="0"/>
      </w:tblPr>
      <w:tblGrid>
        <w:gridCol w:w="6295"/>
        <w:gridCol w:w="3360"/>
      </w:tblGrid>
      <w:tr w:rsidR="001253F9" w:rsidRPr="00E668EC" w14:paraId="73F5AF22" w14:textId="77777777">
        <w:trPr>
          <w:trHeight w:val="773"/>
        </w:trPr>
        <w:tc>
          <w:tcPr>
            <w:tcW w:w="6295" w:type="dxa"/>
            <w:shd w:val="clear" w:color="auto" w:fill="auto"/>
          </w:tcPr>
          <w:p w14:paraId="40C69CD6" w14:textId="006C1284" w:rsidR="001253F9" w:rsidRPr="00E668EC" w:rsidRDefault="0036109D" w:rsidP="00E668EC">
            <w:pPr>
              <w:spacing w:after="0" w:line="240" w:lineRule="auto"/>
              <w:rPr>
                <w:rFonts w:asciiTheme="minorBidi" w:hAnsiTheme="minorBidi"/>
                <w:sz w:val="24"/>
                <w:szCs w:val="24"/>
              </w:rPr>
            </w:pPr>
            <w:r>
              <w:rPr>
                <w:rFonts w:asciiTheme="minorBidi" w:hAnsiTheme="minorBidi"/>
                <w:sz w:val="24"/>
                <w:szCs w:val="24"/>
              </w:rPr>
              <w:t>28</w:t>
            </w:r>
            <w:r w:rsidRPr="0036109D">
              <w:rPr>
                <w:rFonts w:asciiTheme="minorBidi" w:hAnsiTheme="minorBidi"/>
                <w:sz w:val="24"/>
                <w:szCs w:val="24"/>
                <w:vertAlign w:val="superscript"/>
              </w:rPr>
              <w:t>th</w:t>
            </w:r>
            <w:r>
              <w:rPr>
                <w:rFonts w:asciiTheme="minorBidi" w:hAnsiTheme="minorBidi"/>
                <w:sz w:val="24"/>
                <w:szCs w:val="24"/>
              </w:rPr>
              <w:t xml:space="preserve"> February 2025</w:t>
            </w:r>
          </w:p>
        </w:tc>
        <w:tc>
          <w:tcPr>
            <w:tcW w:w="3360" w:type="dxa"/>
            <w:vMerge w:val="restart"/>
            <w:shd w:val="clear" w:color="auto" w:fill="auto"/>
          </w:tcPr>
          <w:p w14:paraId="1E7B84A0"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Redgrave Court</w:t>
            </w:r>
          </w:p>
          <w:p w14:paraId="039BC186"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 xml:space="preserve">Merton Road </w:t>
            </w:r>
          </w:p>
          <w:p w14:paraId="095BEB87" w14:textId="6A2BA7C8"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Bootle</w:t>
            </w:r>
          </w:p>
          <w:p w14:paraId="26675636"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 xml:space="preserve">Merseyside </w:t>
            </w:r>
          </w:p>
          <w:p w14:paraId="656329FC"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 xml:space="preserve">L20 7HS </w:t>
            </w:r>
          </w:p>
          <w:p w14:paraId="284E969E" w14:textId="77777777" w:rsidR="001253F9" w:rsidRPr="00E668EC" w:rsidRDefault="001253F9" w:rsidP="00E668EC">
            <w:pPr>
              <w:spacing w:after="0" w:line="240" w:lineRule="auto"/>
              <w:ind w:left="170" w:hanging="86"/>
              <w:rPr>
                <w:rFonts w:asciiTheme="minorBidi" w:hAnsiTheme="minorBidi"/>
                <w:sz w:val="24"/>
                <w:szCs w:val="24"/>
              </w:rPr>
            </w:pPr>
          </w:p>
          <w:p w14:paraId="69F4FEB7" w14:textId="77777777" w:rsidR="001253F9" w:rsidRPr="00E668EC" w:rsidRDefault="001253F9" w:rsidP="00E668EC">
            <w:pPr>
              <w:spacing w:after="0" w:line="240" w:lineRule="auto"/>
              <w:rPr>
                <w:rFonts w:asciiTheme="minorBidi" w:hAnsiTheme="minorBidi"/>
                <w:color w:val="006D68"/>
                <w:sz w:val="24"/>
                <w:szCs w:val="24"/>
              </w:rPr>
            </w:pPr>
            <w:r w:rsidRPr="00E668EC">
              <w:rPr>
                <w:rFonts w:asciiTheme="minorBidi" w:hAnsiTheme="minorBidi"/>
                <w:sz w:val="24"/>
                <w:szCs w:val="24"/>
              </w:rPr>
              <w:t xml:space="preserve"> </w:t>
            </w:r>
            <w:hyperlink r:id="rId8" w:history="1">
              <w:r w:rsidRPr="00E668EC">
                <w:rPr>
                  <w:rStyle w:val="Hyperlink"/>
                  <w:rFonts w:asciiTheme="minorBidi" w:hAnsiTheme="minorBidi"/>
                  <w:color w:val="006D68"/>
                  <w:sz w:val="24"/>
                  <w:szCs w:val="24"/>
                </w:rPr>
                <w:t>Contact@onr.gov.uk</w:t>
              </w:r>
            </w:hyperlink>
            <w:r w:rsidRPr="00E668EC">
              <w:rPr>
                <w:rFonts w:asciiTheme="minorBidi" w:hAnsiTheme="minorBidi"/>
                <w:color w:val="006D68"/>
                <w:sz w:val="24"/>
                <w:szCs w:val="24"/>
              </w:rPr>
              <w:t xml:space="preserve">  </w:t>
            </w:r>
          </w:p>
          <w:p w14:paraId="76DCB215" w14:textId="77777777" w:rsidR="001253F9" w:rsidRPr="00E668EC" w:rsidRDefault="001253F9" w:rsidP="00E668EC">
            <w:pPr>
              <w:spacing w:after="0" w:line="240" w:lineRule="auto"/>
              <w:ind w:left="170" w:hanging="86"/>
              <w:rPr>
                <w:rFonts w:asciiTheme="minorBidi" w:hAnsiTheme="minorBidi"/>
                <w:sz w:val="24"/>
                <w:szCs w:val="24"/>
              </w:rPr>
            </w:pPr>
          </w:p>
          <w:p w14:paraId="0BA8B649" w14:textId="48250AC2"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Unique ref:</w:t>
            </w:r>
            <w:r w:rsidR="00A81D43" w:rsidRPr="00E668EC">
              <w:rPr>
                <w:rFonts w:asciiTheme="minorBidi" w:hAnsiTheme="minorBidi"/>
                <w:sz w:val="24"/>
                <w:szCs w:val="24"/>
              </w:rPr>
              <w:t xml:space="preserve"> </w:t>
            </w:r>
            <w:r w:rsidR="0036109D">
              <w:rPr>
                <w:rFonts w:asciiTheme="minorBidi" w:hAnsiTheme="minorBidi"/>
                <w:sz w:val="24"/>
                <w:szCs w:val="24"/>
              </w:rPr>
              <w:t>TBC</w:t>
            </w:r>
          </w:p>
          <w:p w14:paraId="6265BC4D" w14:textId="77777777" w:rsidR="001253F9" w:rsidRPr="00E668EC" w:rsidRDefault="001253F9" w:rsidP="00E668EC">
            <w:pPr>
              <w:spacing w:after="0" w:line="240" w:lineRule="auto"/>
              <w:ind w:left="170" w:hanging="86"/>
              <w:rPr>
                <w:rFonts w:asciiTheme="minorBidi" w:hAnsiTheme="minorBidi"/>
                <w:sz w:val="24"/>
                <w:szCs w:val="24"/>
              </w:rPr>
            </w:pPr>
          </w:p>
        </w:tc>
      </w:tr>
      <w:tr w:rsidR="001253F9" w:rsidRPr="00E668EC" w14:paraId="0B31F825" w14:textId="77777777">
        <w:trPr>
          <w:trHeight w:val="772"/>
        </w:trPr>
        <w:tc>
          <w:tcPr>
            <w:tcW w:w="6295" w:type="dxa"/>
            <w:shd w:val="clear" w:color="auto" w:fill="auto"/>
          </w:tcPr>
          <w:p w14:paraId="334CB166" w14:textId="77777777" w:rsidR="001253F9" w:rsidRPr="00E668EC" w:rsidRDefault="001253F9" w:rsidP="004C5D6A">
            <w:pPr>
              <w:spacing w:line="240" w:lineRule="auto"/>
              <w:rPr>
                <w:rFonts w:asciiTheme="minorBidi" w:hAnsiTheme="minorBidi"/>
                <w:sz w:val="24"/>
                <w:szCs w:val="24"/>
              </w:rPr>
            </w:pPr>
          </w:p>
          <w:p w14:paraId="203E6E3F" w14:textId="77777777" w:rsidR="001253F9" w:rsidRPr="00E668EC" w:rsidRDefault="001253F9" w:rsidP="004C5D6A">
            <w:pPr>
              <w:spacing w:line="240" w:lineRule="auto"/>
              <w:rPr>
                <w:rFonts w:asciiTheme="minorBidi" w:hAnsiTheme="minorBidi"/>
                <w:sz w:val="24"/>
                <w:szCs w:val="24"/>
              </w:rPr>
            </w:pPr>
          </w:p>
          <w:p w14:paraId="161838B6" w14:textId="5FEDFE1D" w:rsidR="001253F9" w:rsidRPr="00F55299" w:rsidRDefault="00F55299" w:rsidP="00F55299">
            <w:pPr>
              <w:spacing w:line="240" w:lineRule="auto"/>
              <w:rPr>
                <w:rFonts w:asciiTheme="minorBidi" w:hAnsiTheme="minorBidi"/>
                <w:bCs/>
                <w:sz w:val="24"/>
                <w:szCs w:val="24"/>
              </w:rPr>
            </w:pPr>
            <w:hyperlink r:id="rId9" w:history="1">
              <w:r w:rsidRPr="00F55299">
                <w:rPr>
                  <w:rStyle w:val="Hyperlink"/>
                  <w:rFonts w:asciiTheme="minorBidi" w:hAnsiTheme="minorBidi"/>
                  <w:bCs/>
                  <w:sz w:val="24"/>
                  <w:szCs w:val="24"/>
                </w:rPr>
                <w:t>nuclear@environment-agency.gov.uk</w:t>
              </w:r>
            </w:hyperlink>
          </w:p>
          <w:p w14:paraId="6C006E9C" w14:textId="77777777" w:rsidR="001253F9" w:rsidRPr="00E668EC" w:rsidRDefault="001253F9" w:rsidP="004C5D6A">
            <w:pPr>
              <w:spacing w:line="240" w:lineRule="auto"/>
              <w:rPr>
                <w:rFonts w:asciiTheme="minorBidi" w:hAnsiTheme="minorBidi"/>
                <w:sz w:val="24"/>
                <w:szCs w:val="24"/>
              </w:rPr>
            </w:pPr>
          </w:p>
        </w:tc>
        <w:tc>
          <w:tcPr>
            <w:tcW w:w="3360" w:type="dxa"/>
            <w:vMerge/>
            <w:shd w:val="clear" w:color="auto" w:fill="auto"/>
          </w:tcPr>
          <w:p w14:paraId="67A04989" w14:textId="77777777" w:rsidR="001253F9" w:rsidRPr="00E668EC" w:rsidRDefault="001253F9" w:rsidP="004C5D6A">
            <w:pPr>
              <w:spacing w:line="240" w:lineRule="auto"/>
              <w:rPr>
                <w:rFonts w:asciiTheme="minorBidi" w:hAnsiTheme="minorBidi"/>
                <w:sz w:val="24"/>
                <w:szCs w:val="24"/>
              </w:rPr>
            </w:pPr>
          </w:p>
        </w:tc>
      </w:tr>
    </w:tbl>
    <w:p w14:paraId="676A2B9B" w14:textId="508F77A6" w:rsidR="001253F9" w:rsidRDefault="001253F9" w:rsidP="005C4F9A">
      <w:pPr>
        <w:adjustRightInd w:val="0"/>
        <w:spacing w:after="0" w:line="240" w:lineRule="auto"/>
        <w:rPr>
          <w:rFonts w:asciiTheme="minorBidi" w:hAnsiTheme="minorBidi"/>
          <w:iCs/>
          <w:sz w:val="24"/>
          <w:szCs w:val="24"/>
          <w:lang w:eastAsia="en-GB"/>
        </w:rPr>
      </w:pPr>
      <w:r w:rsidRPr="00E668EC">
        <w:rPr>
          <w:rFonts w:asciiTheme="minorBidi" w:hAnsiTheme="minorBidi"/>
          <w:iCs/>
          <w:sz w:val="24"/>
          <w:szCs w:val="24"/>
          <w:lang w:eastAsia="en-GB"/>
        </w:rPr>
        <w:t>To whom it may concern</w:t>
      </w:r>
      <w:r w:rsidR="00D33CAF">
        <w:rPr>
          <w:rFonts w:asciiTheme="minorBidi" w:hAnsiTheme="minorBidi"/>
          <w:iCs/>
          <w:sz w:val="24"/>
          <w:szCs w:val="24"/>
          <w:lang w:eastAsia="en-GB"/>
        </w:rPr>
        <w:t>,</w:t>
      </w:r>
      <w:r w:rsidR="005C4F9A">
        <w:rPr>
          <w:rFonts w:asciiTheme="minorBidi" w:hAnsiTheme="minorBidi"/>
          <w:iCs/>
          <w:sz w:val="24"/>
          <w:szCs w:val="24"/>
          <w:lang w:eastAsia="en-GB"/>
        </w:rPr>
        <w:t xml:space="preserve"> </w:t>
      </w:r>
    </w:p>
    <w:p w14:paraId="4E695EE0" w14:textId="77777777" w:rsidR="00A53C43" w:rsidRPr="00E668EC" w:rsidRDefault="00A53C43" w:rsidP="005C4F9A">
      <w:pPr>
        <w:adjustRightInd w:val="0"/>
        <w:spacing w:after="0" w:line="240" w:lineRule="auto"/>
        <w:rPr>
          <w:rFonts w:asciiTheme="minorBidi" w:hAnsiTheme="minorBidi"/>
          <w:iCs/>
          <w:sz w:val="24"/>
          <w:szCs w:val="24"/>
          <w:lang w:eastAsia="en-GB"/>
        </w:rPr>
      </w:pPr>
    </w:p>
    <w:p w14:paraId="6F17D17E" w14:textId="40C16D57" w:rsidR="001253F9" w:rsidRDefault="001253F9" w:rsidP="00A53C43">
      <w:pPr>
        <w:autoSpaceDE w:val="0"/>
        <w:autoSpaceDN w:val="0"/>
        <w:adjustRightInd w:val="0"/>
        <w:spacing w:after="0" w:line="240" w:lineRule="auto"/>
        <w:rPr>
          <w:rFonts w:asciiTheme="minorBidi" w:hAnsiTheme="minorBidi"/>
          <w:b/>
          <w:bCs/>
          <w:sz w:val="24"/>
          <w:szCs w:val="24"/>
        </w:rPr>
      </w:pPr>
      <w:r w:rsidRPr="00E668EC">
        <w:rPr>
          <w:rFonts w:asciiTheme="minorBidi" w:hAnsiTheme="minorBidi"/>
          <w:b/>
          <w:bCs/>
          <w:sz w:val="24"/>
          <w:szCs w:val="24"/>
        </w:rPr>
        <w:t>ONR</w:t>
      </w:r>
      <w:r w:rsidR="00E01C6C">
        <w:rPr>
          <w:rFonts w:asciiTheme="minorBidi" w:hAnsiTheme="minorBidi"/>
          <w:b/>
          <w:bCs/>
          <w:sz w:val="24"/>
          <w:szCs w:val="24"/>
        </w:rPr>
        <w:t>’</w:t>
      </w:r>
      <w:r w:rsidR="005C4F9A">
        <w:rPr>
          <w:rFonts w:asciiTheme="minorBidi" w:hAnsiTheme="minorBidi"/>
          <w:b/>
          <w:bCs/>
          <w:sz w:val="24"/>
          <w:szCs w:val="24"/>
        </w:rPr>
        <w:t xml:space="preserve"> R</w:t>
      </w:r>
      <w:r w:rsidRPr="00E668EC">
        <w:rPr>
          <w:rFonts w:asciiTheme="minorBidi" w:hAnsiTheme="minorBidi"/>
          <w:b/>
          <w:bCs/>
          <w:sz w:val="24"/>
          <w:szCs w:val="24"/>
        </w:rPr>
        <w:t>esponse</w:t>
      </w:r>
      <w:r w:rsidR="005C4F9A">
        <w:rPr>
          <w:rFonts w:asciiTheme="minorBidi" w:hAnsiTheme="minorBidi"/>
          <w:b/>
          <w:bCs/>
          <w:sz w:val="24"/>
          <w:szCs w:val="24"/>
        </w:rPr>
        <w:t xml:space="preserve"> </w:t>
      </w:r>
      <w:r w:rsidR="00D33CAF">
        <w:rPr>
          <w:rFonts w:asciiTheme="minorBidi" w:hAnsiTheme="minorBidi"/>
          <w:b/>
          <w:bCs/>
          <w:sz w:val="24"/>
          <w:szCs w:val="24"/>
        </w:rPr>
        <w:t>–</w:t>
      </w:r>
      <w:r w:rsidR="005C4F9A">
        <w:rPr>
          <w:rFonts w:asciiTheme="minorBidi" w:hAnsiTheme="minorBidi"/>
          <w:b/>
          <w:bCs/>
          <w:sz w:val="24"/>
          <w:szCs w:val="24"/>
        </w:rPr>
        <w:t xml:space="preserve"> </w:t>
      </w:r>
      <w:r w:rsidR="00D33CAF">
        <w:rPr>
          <w:rFonts w:asciiTheme="minorBidi" w:hAnsiTheme="minorBidi"/>
          <w:b/>
          <w:bCs/>
          <w:sz w:val="24"/>
          <w:szCs w:val="24"/>
        </w:rPr>
        <w:t xml:space="preserve">Environment Agency </w:t>
      </w:r>
      <w:r w:rsidR="00453A04">
        <w:rPr>
          <w:rFonts w:asciiTheme="minorBidi" w:hAnsiTheme="minorBidi"/>
          <w:b/>
          <w:bCs/>
          <w:sz w:val="24"/>
          <w:szCs w:val="24"/>
        </w:rPr>
        <w:t>Consultation</w:t>
      </w:r>
      <w:r w:rsidR="005C4F9A" w:rsidRPr="005C4F9A">
        <w:rPr>
          <w:rFonts w:asciiTheme="minorBidi" w:hAnsiTheme="minorBidi"/>
          <w:b/>
          <w:bCs/>
          <w:sz w:val="24"/>
          <w:szCs w:val="24"/>
        </w:rPr>
        <w:t>:</w:t>
      </w:r>
      <w:r w:rsidR="00A53C43">
        <w:rPr>
          <w:rFonts w:asciiTheme="minorBidi" w:hAnsiTheme="minorBidi"/>
          <w:b/>
          <w:bCs/>
          <w:sz w:val="24"/>
          <w:szCs w:val="24"/>
        </w:rPr>
        <w:t xml:space="preserve"> </w:t>
      </w:r>
      <w:r w:rsidR="005C4F9A" w:rsidRPr="005C4F9A">
        <w:rPr>
          <w:rFonts w:asciiTheme="minorBidi" w:hAnsiTheme="minorBidi"/>
          <w:b/>
          <w:bCs/>
          <w:sz w:val="24"/>
          <w:szCs w:val="24"/>
        </w:rPr>
        <w:t>GRA and Staged Regulation</w:t>
      </w:r>
      <w:r w:rsidR="00775576">
        <w:rPr>
          <w:rFonts w:asciiTheme="minorBidi" w:hAnsiTheme="minorBidi"/>
          <w:b/>
          <w:bCs/>
          <w:sz w:val="24"/>
          <w:szCs w:val="24"/>
        </w:rPr>
        <w:t xml:space="preserve"> (GDF)</w:t>
      </w:r>
      <w:r w:rsidR="002C3803">
        <w:rPr>
          <w:rFonts w:asciiTheme="minorBidi" w:hAnsiTheme="minorBidi"/>
          <w:b/>
          <w:bCs/>
          <w:sz w:val="24"/>
          <w:szCs w:val="24"/>
        </w:rPr>
        <w:t xml:space="preserve"> guidance</w:t>
      </w:r>
    </w:p>
    <w:p w14:paraId="2BD4F14A" w14:textId="77777777" w:rsidR="005753AB" w:rsidRDefault="005753AB" w:rsidP="00635FDA">
      <w:pPr>
        <w:autoSpaceDE w:val="0"/>
        <w:autoSpaceDN w:val="0"/>
        <w:adjustRightInd w:val="0"/>
        <w:spacing w:after="0" w:line="240" w:lineRule="auto"/>
        <w:rPr>
          <w:rFonts w:asciiTheme="minorBidi" w:hAnsiTheme="minorBidi"/>
          <w:b/>
          <w:bCs/>
          <w:sz w:val="24"/>
          <w:szCs w:val="24"/>
        </w:rPr>
      </w:pPr>
    </w:p>
    <w:p w14:paraId="60ADE4F3" w14:textId="2CACDB52" w:rsidR="00FF6500" w:rsidRDefault="00DC22BB" w:rsidP="00546DCF">
      <w:pPr>
        <w:autoSpaceDE w:val="0"/>
        <w:autoSpaceDN w:val="0"/>
        <w:adjustRightInd w:val="0"/>
        <w:spacing w:after="0" w:line="240" w:lineRule="auto"/>
        <w:rPr>
          <w:rFonts w:asciiTheme="minorBidi" w:hAnsiTheme="minorBidi"/>
          <w:sz w:val="24"/>
          <w:szCs w:val="24"/>
        </w:rPr>
      </w:pPr>
      <w:r w:rsidRPr="00DC22BB">
        <w:rPr>
          <w:rFonts w:asciiTheme="minorBidi" w:hAnsiTheme="minorBidi"/>
          <w:sz w:val="24"/>
          <w:szCs w:val="24"/>
        </w:rPr>
        <w:t>Thank you for the opportunity to comment</w:t>
      </w:r>
      <w:r w:rsidR="00FF6500">
        <w:rPr>
          <w:rFonts w:asciiTheme="minorBidi" w:hAnsiTheme="minorBidi"/>
          <w:sz w:val="24"/>
          <w:szCs w:val="24"/>
        </w:rPr>
        <w:t xml:space="preserve"> </w:t>
      </w:r>
      <w:r w:rsidR="00546DCF">
        <w:rPr>
          <w:rFonts w:asciiTheme="minorBidi" w:hAnsiTheme="minorBidi"/>
          <w:sz w:val="24"/>
          <w:szCs w:val="24"/>
        </w:rPr>
        <w:t xml:space="preserve">as part of the Environment Agency (EA) consultation on: </w:t>
      </w:r>
      <w:r w:rsidR="00FF6500" w:rsidRPr="00FF6500">
        <w:rPr>
          <w:rFonts w:asciiTheme="minorBidi" w:hAnsiTheme="minorBidi"/>
          <w:sz w:val="24"/>
          <w:szCs w:val="24"/>
        </w:rPr>
        <w:t>Disposal facilities for solid radioactive waste: Guidance on the Requirements for Authorisation (GRA)</w:t>
      </w:r>
      <w:r w:rsidR="00546DCF">
        <w:rPr>
          <w:rFonts w:asciiTheme="minorBidi" w:hAnsiTheme="minorBidi"/>
          <w:sz w:val="24"/>
          <w:szCs w:val="24"/>
        </w:rPr>
        <w:t xml:space="preserve">; and </w:t>
      </w:r>
      <w:r w:rsidR="00FF6500" w:rsidRPr="00FF6500">
        <w:rPr>
          <w:rFonts w:asciiTheme="minorBidi" w:hAnsiTheme="minorBidi"/>
          <w:sz w:val="24"/>
          <w:szCs w:val="24"/>
        </w:rPr>
        <w:t>Geological disposal facilities for solid radioactive waste: Staged Regulation guidance</w:t>
      </w:r>
      <w:r w:rsidR="00546DCF">
        <w:rPr>
          <w:rFonts w:asciiTheme="minorBidi" w:hAnsiTheme="minorBidi"/>
          <w:sz w:val="24"/>
          <w:szCs w:val="24"/>
        </w:rPr>
        <w:t>.</w:t>
      </w:r>
    </w:p>
    <w:p w14:paraId="4025729B" w14:textId="77777777" w:rsidR="00546DCF" w:rsidRPr="00FF6500" w:rsidRDefault="00546DCF" w:rsidP="00546DCF">
      <w:pPr>
        <w:autoSpaceDE w:val="0"/>
        <w:autoSpaceDN w:val="0"/>
        <w:adjustRightInd w:val="0"/>
        <w:spacing w:after="0" w:line="240" w:lineRule="auto"/>
        <w:rPr>
          <w:rFonts w:asciiTheme="minorBidi" w:hAnsiTheme="minorBidi"/>
          <w:sz w:val="24"/>
          <w:szCs w:val="24"/>
        </w:rPr>
      </w:pPr>
    </w:p>
    <w:p w14:paraId="5EC10A0E" w14:textId="3B723DDC" w:rsidR="00835D8C" w:rsidRPr="00835D8C" w:rsidRDefault="00DC22BB" w:rsidP="00FB7842">
      <w:pPr>
        <w:autoSpaceDE w:val="0"/>
        <w:autoSpaceDN w:val="0"/>
        <w:adjustRightInd w:val="0"/>
        <w:spacing w:after="0" w:line="240" w:lineRule="auto"/>
        <w:rPr>
          <w:rFonts w:asciiTheme="minorBidi" w:hAnsiTheme="minorBidi"/>
          <w:sz w:val="24"/>
          <w:szCs w:val="24"/>
        </w:rPr>
      </w:pPr>
      <w:r w:rsidRPr="00DC22BB">
        <w:rPr>
          <w:rFonts w:asciiTheme="minorBidi" w:hAnsiTheme="minorBidi"/>
          <w:sz w:val="24"/>
          <w:szCs w:val="24"/>
        </w:rPr>
        <w:t>This letter</w:t>
      </w:r>
      <w:r w:rsidR="00D33CAF">
        <w:rPr>
          <w:rFonts w:asciiTheme="minorBidi" w:hAnsiTheme="minorBidi"/>
          <w:sz w:val="24"/>
          <w:szCs w:val="24"/>
        </w:rPr>
        <w:t>,</w:t>
      </w:r>
      <w:r w:rsidRPr="00DC22BB">
        <w:rPr>
          <w:rFonts w:asciiTheme="minorBidi" w:hAnsiTheme="minorBidi"/>
          <w:sz w:val="24"/>
          <w:szCs w:val="24"/>
        </w:rPr>
        <w:t xml:space="preserve"> and the attached appendix</w:t>
      </w:r>
      <w:r w:rsidR="00D33CAF">
        <w:rPr>
          <w:rFonts w:asciiTheme="minorBidi" w:hAnsiTheme="minorBidi"/>
          <w:sz w:val="24"/>
          <w:szCs w:val="24"/>
        </w:rPr>
        <w:t>,</w:t>
      </w:r>
      <w:r w:rsidRPr="00DC22BB">
        <w:rPr>
          <w:rFonts w:asciiTheme="minorBidi" w:hAnsiTheme="minorBidi"/>
          <w:sz w:val="24"/>
          <w:szCs w:val="24"/>
        </w:rPr>
        <w:t xml:space="preserve"> provide the Office for Nuclear Regulation's (ONR) response to this consultation</w:t>
      </w:r>
      <w:r w:rsidR="0045389B">
        <w:rPr>
          <w:rFonts w:ascii="Arial" w:eastAsia="Aptos" w:hAnsi="Arial" w:cs="Arial"/>
          <w:b/>
          <w:bCs/>
          <w:kern w:val="0"/>
          <w:sz w:val="24"/>
          <w:szCs w:val="24"/>
          <w14:ligatures w14:val="none"/>
        </w:rPr>
        <w:t xml:space="preserve">. </w:t>
      </w:r>
      <w:r w:rsidR="00835D8C" w:rsidRPr="00835D8C">
        <w:rPr>
          <w:rFonts w:asciiTheme="minorBidi" w:hAnsiTheme="minorBidi"/>
          <w:sz w:val="24"/>
          <w:szCs w:val="24"/>
        </w:rPr>
        <w:t>We note EA’s guidance to consultees which advises that there are that matters can, and cannot, be taken account of</w:t>
      </w:r>
      <w:r w:rsidR="00FB7842">
        <w:rPr>
          <w:rFonts w:asciiTheme="minorBidi" w:hAnsiTheme="minorBidi"/>
          <w:sz w:val="24"/>
          <w:szCs w:val="24"/>
        </w:rPr>
        <w:t>.</w:t>
      </w:r>
    </w:p>
    <w:p w14:paraId="2EABAA48" w14:textId="77777777" w:rsidR="00835D8C" w:rsidRPr="00835D8C" w:rsidRDefault="00835D8C" w:rsidP="00835D8C">
      <w:pPr>
        <w:autoSpaceDE w:val="0"/>
        <w:autoSpaceDN w:val="0"/>
        <w:adjustRightInd w:val="0"/>
        <w:spacing w:after="0" w:line="240" w:lineRule="auto"/>
        <w:rPr>
          <w:rFonts w:asciiTheme="minorBidi" w:hAnsiTheme="minorBidi"/>
          <w:sz w:val="24"/>
          <w:szCs w:val="24"/>
        </w:rPr>
      </w:pPr>
    </w:p>
    <w:p w14:paraId="13815CC1" w14:textId="7F3E7613" w:rsidR="00835D8C" w:rsidRPr="00835D8C" w:rsidRDefault="4AE7FDDB" w:rsidP="2EC8BE4E">
      <w:pPr>
        <w:autoSpaceDE w:val="0"/>
        <w:autoSpaceDN w:val="0"/>
        <w:adjustRightInd w:val="0"/>
        <w:spacing w:after="0" w:line="240" w:lineRule="auto"/>
        <w:rPr>
          <w:rFonts w:asciiTheme="minorBidi" w:hAnsiTheme="minorBidi"/>
          <w:sz w:val="24"/>
          <w:szCs w:val="24"/>
        </w:rPr>
      </w:pPr>
      <w:r w:rsidRPr="2EC8BE4E">
        <w:rPr>
          <w:rFonts w:asciiTheme="minorBidi" w:hAnsiTheme="minorBidi"/>
          <w:sz w:val="24"/>
          <w:szCs w:val="24"/>
        </w:rPr>
        <w:t>With that advice in mind</w:t>
      </w:r>
      <w:r w:rsidR="4D17DCA4" w:rsidRPr="2EC8BE4E">
        <w:rPr>
          <w:rFonts w:asciiTheme="minorBidi" w:hAnsiTheme="minorBidi"/>
          <w:sz w:val="24"/>
          <w:szCs w:val="24"/>
        </w:rPr>
        <w:t>,</w:t>
      </w:r>
      <w:r w:rsidRPr="2EC8BE4E">
        <w:rPr>
          <w:rFonts w:asciiTheme="minorBidi" w:hAnsiTheme="minorBidi"/>
          <w:sz w:val="24"/>
          <w:szCs w:val="24"/>
        </w:rPr>
        <w:t xml:space="preserve"> we have</w:t>
      </w:r>
      <w:r w:rsidR="0F42CE84" w:rsidRPr="2EC8BE4E">
        <w:rPr>
          <w:rFonts w:asciiTheme="minorBidi" w:hAnsiTheme="minorBidi"/>
          <w:sz w:val="24"/>
          <w:szCs w:val="24"/>
        </w:rPr>
        <w:t xml:space="preserve"> </w:t>
      </w:r>
      <w:r w:rsidR="7ACBEAA4" w:rsidRPr="2EC8BE4E">
        <w:rPr>
          <w:rFonts w:asciiTheme="minorBidi" w:hAnsiTheme="minorBidi"/>
          <w:sz w:val="24"/>
          <w:szCs w:val="24"/>
        </w:rPr>
        <w:t>extended</w:t>
      </w:r>
      <w:r w:rsidR="00835D8C" w:rsidRPr="2EC8BE4E">
        <w:rPr>
          <w:rFonts w:asciiTheme="minorBidi" w:hAnsiTheme="minorBidi"/>
          <w:sz w:val="24"/>
          <w:szCs w:val="24"/>
        </w:rPr>
        <w:t xml:space="preserve"> </w:t>
      </w:r>
      <w:r w:rsidR="17149A32" w:rsidRPr="2EC8BE4E">
        <w:rPr>
          <w:rFonts w:asciiTheme="minorBidi" w:hAnsiTheme="minorBidi"/>
          <w:sz w:val="24"/>
          <w:szCs w:val="24"/>
        </w:rPr>
        <w:t>our</w:t>
      </w:r>
      <w:r w:rsidR="00835D8C" w:rsidRPr="2EC8BE4E">
        <w:rPr>
          <w:rFonts w:asciiTheme="minorBidi" w:hAnsiTheme="minorBidi"/>
          <w:sz w:val="24"/>
          <w:szCs w:val="24"/>
        </w:rPr>
        <w:t xml:space="preserve"> commentary, or provided advice, </w:t>
      </w:r>
      <w:r w:rsidR="00564A63" w:rsidRPr="2EC8BE4E">
        <w:rPr>
          <w:rFonts w:asciiTheme="minorBidi" w:hAnsiTheme="minorBidi"/>
          <w:sz w:val="24"/>
          <w:szCs w:val="24"/>
        </w:rPr>
        <w:t xml:space="preserve">only where necessary </w:t>
      </w:r>
      <w:r w:rsidR="00835D8C" w:rsidRPr="2EC8BE4E">
        <w:rPr>
          <w:rFonts w:asciiTheme="minorBidi" w:hAnsiTheme="minorBidi"/>
          <w:sz w:val="24"/>
          <w:szCs w:val="24"/>
        </w:rPr>
        <w:t xml:space="preserve">to confirm regulatory or technical matters </w:t>
      </w:r>
      <w:r w:rsidR="00EE664B" w:rsidRPr="2EC8BE4E">
        <w:rPr>
          <w:rFonts w:asciiTheme="minorBidi" w:hAnsiTheme="minorBidi"/>
          <w:sz w:val="24"/>
          <w:szCs w:val="24"/>
        </w:rPr>
        <w:t>which involve an</w:t>
      </w:r>
      <w:r w:rsidR="00953B54" w:rsidRPr="2EC8BE4E">
        <w:rPr>
          <w:rFonts w:asciiTheme="minorBidi" w:hAnsiTheme="minorBidi"/>
          <w:sz w:val="24"/>
          <w:szCs w:val="24"/>
        </w:rPr>
        <w:t xml:space="preserve"> </w:t>
      </w:r>
      <w:r w:rsidR="00835D8C" w:rsidRPr="2EC8BE4E">
        <w:rPr>
          <w:rFonts w:asciiTheme="minorBidi" w:hAnsiTheme="minorBidi"/>
          <w:sz w:val="24"/>
          <w:szCs w:val="24"/>
        </w:rPr>
        <w:t xml:space="preserve">interplay between the Environment Agencies and ONR’s regulatory responsibilities and requirements.   </w:t>
      </w:r>
    </w:p>
    <w:p w14:paraId="0A192AC5" w14:textId="64D00F7C" w:rsidR="00635FDA" w:rsidRDefault="00635FDA" w:rsidP="00DC22BB">
      <w:pPr>
        <w:autoSpaceDE w:val="0"/>
        <w:autoSpaceDN w:val="0"/>
        <w:adjustRightInd w:val="0"/>
        <w:spacing w:after="0" w:line="240" w:lineRule="auto"/>
        <w:rPr>
          <w:rFonts w:asciiTheme="minorBidi" w:hAnsiTheme="minorBidi"/>
          <w:sz w:val="24"/>
          <w:szCs w:val="24"/>
        </w:rPr>
      </w:pPr>
    </w:p>
    <w:p w14:paraId="63361317" w14:textId="77777777" w:rsidR="0026435A" w:rsidRPr="00E668EC" w:rsidRDefault="0026435A" w:rsidP="0026435A">
      <w:pPr>
        <w:pStyle w:val="Default"/>
        <w:rPr>
          <w:rFonts w:asciiTheme="minorBidi" w:hAnsiTheme="minorBidi" w:cstheme="minorBidi"/>
          <w:iCs/>
        </w:rPr>
      </w:pPr>
      <w:r w:rsidRPr="00E668EC">
        <w:rPr>
          <w:rFonts w:asciiTheme="minorBidi" w:hAnsiTheme="minorBidi" w:cstheme="minorBidi"/>
          <w:iCs/>
          <w:color w:val="auto"/>
        </w:rPr>
        <w:t>Thank you again for consulting us and we would be very pleased to discuss any of our responses with you in more detail as necessary.</w:t>
      </w:r>
    </w:p>
    <w:p w14:paraId="2C8741E2" w14:textId="77777777" w:rsidR="0026435A" w:rsidRPr="00E668EC" w:rsidRDefault="0026435A" w:rsidP="0026435A">
      <w:pPr>
        <w:pStyle w:val="Default"/>
        <w:rPr>
          <w:rFonts w:asciiTheme="minorBidi" w:hAnsiTheme="minorBidi" w:cstheme="minorBidi"/>
          <w:iCs/>
        </w:rPr>
      </w:pPr>
    </w:p>
    <w:p w14:paraId="5BF73D7D" w14:textId="77777777" w:rsidR="0026435A" w:rsidRDefault="0026435A" w:rsidP="0026435A">
      <w:pPr>
        <w:pStyle w:val="Default"/>
        <w:rPr>
          <w:rFonts w:asciiTheme="minorBidi" w:hAnsiTheme="minorBidi" w:cstheme="minorBidi"/>
          <w:iCs/>
          <w:color w:val="auto"/>
        </w:rPr>
      </w:pPr>
      <w:r w:rsidRPr="00E668EC">
        <w:rPr>
          <w:rFonts w:asciiTheme="minorBidi" w:hAnsiTheme="minorBidi" w:cstheme="minorBidi"/>
          <w:iCs/>
          <w:color w:val="auto"/>
        </w:rPr>
        <w:t>Yours sincerely</w:t>
      </w:r>
    </w:p>
    <w:p w14:paraId="36FEBBB4" w14:textId="77777777" w:rsidR="0026435A" w:rsidRPr="00F53E2D" w:rsidRDefault="0026435A" w:rsidP="0026435A">
      <w:pPr>
        <w:pStyle w:val="Default"/>
        <w:rPr>
          <w:rFonts w:asciiTheme="minorBidi" w:hAnsiTheme="minorBidi" w:cstheme="minorBidi"/>
          <w:iCs/>
          <w:color w:val="auto"/>
          <w:sz w:val="12"/>
          <w:szCs w:val="12"/>
        </w:rPr>
      </w:pPr>
    </w:p>
    <w:p w14:paraId="6573B351" w14:textId="77777777" w:rsidR="0026435A" w:rsidRDefault="0026435A" w:rsidP="0026435A">
      <w:pPr>
        <w:spacing w:after="0"/>
        <w:rPr>
          <w:rFonts w:asciiTheme="minorBidi" w:hAnsiTheme="minorBidi"/>
          <w:b/>
          <w:noProof/>
          <w:sz w:val="24"/>
          <w:szCs w:val="24"/>
          <w:lang w:eastAsia="en-GB"/>
        </w:rPr>
      </w:pPr>
      <w:r w:rsidRPr="00E668EC">
        <w:rPr>
          <w:rFonts w:asciiTheme="minorBidi" w:hAnsiTheme="minorBidi"/>
          <w:noProof/>
          <w:sz w:val="24"/>
          <w:szCs w:val="24"/>
        </w:rPr>
        <w:drawing>
          <wp:inline distT="0" distB="0" distL="0" distR="0" wp14:anchorId="0B7CC668" wp14:editId="105CFEA7">
            <wp:extent cx="842645" cy="365054"/>
            <wp:effectExtent l="0" t="0" r="0" b="0"/>
            <wp:docPr id="10" name="Picture 10"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032" cy="376486"/>
                    </a:xfrm>
                    <a:prstGeom prst="rect">
                      <a:avLst/>
                    </a:prstGeom>
                    <a:noFill/>
                    <a:ln>
                      <a:noFill/>
                    </a:ln>
                  </pic:spPr>
                </pic:pic>
              </a:graphicData>
            </a:graphic>
          </wp:inline>
        </w:drawing>
      </w:r>
    </w:p>
    <w:p w14:paraId="22B31CD8" w14:textId="77777777" w:rsidR="0026435A" w:rsidRPr="00E668EC" w:rsidRDefault="0026435A" w:rsidP="0026435A">
      <w:pPr>
        <w:spacing w:after="0" w:line="240" w:lineRule="auto"/>
        <w:rPr>
          <w:rFonts w:asciiTheme="minorBidi" w:hAnsiTheme="minorBidi"/>
          <w:b/>
          <w:noProof/>
          <w:sz w:val="24"/>
          <w:szCs w:val="24"/>
          <w:lang w:eastAsia="en-GB"/>
        </w:rPr>
      </w:pPr>
      <w:r w:rsidRPr="00E668EC">
        <w:rPr>
          <w:rFonts w:asciiTheme="minorBidi" w:hAnsiTheme="minorBidi"/>
          <w:b/>
          <w:noProof/>
          <w:sz w:val="24"/>
          <w:szCs w:val="24"/>
          <w:lang w:eastAsia="en-GB"/>
        </w:rPr>
        <w:t>Sarah Brown</w:t>
      </w:r>
    </w:p>
    <w:p w14:paraId="4C664BF5" w14:textId="77777777" w:rsidR="0026435A" w:rsidRPr="00635FDA" w:rsidRDefault="0026435A" w:rsidP="0026435A">
      <w:pPr>
        <w:spacing w:after="0" w:line="240" w:lineRule="auto"/>
        <w:rPr>
          <w:rFonts w:asciiTheme="minorBidi" w:hAnsiTheme="minorBidi"/>
          <w:b/>
          <w:bCs/>
          <w:sz w:val="24"/>
          <w:szCs w:val="24"/>
          <w:lang w:eastAsia="en-GB"/>
        </w:rPr>
      </w:pPr>
      <w:r w:rsidRPr="00635FDA">
        <w:rPr>
          <w:rFonts w:asciiTheme="minorBidi" w:hAnsiTheme="minorBidi"/>
          <w:b/>
          <w:bCs/>
          <w:sz w:val="24"/>
          <w:szCs w:val="24"/>
          <w:lang w:eastAsia="en-GB"/>
        </w:rPr>
        <w:t xml:space="preserve">Head of Policy </w:t>
      </w:r>
    </w:p>
    <w:p w14:paraId="61C60A63" w14:textId="77777777" w:rsidR="0026435A" w:rsidRDefault="0026435A" w:rsidP="00DC22BB">
      <w:pPr>
        <w:autoSpaceDE w:val="0"/>
        <w:autoSpaceDN w:val="0"/>
        <w:adjustRightInd w:val="0"/>
        <w:spacing w:after="0" w:line="240" w:lineRule="auto"/>
        <w:rPr>
          <w:rFonts w:asciiTheme="minorBidi" w:hAnsiTheme="minorBidi"/>
          <w:sz w:val="24"/>
          <w:szCs w:val="24"/>
        </w:rPr>
      </w:pPr>
    </w:p>
    <w:p w14:paraId="392B0930" w14:textId="584ABBEA" w:rsidR="002D5DC3" w:rsidRDefault="00EA3A74" w:rsidP="002D5DC3">
      <w:pPr>
        <w:rPr>
          <w:rFonts w:asciiTheme="minorBidi" w:hAnsiTheme="minorBidi"/>
          <w:sz w:val="24"/>
          <w:szCs w:val="24"/>
        </w:rPr>
      </w:pPr>
      <w:r>
        <w:rPr>
          <w:rFonts w:asciiTheme="minorBidi" w:hAnsiTheme="minorBidi"/>
          <w:sz w:val="24"/>
          <w:szCs w:val="24"/>
        </w:rPr>
        <w:br w:type="page"/>
      </w:r>
    </w:p>
    <w:p w14:paraId="4A5929E9" w14:textId="77777777" w:rsidR="002D5DC3" w:rsidRDefault="002D5DC3" w:rsidP="00DC22BB">
      <w:pPr>
        <w:autoSpaceDE w:val="0"/>
        <w:autoSpaceDN w:val="0"/>
        <w:adjustRightInd w:val="0"/>
        <w:rPr>
          <w:rFonts w:asciiTheme="minorBidi" w:hAnsiTheme="minorBidi"/>
          <w:sz w:val="24"/>
          <w:szCs w:val="24"/>
        </w:rPr>
        <w:sectPr w:rsidR="002D5DC3" w:rsidSect="009F3E29">
          <w:headerReference w:type="default" r:id="rId11"/>
          <w:pgSz w:w="11906" w:h="16838"/>
          <w:pgMar w:top="1440" w:right="1440" w:bottom="1440" w:left="1440" w:header="708" w:footer="708" w:gutter="0"/>
          <w:cols w:space="708"/>
          <w:docGrid w:linePitch="360"/>
        </w:sectPr>
      </w:pPr>
    </w:p>
    <w:p w14:paraId="49E68BAC" w14:textId="41ECCBF0" w:rsidR="002D5DC3" w:rsidRPr="00E63A0E" w:rsidRDefault="00F053F1" w:rsidP="00DF4574">
      <w:pPr>
        <w:autoSpaceDE w:val="0"/>
        <w:autoSpaceDN w:val="0"/>
        <w:adjustRightInd w:val="0"/>
        <w:spacing w:after="0" w:line="240" w:lineRule="auto"/>
        <w:ind w:firstLine="720"/>
        <w:jc w:val="right"/>
        <w:rPr>
          <w:rFonts w:asciiTheme="minorBidi" w:hAnsiTheme="minorBidi"/>
          <w:b/>
          <w:bCs/>
          <w:sz w:val="28"/>
          <w:szCs w:val="28"/>
        </w:rPr>
      </w:pPr>
      <w:r w:rsidRPr="00E63A0E">
        <w:rPr>
          <w:rFonts w:asciiTheme="minorBidi" w:hAnsiTheme="minorBidi"/>
          <w:b/>
          <w:bCs/>
          <w:sz w:val="28"/>
          <w:szCs w:val="28"/>
        </w:rPr>
        <w:t>Appendix</w:t>
      </w:r>
    </w:p>
    <w:tbl>
      <w:tblPr>
        <w:tblStyle w:val="TableGrid"/>
        <w:tblW w:w="15593" w:type="dxa"/>
        <w:tblInd w:w="-856" w:type="dxa"/>
        <w:tblLook w:val="04A0" w:firstRow="1" w:lastRow="0" w:firstColumn="1" w:lastColumn="0" w:noHBand="0" w:noVBand="1"/>
      </w:tblPr>
      <w:tblGrid>
        <w:gridCol w:w="4820"/>
        <w:gridCol w:w="10773"/>
      </w:tblGrid>
      <w:tr w:rsidR="00B14726" w:rsidRPr="00E668EC" w14:paraId="65BC222A" w14:textId="77777777" w:rsidTr="2C52F919">
        <w:trPr>
          <w:tblHeader/>
        </w:trPr>
        <w:tc>
          <w:tcPr>
            <w:tcW w:w="4820" w:type="dxa"/>
            <w:shd w:val="clear" w:color="auto" w:fill="C5E0B3" w:themeFill="accent6" w:themeFillTint="66"/>
          </w:tcPr>
          <w:p w14:paraId="367390E3" w14:textId="77777777" w:rsidR="00B14726" w:rsidRPr="00E668EC" w:rsidRDefault="00B14726">
            <w:pPr>
              <w:jc w:val="center"/>
              <w:rPr>
                <w:rFonts w:asciiTheme="minorBidi" w:hAnsiTheme="minorBidi"/>
                <w:b/>
                <w:bCs/>
                <w:sz w:val="24"/>
                <w:szCs w:val="24"/>
              </w:rPr>
            </w:pPr>
            <w:r w:rsidRPr="00E668EC">
              <w:rPr>
                <w:rFonts w:asciiTheme="minorBidi" w:hAnsiTheme="minorBidi"/>
                <w:b/>
                <w:bCs/>
                <w:sz w:val="24"/>
                <w:szCs w:val="24"/>
              </w:rPr>
              <w:br w:type="page"/>
              <w:t>Specific consultation questions</w:t>
            </w:r>
          </w:p>
          <w:p w14:paraId="0A8A3520" w14:textId="77777777" w:rsidR="00B14726" w:rsidRPr="00E668EC" w:rsidRDefault="00B14726">
            <w:pPr>
              <w:jc w:val="center"/>
              <w:rPr>
                <w:rFonts w:asciiTheme="minorBidi" w:hAnsiTheme="minorBidi"/>
                <w:b/>
                <w:bCs/>
                <w:sz w:val="24"/>
                <w:szCs w:val="24"/>
              </w:rPr>
            </w:pPr>
          </w:p>
        </w:tc>
        <w:tc>
          <w:tcPr>
            <w:tcW w:w="10773" w:type="dxa"/>
            <w:shd w:val="clear" w:color="auto" w:fill="C5E0B3" w:themeFill="accent6" w:themeFillTint="66"/>
          </w:tcPr>
          <w:p w14:paraId="7324CC3C" w14:textId="77777777" w:rsidR="00B14726" w:rsidRPr="00E668EC" w:rsidRDefault="00B14726">
            <w:pPr>
              <w:jc w:val="center"/>
              <w:rPr>
                <w:rFonts w:asciiTheme="minorBidi" w:hAnsiTheme="minorBidi"/>
                <w:b/>
                <w:bCs/>
                <w:sz w:val="24"/>
                <w:szCs w:val="24"/>
              </w:rPr>
            </w:pPr>
            <w:r w:rsidRPr="00E668EC">
              <w:rPr>
                <w:rFonts w:asciiTheme="minorBidi" w:hAnsiTheme="minorBidi"/>
                <w:b/>
                <w:bCs/>
                <w:sz w:val="24"/>
                <w:szCs w:val="24"/>
              </w:rPr>
              <w:t>ONR’s views</w:t>
            </w:r>
          </w:p>
        </w:tc>
      </w:tr>
      <w:tr w:rsidR="002D5DC3" w14:paraId="072706E0" w14:textId="77777777" w:rsidTr="2C52F919">
        <w:tc>
          <w:tcPr>
            <w:tcW w:w="4820" w:type="dxa"/>
          </w:tcPr>
          <w:p w14:paraId="55AD60EF" w14:textId="77777777" w:rsidR="00E50CBA" w:rsidRPr="00E50CBA" w:rsidRDefault="00E50CBA" w:rsidP="00E50CBA">
            <w:pPr>
              <w:autoSpaceDE w:val="0"/>
              <w:autoSpaceDN w:val="0"/>
              <w:adjustRightInd w:val="0"/>
              <w:rPr>
                <w:rFonts w:asciiTheme="minorBidi" w:hAnsiTheme="minorBidi"/>
                <w:b/>
                <w:bCs/>
                <w:sz w:val="24"/>
                <w:szCs w:val="24"/>
              </w:rPr>
            </w:pPr>
            <w:r w:rsidRPr="00E50CBA">
              <w:rPr>
                <w:rFonts w:asciiTheme="minorBidi" w:hAnsiTheme="minorBidi"/>
                <w:b/>
                <w:bCs/>
                <w:sz w:val="24"/>
                <w:szCs w:val="24"/>
              </w:rPr>
              <w:t>Questions - We welcome your views on:</w:t>
            </w:r>
          </w:p>
          <w:p w14:paraId="776CA0B0" w14:textId="77777777" w:rsidR="00E50CBA" w:rsidRPr="00E50CBA" w:rsidRDefault="00E50CBA" w:rsidP="00E50CBA">
            <w:pPr>
              <w:autoSpaceDE w:val="0"/>
              <w:autoSpaceDN w:val="0"/>
              <w:adjustRightInd w:val="0"/>
              <w:rPr>
                <w:rFonts w:asciiTheme="minorBidi" w:hAnsiTheme="minorBidi"/>
                <w:sz w:val="24"/>
                <w:szCs w:val="24"/>
              </w:rPr>
            </w:pPr>
          </w:p>
          <w:p w14:paraId="1D5D8769" w14:textId="77777777" w:rsidR="00E50CBA" w:rsidRPr="00E50CBA" w:rsidRDefault="00E50CBA" w:rsidP="00E50CBA">
            <w:pPr>
              <w:autoSpaceDE w:val="0"/>
              <w:autoSpaceDN w:val="0"/>
              <w:adjustRightInd w:val="0"/>
              <w:rPr>
                <w:rFonts w:asciiTheme="minorBidi" w:hAnsiTheme="minorBidi"/>
                <w:sz w:val="24"/>
                <w:szCs w:val="24"/>
              </w:rPr>
            </w:pPr>
            <w:r w:rsidRPr="00E50CBA">
              <w:rPr>
                <w:rFonts w:asciiTheme="minorBidi" w:hAnsiTheme="minorBidi"/>
                <w:b/>
                <w:bCs/>
                <w:sz w:val="24"/>
                <w:szCs w:val="24"/>
              </w:rPr>
              <w:t xml:space="preserve">Document 1: Disposal facilities for solid radioactive waste: guidance on the requirements for authorisation (GRA). </w:t>
            </w:r>
            <w:r w:rsidRPr="00E50CBA">
              <w:rPr>
                <w:rFonts w:asciiTheme="minorBidi" w:hAnsiTheme="minorBidi"/>
                <w:sz w:val="24"/>
                <w:szCs w:val="24"/>
                <w:vertAlign w:val="superscript"/>
              </w:rPr>
              <w:footnoteReference w:id="2"/>
            </w:r>
          </w:p>
          <w:p w14:paraId="47908330" w14:textId="77777777" w:rsidR="002D5DC3" w:rsidRDefault="002D5DC3">
            <w:pPr>
              <w:autoSpaceDE w:val="0"/>
              <w:autoSpaceDN w:val="0"/>
              <w:adjustRightInd w:val="0"/>
              <w:rPr>
                <w:rFonts w:asciiTheme="minorBidi" w:hAnsiTheme="minorBidi"/>
                <w:sz w:val="24"/>
                <w:szCs w:val="24"/>
              </w:rPr>
            </w:pPr>
          </w:p>
        </w:tc>
        <w:tc>
          <w:tcPr>
            <w:tcW w:w="10773" w:type="dxa"/>
          </w:tcPr>
          <w:p w14:paraId="5AE2BEF2" w14:textId="0B9C0274" w:rsidR="00E76828" w:rsidRPr="00E809CB" w:rsidRDefault="00F81C5F" w:rsidP="00CD0CB2">
            <w:pPr>
              <w:numPr>
                <w:ilvl w:val="0"/>
                <w:numId w:val="12"/>
              </w:numPr>
              <w:suppressAutoHyphens/>
              <w:autoSpaceDN w:val="0"/>
              <w:spacing w:after="200" w:line="276" w:lineRule="auto"/>
              <w:rPr>
                <w:rFonts w:ascii="Arial" w:eastAsia="Calibri" w:hAnsi="Arial" w:cs="Times New Roman"/>
                <w:color w:val="000000"/>
                <w:kern w:val="0"/>
                <w14:ligatures w14:val="none"/>
              </w:rPr>
            </w:pPr>
            <w:r w:rsidRPr="2C52F919">
              <w:rPr>
                <w:rFonts w:ascii="Arial" w:eastAsia="Calibri" w:hAnsi="Arial" w:cs="Times New Roman"/>
                <w:color w:val="000000" w:themeColor="text1"/>
                <w:sz w:val="24"/>
                <w:szCs w:val="24"/>
              </w:rPr>
              <w:t xml:space="preserve">We </w:t>
            </w:r>
            <w:r w:rsidR="00C07B79" w:rsidRPr="2C52F919">
              <w:rPr>
                <w:rFonts w:ascii="Arial" w:eastAsia="Calibri" w:hAnsi="Arial" w:cs="Times New Roman"/>
                <w:color w:val="000000" w:themeColor="text1"/>
                <w:sz w:val="24"/>
                <w:szCs w:val="24"/>
              </w:rPr>
              <w:t>pr</w:t>
            </w:r>
            <w:r w:rsidR="00304EA4" w:rsidRPr="2C52F919">
              <w:rPr>
                <w:rFonts w:ascii="Arial" w:eastAsia="Calibri" w:hAnsi="Arial" w:cs="Times New Roman"/>
                <w:color w:val="000000" w:themeColor="text1"/>
                <w:sz w:val="24"/>
                <w:szCs w:val="24"/>
              </w:rPr>
              <w:t>opose</w:t>
            </w:r>
            <w:r w:rsidRPr="2C52F919">
              <w:rPr>
                <w:rFonts w:ascii="Arial" w:eastAsia="Calibri" w:hAnsi="Arial" w:cs="Times New Roman"/>
                <w:color w:val="000000" w:themeColor="text1"/>
                <w:sz w:val="24"/>
                <w:szCs w:val="24"/>
              </w:rPr>
              <w:t xml:space="preserve"> that </w:t>
            </w:r>
            <w:r w:rsidR="00A7572D" w:rsidRPr="78EAA075">
              <w:rPr>
                <w:rFonts w:ascii="Arial" w:eastAsia="Calibri" w:hAnsi="Arial" w:cs="Times New Roman"/>
                <w:color w:val="000000"/>
                <w:kern w:val="0"/>
                <w:sz w:val="24"/>
                <w:szCs w:val="24"/>
                <w14:ligatures w14:val="none"/>
              </w:rPr>
              <w:t>the text (page 16)</w:t>
            </w:r>
            <w:r w:rsidR="00A45D6C" w:rsidRPr="2C52F919">
              <w:rPr>
                <w:rFonts w:ascii="Arial" w:eastAsia="Calibri" w:hAnsi="Arial" w:cs="Times New Roman"/>
                <w:color w:val="000000" w:themeColor="text1"/>
                <w:sz w:val="24"/>
                <w:szCs w:val="24"/>
              </w:rPr>
              <w:t>,</w:t>
            </w:r>
            <w:r w:rsidR="00A7572D" w:rsidRPr="78EAA075">
              <w:rPr>
                <w:rFonts w:ascii="Arial" w:eastAsia="Calibri" w:hAnsi="Arial" w:cs="Times New Roman"/>
                <w:color w:val="000000"/>
                <w:kern w:val="0"/>
                <w:sz w:val="24"/>
                <w:szCs w:val="24"/>
                <w14:ligatures w14:val="none"/>
              </w:rPr>
              <w:t xml:space="preserve"> </w:t>
            </w:r>
            <w:r w:rsidR="00A86A89" w:rsidRPr="78EAA075">
              <w:rPr>
                <w:rFonts w:ascii="Arial" w:eastAsia="Calibri" w:hAnsi="Arial" w:cs="Times New Roman"/>
                <w:color w:val="000000"/>
                <w:kern w:val="0"/>
                <w:sz w:val="24"/>
                <w:szCs w:val="24"/>
                <w14:ligatures w14:val="none"/>
              </w:rPr>
              <w:t xml:space="preserve">advising </w:t>
            </w:r>
            <w:r w:rsidR="00A7572D" w:rsidRPr="78EAA075">
              <w:rPr>
                <w:rFonts w:ascii="Arial" w:eastAsia="Calibri" w:hAnsi="Arial" w:cs="Times New Roman"/>
                <w:color w:val="000000"/>
                <w:kern w:val="0"/>
                <w:sz w:val="24"/>
                <w:szCs w:val="24"/>
                <w14:ligatures w14:val="none"/>
              </w:rPr>
              <w:t>that a neutron chain reaction ‘will not occur’ in practice (i.e. as in requirements 18/ 18a)</w:t>
            </w:r>
            <w:r w:rsidR="00B56450" w:rsidRPr="2C52F919">
              <w:rPr>
                <w:rFonts w:ascii="Arial" w:eastAsia="Calibri" w:hAnsi="Arial" w:cs="Times New Roman"/>
                <w:color w:val="000000" w:themeColor="text1"/>
                <w:sz w:val="24"/>
                <w:szCs w:val="24"/>
              </w:rPr>
              <w:t xml:space="preserve"> </w:t>
            </w:r>
            <w:r w:rsidR="00057058" w:rsidRPr="2C52F919">
              <w:rPr>
                <w:rFonts w:ascii="Arial" w:eastAsia="Calibri" w:hAnsi="Arial" w:cs="Times New Roman"/>
                <w:color w:val="000000" w:themeColor="text1"/>
                <w:sz w:val="24"/>
                <w:szCs w:val="24"/>
              </w:rPr>
              <w:t xml:space="preserve">is substituted for text </w:t>
            </w:r>
            <w:r w:rsidR="00261A27" w:rsidRPr="2C52F919">
              <w:rPr>
                <w:rFonts w:ascii="Arial" w:eastAsia="Calibri" w:hAnsi="Arial" w:cs="Times New Roman"/>
                <w:color w:val="000000" w:themeColor="text1"/>
                <w:sz w:val="24"/>
                <w:szCs w:val="24"/>
              </w:rPr>
              <w:t xml:space="preserve">to highlight </w:t>
            </w:r>
            <w:r w:rsidR="00057058" w:rsidRPr="2C52F919">
              <w:rPr>
                <w:rFonts w:ascii="Arial" w:eastAsia="Calibri" w:hAnsi="Arial" w:cs="Times New Roman"/>
                <w:color w:val="000000" w:themeColor="text1"/>
                <w:sz w:val="24"/>
                <w:szCs w:val="24"/>
              </w:rPr>
              <w:t xml:space="preserve">that </w:t>
            </w:r>
            <w:r w:rsidR="00261A27" w:rsidRPr="2C52F919">
              <w:rPr>
                <w:rFonts w:ascii="Arial" w:eastAsia="Calibri" w:hAnsi="Arial" w:cs="Times New Roman"/>
                <w:color w:val="000000" w:themeColor="text1"/>
                <w:sz w:val="24"/>
                <w:szCs w:val="24"/>
              </w:rPr>
              <w:t xml:space="preserve">the legal </w:t>
            </w:r>
            <w:r w:rsidR="000676F6" w:rsidRPr="2C52F919">
              <w:rPr>
                <w:rFonts w:ascii="Arial" w:eastAsia="Calibri" w:hAnsi="Arial" w:cs="Times New Roman"/>
                <w:color w:val="000000" w:themeColor="text1"/>
                <w:sz w:val="24"/>
                <w:szCs w:val="24"/>
              </w:rPr>
              <w:t>requirement</w:t>
            </w:r>
            <w:r w:rsidR="00261A27" w:rsidRPr="2C52F919">
              <w:rPr>
                <w:rFonts w:ascii="Arial" w:eastAsia="Calibri" w:hAnsi="Arial" w:cs="Times New Roman"/>
                <w:color w:val="000000" w:themeColor="text1"/>
                <w:sz w:val="24"/>
                <w:szCs w:val="24"/>
              </w:rPr>
              <w:t xml:space="preserve"> is that that the risk of criticality has been reduced so far as is </w:t>
            </w:r>
            <w:r w:rsidR="1CBAA6C1" w:rsidRPr="38E0206F">
              <w:rPr>
                <w:rFonts w:ascii="Arial" w:eastAsia="Calibri" w:hAnsi="Arial" w:cs="Times New Roman"/>
                <w:color w:val="000000" w:themeColor="text1"/>
                <w:sz w:val="24"/>
                <w:szCs w:val="24"/>
              </w:rPr>
              <w:t>reasonably</w:t>
            </w:r>
            <w:r w:rsidR="00261A27" w:rsidRPr="2C52F919">
              <w:rPr>
                <w:rFonts w:ascii="Arial" w:eastAsia="Calibri" w:hAnsi="Arial" w:cs="Times New Roman"/>
                <w:color w:val="000000" w:themeColor="text1"/>
                <w:sz w:val="24"/>
                <w:szCs w:val="24"/>
              </w:rPr>
              <w:t xml:space="preserve"> practicable or achievable</w:t>
            </w:r>
            <w:r w:rsidR="00E64193" w:rsidRPr="2C52F919">
              <w:rPr>
                <w:rFonts w:ascii="Arial" w:eastAsia="Calibri" w:hAnsi="Arial" w:cs="Times New Roman"/>
                <w:color w:val="000000" w:themeColor="text1"/>
                <w:sz w:val="24"/>
                <w:szCs w:val="24"/>
              </w:rPr>
              <w:t>.</w:t>
            </w:r>
          </w:p>
          <w:p w14:paraId="603EED30" w14:textId="377217B0" w:rsidR="000676F6" w:rsidRDefault="00590083" w:rsidP="000676F6">
            <w:pPr>
              <w:numPr>
                <w:ilvl w:val="0"/>
                <w:numId w:val="12"/>
              </w:numPr>
              <w:suppressAutoHyphens/>
              <w:autoSpaceDN w:val="0"/>
              <w:spacing w:after="200" w:line="276" w:lineRule="auto"/>
              <w:rPr>
                <w:rFonts w:ascii="Arial" w:eastAsia="Calibri" w:hAnsi="Arial" w:cs="Times New Roman"/>
                <w:color w:val="000000"/>
                <w:kern w:val="0"/>
                <w:sz w:val="24"/>
                <w:szCs w:val="24"/>
                <w14:ligatures w14:val="none"/>
              </w:rPr>
            </w:pPr>
            <w:r>
              <w:rPr>
                <w:rFonts w:ascii="Arial" w:eastAsia="Calibri" w:hAnsi="Arial" w:cs="Times New Roman"/>
                <w:color w:val="000000"/>
                <w:kern w:val="0"/>
                <w:sz w:val="24"/>
                <w:szCs w:val="24"/>
                <w14:ligatures w14:val="none"/>
              </w:rPr>
              <w:t xml:space="preserve">This would make the text in this section consistent with </w:t>
            </w:r>
            <w:r w:rsidR="00C8356D">
              <w:rPr>
                <w:rFonts w:ascii="Arial" w:eastAsia="Calibri" w:hAnsi="Arial" w:cs="Times New Roman"/>
                <w:color w:val="000000"/>
                <w:kern w:val="0"/>
                <w:sz w:val="24"/>
                <w:szCs w:val="24"/>
                <w14:ligatures w14:val="none"/>
              </w:rPr>
              <w:t>R</w:t>
            </w:r>
            <w:r>
              <w:rPr>
                <w:rFonts w:ascii="Arial" w:eastAsia="Calibri" w:hAnsi="Arial" w:cs="Times New Roman"/>
                <w:color w:val="000000"/>
                <w:kern w:val="0"/>
                <w:sz w:val="24"/>
                <w:szCs w:val="24"/>
                <w14:ligatures w14:val="none"/>
              </w:rPr>
              <w:t>equirement 7</w:t>
            </w:r>
            <w:r w:rsidR="00CF1E9C">
              <w:rPr>
                <w:rFonts w:ascii="Arial" w:eastAsia="Calibri" w:hAnsi="Arial" w:cs="Times New Roman"/>
                <w:color w:val="000000"/>
                <w:kern w:val="0"/>
                <w:sz w:val="24"/>
                <w:szCs w:val="24"/>
                <w14:ligatures w14:val="none"/>
              </w:rPr>
              <w:t xml:space="preserve"> </w:t>
            </w:r>
            <w:r w:rsidR="00E64193">
              <w:rPr>
                <w:rFonts w:ascii="Arial" w:eastAsia="Calibri" w:hAnsi="Arial" w:cs="Times New Roman"/>
                <w:color w:val="000000"/>
                <w:kern w:val="0"/>
                <w:sz w:val="24"/>
                <w:szCs w:val="24"/>
                <w14:ligatures w14:val="none"/>
              </w:rPr>
              <w:t>(O</w:t>
            </w:r>
            <w:r w:rsidR="00E64193" w:rsidRPr="78EAA075">
              <w:rPr>
                <w:rFonts w:ascii="Arial" w:eastAsia="Calibri" w:hAnsi="Arial" w:cs="Times New Roman"/>
                <w:color w:val="000000"/>
                <w:kern w:val="0"/>
                <w:sz w:val="24"/>
                <w:szCs w:val="24"/>
                <w14:ligatures w14:val="none"/>
              </w:rPr>
              <w:t>ptimisation</w:t>
            </w:r>
            <w:r w:rsidR="00E64193">
              <w:rPr>
                <w:rFonts w:ascii="Arial" w:eastAsia="Calibri" w:hAnsi="Arial" w:cs="Times New Roman"/>
                <w:color w:val="000000"/>
                <w:kern w:val="0"/>
                <w:sz w:val="24"/>
                <w:szCs w:val="24"/>
                <w14:ligatures w14:val="none"/>
              </w:rPr>
              <w:t xml:space="preserve">) </w:t>
            </w:r>
            <w:r w:rsidR="00CF1E9C">
              <w:rPr>
                <w:rFonts w:ascii="Arial" w:eastAsia="Calibri" w:hAnsi="Arial" w:cs="Times New Roman"/>
                <w:color w:val="000000"/>
                <w:kern w:val="0"/>
                <w:sz w:val="24"/>
                <w:szCs w:val="24"/>
                <w14:ligatures w14:val="none"/>
              </w:rPr>
              <w:t xml:space="preserve">and avoid the </w:t>
            </w:r>
            <w:r w:rsidR="004605C9">
              <w:rPr>
                <w:rFonts w:ascii="Arial" w:eastAsia="Calibri" w:hAnsi="Arial" w:cs="Times New Roman"/>
                <w:color w:val="000000"/>
                <w:kern w:val="0"/>
                <w:sz w:val="24"/>
                <w:szCs w:val="24"/>
                <w14:ligatures w14:val="none"/>
              </w:rPr>
              <w:t xml:space="preserve">applicant </w:t>
            </w:r>
            <w:r w:rsidR="004C3768">
              <w:rPr>
                <w:rFonts w:ascii="Arial" w:eastAsia="Calibri" w:hAnsi="Arial" w:cs="Times New Roman"/>
                <w:color w:val="000000"/>
                <w:kern w:val="0"/>
                <w:sz w:val="24"/>
                <w:szCs w:val="24"/>
                <w14:ligatures w14:val="none"/>
              </w:rPr>
              <w:t xml:space="preserve">having to </w:t>
            </w:r>
            <w:r w:rsidR="00A7572D" w:rsidRPr="78EAA075" w:rsidDel="00E76828">
              <w:rPr>
                <w:rFonts w:ascii="Arial" w:eastAsia="Calibri" w:hAnsi="Arial" w:cs="Times New Roman"/>
                <w:color w:val="000000"/>
                <w:kern w:val="0"/>
                <w:sz w:val="24"/>
                <w:szCs w:val="24"/>
                <w14:ligatures w14:val="none"/>
              </w:rPr>
              <w:t>d</w:t>
            </w:r>
            <w:r w:rsidR="00A7572D" w:rsidRPr="78EAA075">
              <w:rPr>
                <w:rFonts w:ascii="Arial" w:eastAsia="Calibri" w:hAnsi="Arial" w:cs="Times New Roman"/>
                <w:color w:val="000000"/>
                <w:kern w:val="0"/>
                <w:sz w:val="24"/>
                <w:szCs w:val="24"/>
                <w14:ligatures w14:val="none"/>
              </w:rPr>
              <w:t>emonstrat</w:t>
            </w:r>
            <w:r w:rsidR="001355C1" w:rsidRPr="75FB4911">
              <w:rPr>
                <w:rFonts w:ascii="Arial" w:eastAsia="Calibri" w:hAnsi="Arial" w:cs="Times New Roman"/>
                <w:color w:val="000000" w:themeColor="text1"/>
                <w:sz w:val="24"/>
                <w:szCs w:val="24"/>
              </w:rPr>
              <w:t>e</w:t>
            </w:r>
            <w:r w:rsidR="00A7572D" w:rsidRPr="78EAA075">
              <w:rPr>
                <w:rFonts w:ascii="Arial" w:eastAsia="Calibri" w:hAnsi="Arial" w:cs="Times New Roman"/>
                <w:color w:val="000000"/>
                <w:kern w:val="0"/>
                <w:sz w:val="24"/>
                <w:szCs w:val="24"/>
                <w14:ligatures w14:val="none"/>
              </w:rPr>
              <w:t xml:space="preserve"> that </w:t>
            </w:r>
            <w:r w:rsidR="001355C1" w:rsidRPr="75FB4911">
              <w:rPr>
                <w:rFonts w:ascii="Arial" w:eastAsia="Calibri" w:hAnsi="Arial" w:cs="Times New Roman"/>
                <w:color w:val="000000" w:themeColor="text1"/>
                <w:sz w:val="24"/>
                <w:szCs w:val="24"/>
              </w:rPr>
              <w:t xml:space="preserve">a </w:t>
            </w:r>
            <w:r w:rsidR="00A7572D" w:rsidRPr="78EAA075">
              <w:rPr>
                <w:rFonts w:ascii="Arial" w:eastAsia="Calibri" w:hAnsi="Arial" w:cs="Times New Roman"/>
                <w:color w:val="000000"/>
                <w:kern w:val="0"/>
                <w:sz w:val="24"/>
                <w:szCs w:val="24"/>
                <w14:ligatures w14:val="none"/>
              </w:rPr>
              <w:t>criticality will not occur</w:t>
            </w:r>
            <w:r w:rsidR="00E76828" w:rsidRPr="75FB4911">
              <w:rPr>
                <w:rFonts w:ascii="Arial" w:eastAsia="Calibri" w:hAnsi="Arial" w:cs="Times New Roman"/>
                <w:color w:val="000000" w:themeColor="text1"/>
                <w:sz w:val="24"/>
                <w:szCs w:val="24"/>
              </w:rPr>
              <w:t>,</w:t>
            </w:r>
            <w:r w:rsidR="00A7572D" w:rsidRPr="78EAA075">
              <w:rPr>
                <w:rFonts w:ascii="Arial" w:eastAsia="Calibri" w:hAnsi="Arial" w:cs="Times New Roman"/>
                <w:color w:val="000000"/>
                <w:kern w:val="0"/>
                <w:sz w:val="24"/>
                <w:szCs w:val="24"/>
                <w14:ligatures w14:val="none"/>
              </w:rPr>
              <w:t xml:space="preserve"> under any reasonably conceivable situation, particularly post-closure</w:t>
            </w:r>
            <w:r w:rsidR="001355C1" w:rsidRPr="75FB4911">
              <w:rPr>
                <w:rFonts w:ascii="Arial" w:eastAsia="Calibri" w:hAnsi="Arial" w:cs="Times New Roman"/>
                <w:color w:val="000000" w:themeColor="text1"/>
                <w:sz w:val="24"/>
                <w:szCs w:val="24"/>
              </w:rPr>
              <w:t>, w</w:t>
            </w:r>
            <w:r w:rsidR="00BE0263" w:rsidRPr="75FB4911">
              <w:rPr>
                <w:rFonts w:ascii="Arial" w:eastAsia="Calibri" w:hAnsi="Arial" w:cs="Times New Roman"/>
                <w:color w:val="000000" w:themeColor="text1"/>
                <w:sz w:val="24"/>
                <w:szCs w:val="24"/>
              </w:rPr>
              <w:t>hich</w:t>
            </w:r>
            <w:r w:rsidR="00A45D6C" w:rsidRPr="75FB4911">
              <w:rPr>
                <w:rFonts w:ascii="Arial" w:eastAsia="Calibri" w:hAnsi="Arial" w:cs="Times New Roman"/>
                <w:color w:val="000000" w:themeColor="text1"/>
                <w:sz w:val="24"/>
                <w:szCs w:val="24"/>
              </w:rPr>
              <w:t>, in our view</w:t>
            </w:r>
            <w:r w:rsidR="002D654F" w:rsidRPr="75FB4911">
              <w:rPr>
                <w:rFonts w:ascii="Arial" w:eastAsia="Calibri" w:hAnsi="Arial" w:cs="Times New Roman"/>
                <w:color w:val="000000" w:themeColor="text1"/>
                <w:sz w:val="24"/>
                <w:szCs w:val="24"/>
              </w:rPr>
              <w:t xml:space="preserve">, is </w:t>
            </w:r>
            <w:r w:rsidR="00C462F7" w:rsidRPr="75FB4911">
              <w:rPr>
                <w:rFonts w:ascii="Arial" w:eastAsia="Calibri" w:hAnsi="Arial" w:cs="Times New Roman"/>
                <w:color w:val="000000" w:themeColor="text1"/>
                <w:sz w:val="24"/>
                <w:szCs w:val="24"/>
              </w:rPr>
              <w:t>contrary to the pri</w:t>
            </w:r>
            <w:r w:rsidR="006C1778" w:rsidRPr="75FB4911">
              <w:rPr>
                <w:rFonts w:ascii="Arial" w:eastAsia="Calibri" w:hAnsi="Arial" w:cs="Times New Roman"/>
                <w:color w:val="000000" w:themeColor="text1"/>
                <w:sz w:val="24"/>
                <w:szCs w:val="24"/>
              </w:rPr>
              <w:t xml:space="preserve">nciple approach to optimisation and </w:t>
            </w:r>
            <w:r w:rsidR="00C8356D" w:rsidRPr="75FB4911">
              <w:rPr>
                <w:rFonts w:ascii="Arial" w:eastAsia="Calibri" w:hAnsi="Arial" w:cs="Times New Roman"/>
                <w:color w:val="000000" w:themeColor="text1"/>
                <w:sz w:val="24"/>
                <w:szCs w:val="24"/>
              </w:rPr>
              <w:t>would</w:t>
            </w:r>
            <w:r w:rsidR="001A3BE5" w:rsidRPr="75FB4911">
              <w:rPr>
                <w:rFonts w:ascii="Arial" w:eastAsia="Calibri" w:hAnsi="Arial" w:cs="Times New Roman"/>
                <w:color w:val="000000" w:themeColor="text1"/>
                <w:sz w:val="24"/>
                <w:szCs w:val="24"/>
              </w:rPr>
              <w:t xml:space="preserve"> </w:t>
            </w:r>
            <w:r w:rsidR="006C1778" w:rsidRPr="75FB4911">
              <w:rPr>
                <w:rFonts w:ascii="Arial" w:eastAsia="Calibri" w:hAnsi="Arial" w:cs="Times New Roman"/>
                <w:color w:val="000000" w:themeColor="text1"/>
                <w:sz w:val="24"/>
                <w:szCs w:val="24"/>
              </w:rPr>
              <w:t xml:space="preserve">be </w:t>
            </w:r>
            <w:r w:rsidR="00F81C5F" w:rsidRPr="75FB4911">
              <w:rPr>
                <w:rFonts w:ascii="Arial" w:eastAsia="Calibri" w:hAnsi="Arial" w:cs="Times New Roman"/>
                <w:color w:val="000000" w:themeColor="text1"/>
                <w:sz w:val="24"/>
                <w:szCs w:val="24"/>
              </w:rPr>
              <w:t>virtually impossible to achi</w:t>
            </w:r>
            <w:r w:rsidR="002D654F" w:rsidRPr="75FB4911">
              <w:rPr>
                <w:rFonts w:ascii="Arial" w:eastAsia="Calibri" w:hAnsi="Arial" w:cs="Times New Roman"/>
                <w:color w:val="000000" w:themeColor="text1"/>
                <w:sz w:val="24"/>
                <w:szCs w:val="24"/>
              </w:rPr>
              <w:t>e</w:t>
            </w:r>
            <w:r w:rsidR="00F81C5F" w:rsidRPr="75FB4911">
              <w:rPr>
                <w:rFonts w:ascii="Arial" w:eastAsia="Calibri" w:hAnsi="Arial" w:cs="Times New Roman"/>
                <w:color w:val="000000" w:themeColor="text1"/>
                <w:sz w:val="24"/>
                <w:szCs w:val="24"/>
              </w:rPr>
              <w:t>ve.</w:t>
            </w:r>
            <w:r w:rsidR="00E309BE" w:rsidRPr="75FB4911">
              <w:rPr>
                <w:rFonts w:ascii="Arial" w:eastAsia="Calibri" w:hAnsi="Arial" w:cs="Times New Roman"/>
                <w:color w:val="000000" w:themeColor="text1"/>
                <w:sz w:val="24"/>
                <w:szCs w:val="24"/>
              </w:rPr>
              <w:t xml:space="preserve"> A</w:t>
            </w:r>
            <w:r w:rsidR="00234CAF" w:rsidRPr="75FB4911">
              <w:rPr>
                <w:rFonts w:ascii="Arial" w:eastAsia="Calibri" w:hAnsi="Arial" w:cs="Times New Roman"/>
                <w:color w:val="000000" w:themeColor="text1"/>
                <w:sz w:val="24"/>
                <w:szCs w:val="24"/>
              </w:rPr>
              <w:t xml:space="preserve">s section 7 states: </w:t>
            </w:r>
          </w:p>
          <w:p w14:paraId="29CF246D" w14:textId="37E262CB" w:rsidR="00A7572D" w:rsidRPr="00A7572D" w:rsidRDefault="000676F6" w:rsidP="00E809CB">
            <w:pPr>
              <w:suppressAutoHyphens/>
              <w:autoSpaceDN w:val="0"/>
              <w:spacing w:after="200" w:line="276" w:lineRule="auto"/>
              <w:ind w:left="720"/>
              <w:rPr>
                <w:rFonts w:ascii="Arial" w:eastAsia="Calibri" w:hAnsi="Arial" w:cs="Times New Roman"/>
                <w:color w:val="000000"/>
                <w:kern w:val="0"/>
                <w14:ligatures w14:val="none"/>
              </w:rPr>
            </w:pPr>
            <w:r w:rsidRPr="2C52F919">
              <w:rPr>
                <w:rFonts w:ascii="Arial" w:eastAsia="Calibri" w:hAnsi="Arial" w:cs="Times New Roman"/>
                <w:i/>
                <w:iCs/>
                <w:color w:val="000000" w:themeColor="text1"/>
                <w:sz w:val="24"/>
                <w:szCs w:val="24"/>
              </w:rPr>
              <w:t xml:space="preserve">“….. </w:t>
            </w:r>
            <w:r w:rsidRPr="00E809CB">
              <w:rPr>
                <w:rFonts w:ascii="Arial" w:eastAsia="Calibri" w:hAnsi="Arial" w:cs="Times New Roman"/>
                <w:i/>
                <w:iCs/>
                <w:color w:val="000000" w:themeColor="text1"/>
                <w:sz w:val="24"/>
                <w:szCs w:val="24"/>
              </w:rPr>
              <w:t>The effort and resources you put into optimisation should be proportionate to the magnitude of the exposure or potential exposure / risk. There is no lower level of exposure below which optimisation is not required, but there are diminishing returns as the exposure is progressively driven lower</w:t>
            </w:r>
            <w:r w:rsidRPr="2C52F919">
              <w:rPr>
                <w:rFonts w:ascii="Arial" w:eastAsia="Calibri" w:hAnsi="Arial" w:cs="Times New Roman"/>
                <w:i/>
                <w:iCs/>
                <w:color w:val="000000" w:themeColor="text1"/>
                <w:sz w:val="24"/>
                <w:szCs w:val="24"/>
              </w:rPr>
              <w:t>…..</w:t>
            </w:r>
            <w:r w:rsidRPr="00E809CB">
              <w:rPr>
                <w:rFonts w:ascii="Arial" w:eastAsia="Calibri" w:hAnsi="Arial" w:cs="Times New Roman"/>
                <w:i/>
                <w:iCs/>
                <w:color w:val="000000" w:themeColor="text1"/>
                <w:sz w:val="24"/>
                <w:szCs w:val="24"/>
              </w:rPr>
              <w:t>.</w:t>
            </w:r>
            <w:r w:rsidRPr="2C52F919">
              <w:rPr>
                <w:rFonts w:ascii="Arial" w:eastAsia="Calibri" w:hAnsi="Arial" w:cs="Times New Roman"/>
                <w:i/>
                <w:iCs/>
                <w:color w:val="000000" w:themeColor="text1"/>
                <w:sz w:val="24"/>
                <w:szCs w:val="24"/>
              </w:rPr>
              <w:t>”</w:t>
            </w:r>
          </w:p>
          <w:p w14:paraId="0AB53F2B" w14:textId="269F4E15" w:rsidR="00A7572D" w:rsidRPr="00A7572D" w:rsidRDefault="00A7572D" w:rsidP="00A7572D">
            <w:pPr>
              <w:numPr>
                <w:ilvl w:val="0"/>
                <w:numId w:val="12"/>
              </w:numPr>
              <w:suppressAutoHyphens/>
              <w:autoSpaceDN w:val="0"/>
              <w:spacing w:after="200" w:line="276" w:lineRule="auto"/>
              <w:rPr>
                <w:rFonts w:ascii="Arial" w:eastAsia="Calibri" w:hAnsi="Arial" w:cs="Times New Roman"/>
                <w:color w:val="000000"/>
                <w:kern w:val="0"/>
                <w:sz w:val="24"/>
                <w:szCs w:val="24"/>
                <w14:ligatures w14:val="none"/>
              </w:rPr>
            </w:pPr>
            <w:r w:rsidRPr="48BFC41D">
              <w:rPr>
                <w:rFonts w:ascii="Arial" w:eastAsia="Calibri" w:hAnsi="Arial" w:cs="Times New Roman"/>
                <w:color w:val="000000"/>
                <w:kern w:val="0"/>
                <w:sz w:val="24"/>
                <w:szCs w:val="24"/>
                <w14:ligatures w14:val="none"/>
              </w:rPr>
              <w:t xml:space="preserve">The guidance may need to cover on-site disposals that become ‘relevant disposal sites’ after being removed from the nuclear site licensing regime (if not covered in the GRR guidance). </w:t>
            </w:r>
            <w:r w:rsidR="0C8C36FA" w:rsidRPr="48BFC41D">
              <w:rPr>
                <w:rFonts w:ascii="Arial" w:eastAsia="Calibri" w:hAnsi="Arial" w:cs="Times New Roman"/>
                <w:color w:val="000000"/>
                <w:kern w:val="0"/>
                <w:sz w:val="24"/>
                <w:szCs w:val="24"/>
                <w14:ligatures w14:val="none"/>
              </w:rPr>
              <w:t>We</w:t>
            </w:r>
            <w:r w:rsidRPr="48BFC41D">
              <w:rPr>
                <w:rFonts w:ascii="Arial" w:eastAsia="Calibri" w:hAnsi="Arial" w:cs="Times New Roman"/>
                <w:color w:val="000000"/>
                <w:kern w:val="0"/>
                <w:sz w:val="24"/>
                <w:szCs w:val="24"/>
                <w14:ligatures w14:val="none"/>
              </w:rPr>
              <w:t xml:space="preserve"> suggest that text at page 17, second para is amended as follows: </w:t>
            </w:r>
          </w:p>
          <w:p w14:paraId="664518BB" w14:textId="77777777" w:rsidR="00A7572D" w:rsidRPr="00A7572D" w:rsidRDefault="00A7572D" w:rsidP="00A7572D">
            <w:pPr>
              <w:ind w:left="720"/>
              <w:rPr>
                <w:rFonts w:ascii="Arial" w:eastAsia="Times New Roman" w:hAnsi="Arial" w:cs="Times New Roman"/>
                <w:color w:val="000000"/>
                <w:kern w:val="0"/>
                <w:sz w:val="24"/>
                <w:szCs w:val="24"/>
                <w14:ligatures w14:val="none"/>
              </w:rPr>
            </w:pPr>
            <w:r w:rsidRPr="00A7572D">
              <w:rPr>
                <w:rFonts w:ascii="Arial" w:eastAsia="Times New Roman" w:hAnsi="Arial" w:cs="Times New Roman"/>
                <w:i/>
                <w:iCs/>
                <w:color w:val="000000"/>
                <w:kern w:val="0"/>
                <w:sz w:val="24"/>
                <w:szCs w:val="24"/>
                <w14:ligatures w14:val="none"/>
              </w:rPr>
              <w:t>‘This guidance applies to facilities dedicated for solid waste disposal. Typically therefore, it would not apply to solid waste disposals that take place on a nuclear licensed site in decommissioning, known as in-situ disposals or disposals for a purpose.’ However the guidance may need to be applied in circumstances where, following decommissioning, the site is delicensed</w:t>
            </w:r>
            <w:r w:rsidRPr="00A7572D">
              <w:rPr>
                <w:rFonts w:ascii="Arial" w:eastAsia="Times New Roman" w:hAnsi="Arial" w:cs="Times New Roman"/>
                <w:color w:val="000000"/>
                <w:kern w:val="0"/>
                <w:sz w:val="24"/>
                <w:szCs w:val="24"/>
                <w14:ligatures w14:val="none"/>
              </w:rPr>
              <w:t xml:space="preserve">. </w:t>
            </w:r>
          </w:p>
          <w:p w14:paraId="03D29C0C" w14:textId="77777777" w:rsidR="00A7572D" w:rsidRPr="00A7572D" w:rsidRDefault="00A7572D" w:rsidP="00A7572D">
            <w:pPr>
              <w:ind w:left="142"/>
              <w:rPr>
                <w:rFonts w:ascii="Arial" w:eastAsia="Times New Roman" w:hAnsi="Arial" w:cs="Times New Roman"/>
                <w:b/>
                <w:bCs/>
                <w:color w:val="000000"/>
                <w:kern w:val="0"/>
                <w:sz w:val="32"/>
                <w:szCs w:val="24"/>
                <w14:ligatures w14:val="none"/>
              </w:rPr>
            </w:pPr>
          </w:p>
          <w:p w14:paraId="41B9313B" w14:textId="77777777" w:rsidR="00A7572D" w:rsidRPr="00A7572D" w:rsidRDefault="00A7572D" w:rsidP="00A7572D">
            <w:pPr>
              <w:rPr>
                <w:rFonts w:ascii="Arial" w:eastAsia="Calibri" w:hAnsi="Arial" w:cs="Times New Roman"/>
                <w:bCs/>
                <w:color w:val="000000"/>
                <w:kern w:val="0"/>
                <w:sz w:val="24"/>
                <w:szCs w:val="24"/>
                <w14:ligatures w14:val="none"/>
              </w:rPr>
            </w:pPr>
            <w:r w:rsidRPr="00A7572D">
              <w:rPr>
                <w:rFonts w:ascii="Arial" w:eastAsia="Calibri" w:hAnsi="Arial" w:cs="Times New Roman"/>
                <w:color w:val="000000"/>
                <w:kern w:val="0"/>
                <w:sz w:val="24"/>
                <w:szCs w:val="24"/>
                <w:u w:val="single"/>
                <w14:ligatures w14:val="none"/>
              </w:rPr>
              <w:t xml:space="preserve">Relationship with operational health and safety and nuclear safety </w:t>
            </w:r>
          </w:p>
          <w:p w14:paraId="78A27919" w14:textId="77777777" w:rsidR="00A7572D" w:rsidRPr="00A7572D" w:rsidRDefault="00A7572D" w:rsidP="00A7572D">
            <w:pPr>
              <w:rPr>
                <w:rFonts w:ascii="Arial" w:eastAsia="Calibri" w:hAnsi="Arial" w:cs="Times New Roman"/>
                <w:bCs/>
                <w:color w:val="000000"/>
                <w:kern w:val="0"/>
                <w:sz w:val="24"/>
                <w:szCs w:val="24"/>
                <w14:ligatures w14:val="none"/>
              </w:rPr>
            </w:pPr>
            <w:r w:rsidRPr="00A7572D">
              <w:rPr>
                <w:rFonts w:ascii="Arial" w:eastAsia="Calibri" w:hAnsi="Arial" w:cs="Times New Roman"/>
                <w:bCs/>
                <w:color w:val="000000"/>
                <w:kern w:val="0"/>
                <w:sz w:val="24"/>
                <w:szCs w:val="24"/>
                <w14:ligatures w14:val="none"/>
              </w:rPr>
              <w:t xml:space="preserve"> </w:t>
            </w:r>
          </w:p>
          <w:p w14:paraId="0C0CBE07" w14:textId="5394EF6D" w:rsidR="00A7572D" w:rsidRPr="00A7572D" w:rsidRDefault="00A7572D" w:rsidP="00A7572D">
            <w:pPr>
              <w:numPr>
                <w:ilvl w:val="0"/>
                <w:numId w:val="12"/>
              </w:numPr>
              <w:suppressAutoHyphens/>
              <w:autoSpaceDN w:val="0"/>
              <w:spacing w:after="200" w:line="276" w:lineRule="auto"/>
              <w:rPr>
                <w:rFonts w:ascii="Arial" w:eastAsia="Calibri" w:hAnsi="Arial" w:cs="Times New Roman"/>
                <w:color w:val="000000"/>
                <w:kern w:val="0"/>
                <w:sz w:val="24"/>
                <w:szCs w:val="24"/>
                <w14:ligatures w14:val="none"/>
              </w:rPr>
            </w:pPr>
            <w:r w:rsidRPr="0B97B180">
              <w:rPr>
                <w:rFonts w:ascii="Arial" w:eastAsia="Calibri" w:hAnsi="Arial" w:cs="Times New Roman"/>
                <w:color w:val="000000"/>
                <w:kern w:val="0"/>
                <w:sz w:val="24"/>
                <w:szCs w:val="24"/>
                <w14:ligatures w14:val="none"/>
              </w:rPr>
              <w:t xml:space="preserve">Page 59 of this section indicates the requirements for a nuclear safety case for a nuclear licensed site. </w:t>
            </w:r>
            <w:r w:rsidR="04E52BA9" w:rsidRPr="335A4EC1">
              <w:rPr>
                <w:rFonts w:ascii="Arial" w:eastAsia="Calibri" w:hAnsi="Arial" w:cs="Times New Roman"/>
                <w:color w:val="000000"/>
                <w:kern w:val="0"/>
                <w:sz w:val="24"/>
                <w:szCs w:val="24"/>
                <w14:ligatures w14:val="none"/>
              </w:rPr>
              <w:t xml:space="preserve">We </w:t>
            </w:r>
            <w:r w:rsidR="75E8402F" w:rsidRPr="335A4EC1">
              <w:rPr>
                <w:rFonts w:ascii="Arial" w:eastAsia="Calibri" w:hAnsi="Arial" w:cs="Times New Roman"/>
                <w:color w:val="000000"/>
                <w:kern w:val="0"/>
                <w:sz w:val="24"/>
                <w:szCs w:val="24"/>
                <w14:ligatures w14:val="none"/>
              </w:rPr>
              <w:t>note</w:t>
            </w:r>
            <w:r w:rsidRPr="0B97B180">
              <w:rPr>
                <w:rFonts w:ascii="Arial" w:eastAsia="Calibri" w:hAnsi="Arial" w:cs="Times New Roman"/>
                <w:color w:val="000000"/>
                <w:kern w:val="0"/>
                <w:sz w:val="24"/>
                <w:szCs w:val="24"/>
                <w14:ligatures w14:val="none"/>
              </w:rPr>
              <w:t xml:space="preserve"> that the compliance requirements are much wider than this and include compliance with all Licence Conditions and relevant health and safety laws and should be amended accordingly.</w:t>
            </w:r>
          </w:p>
          <w:p w14:paraId="5FE2D574" w14:textId="61687B00" w:rsidR="00A7572D" w:rsidRPr="00A7572D" w:rsidRDefault="00A7572D" w:rsidP="00A7572D">
            <w:pPr>
              <w:numPr>
                <w:ilvl w:val="0"/>
                <w:numId w:val="12"/>
              </w:numPr>
              <w:suppressAutoHyphens/>
              <w:autoSpaceDN w:val="0"/>
              <w:spacing w:after="200" w:line="276" w:lineRule="auto"/>
              <w:rPr>
                <w:rFonts w:ascii="Arial" w:eastAsia="Calibri" w:hAnsi="Arial" w:cs="Times New Roman"/>
                <w:color w:val="000000"/>
                <w:kern w:val="0"/>
                <w:sz w:val="24"/>
                <w:szCs w:val="24"/>
                <w14:ligatures w14:val="none"/>
              </w:rPr>
            </w:pPr>
            <w:r w:rsidRPr="27E9F9FE">
              <w:rPr>
                <w:rFonts w:ascii="Arial" w:eastAsia="Calibri" w:hAnsi="Arial" w:cs="Times New Roman"/>
                <w:color w:val="000000"/>
                <w:kern w:val="0"/>
                <w:sz w:val="24"/>
                <w:szCs w:val="24"/>
                <w14:ligatures w14:val="none"/>
              </w:rPr>
              <w:t xml:space="preserve">ONR’s regulatory oversight and expectations are wider than suggested in the text here and should be amended to reflect that the </w:t>
            </w:r>
            <w:proofErr w:type="spellStart"/>
            <w:r w:rsidRPr="27E9F9FE">
              <w:rPr>
                <w:rFonts w:ascii="Arial" w:eastAsia="Calibri" w:hAnsi="Arial" w:cs="Times New Roman"/>
                <w:color w:val="000000"/>
                <w:kern w:val="0"/>
                <w:sz w:val="24"/>
                <w:szCs w:val="24"/>
                <w14:ligatures w14:val="none"/>
              </w:rPr>
              <w:t>licensee</w:t>
            </w:r>
            <w:proofErr w:type="spellEnd"/>
            <w:r w:rsidRPr="27E9F9FE">
              <w:rPr>
                <w:rFonts w:ascii="Arial" w:eastAsia="Calibri" w:hAnsi="Arial" w:cs="Times New Roman"/>
                <w:color w:val="000000"/>
                <w:kern w:val="0"/>
                <w:sz w:val="24"/>
                <w:szCs w:val="24"/>
                <w14:ligatures w14:val="none"/>
              </w:rPr>
              <w:t xml:space="preserve"> is required to comply with all Licence Conditions and relevant laws at all times. </w:t>
            </w:r>
            <w:r w:rsidR="427FF590" w:rsidRPr="7FAAF8F2">
              <w:rPr>
                <w:rFonts w:ascii="Arial" w:eastAsia="Calibri" w:hAnsi="Arial" w:cs="Times New Roman"/>
                <w:color w:val="000000"/>
                <w:kern w:val="0"/>
                <w:sz w:val="24"/>
                <w:szCs w:val="24"/>
                <w14:ligatures w14:val="none"/>
              </w:rPr>
              <w:t>We</w:t>
            </w:r>
            <w:r w:rsidRPr="27E9F9FE">
              <w:rPr>
                <w:rFonts w:ascii="Arial" w:eastAsia="Calibri" w:hAnsi="Arial" w:cs="Times New Roman"/>
                <w:color w:val="000000"/>
                <w:kern w:val="0"/>
                <w:sz w:val="24"/>
                <w:szCs w:val="24"/>
                <w14:ligatures w14:val="none"/>
              </w:rPr>
              <w:t xml:space="preserve"> suggest the text be amended as follows:-</w:t>
            </w:r>
          </w:p>
          <w:p w14:paraId="1C23A4DA" w14:textId="77777777" w:rsidR="00A7572D" w:rsidRPr="00A7572D" w:rsidRDefault="00A7572D" w:rsidP="00A7572D">
            <w:pPr>
              <w:suppressAutoHyphens/>
              <w:autoSpaceDN w:val="0"/>
              <w:ind w:left="720"/>
              <w:rPr>
                <w:rFonts w:ascii="Arial" w:eastAsia="Times New Roman" w:hAnsi="Arial" w:cs="Times New Roman"/>
                <w:bCs/>
                <w:i/>
                <w:iCs/>
                <w:color w:val="000000"/>
                <w:kern w:val="0"/>
                <w:sz w:val="24"/>
                <w:szCs w:val="24"/>
                <w14:ligatures w14:val="none"/>
              </w:rPr>
            </w:pPr>
            <w:r w:rsidRPr="00A7572D">
              <w:rPr>
                <w:rFonts w:ascii="Arial" w:eastAsia="Times New Roman" w:hAnsi="Arial" w:cs="Times New Roman"/>
                <w:bCs/>
                <w:i/>
                <w:iCs/>
                <w:color w:val="000000"/>
                <w:kern w:val="0"/>
                <w:sz w:val="24"/>
                <w:szCs w:val="24"/>
                <w14:ligatures w14:val="none"/>
              </w:rPr>
              <w:t xml:space="preserve">If your site holds a nuclear site licence, protecting workers and avoiding and mitigating the immediate consequences of accidents during operations are regulated by the ONR. ONR will require you to demonstrate compliance with the law. This will include, but is not restricted to, preparing and maintaining a nuclear safety case demonstrating that your arrangements for protecting workers and avoiding and mitigating the immediate consequences of accidents meet legal requirements. How ONR regulates can be found at </w:t>
            </w:r>
            <w:hyperlink r:id="rId12" w:history="1">
              <w:r w:rsidRPr="00A7572D">
                <w:rPr>
                  <w:rFonts w:ascii="Arial" w:eastAsia="Times New Roman" w:hAnsi="Arial" w:cs="Times New Roman"/>
                  <w:i/>
                  <w:iCs/>
                  <w:color w:val="0000FF"/>
                  <w:kern w:val="0"/>
                  <w:sz w:val="24"/>
                  <w:szCs w:val="24"/>
                  <w:u w:val="single"/>
                  <w14:ligatures w14:val="none"/>
                </w:rPr>
                <w:t>How we regulate | Office for Nuclear Regulation</w:t>
              </w:r>
            </w:hyperlink>
          </w:p>
          <w:p w14:paraId="1E77ED47" w14:textId="77777777" w:rsidR="00A7572D" w:rsidRPr="00A7572D" w:rsidRDefault="00A7572D" w:rsidP="00A7572D">
            <w:pPr>
              <w:rPr>
                <w:rFonts w:ascii="Arial" w:eastAsia="Times New Roman" w:hAnsi="Arial" w:cs="Times New Roman"/>
                <w:b/>
                <w:bCs/>
                <w:color w:val="000000"/>
                <w:kern w:val="0"/>
                <w:sz w:val="32"/>
                <w:szCs w:val="24"/>
                <w14:ligatures w14:val="none"/>
              </w:rPr>
            </w:pPr>
          </w:p>
          <w:p w14:paraId="79D68B77" w14:textId="77777777" w:rsidR="00A7572D" w:rsidRPr="00A7572D" w:rsidRDefault="00A7572D" w:rsidP="00A7572D">
            <w:pPr>
              <w:numPr>
                <w:ilvl w:val="0"/>
                <w:numId w:val="12"/>
              </w:numPr>
              <w:suppressAutoHyphens/>
              <w:autoSpaceDN w:val="0"/>
              <w:spacing w:after="200" w:line="276" w:lineRule="auto"/>
              <w:rPr>
                <w:rFonts w:ascii="Arial" w:eastAsia="Calibri" w:hAnsi="Arial" w:cs="Times New Roman"/>
                <w:bCs/>
                <w:color w:val="000000"/>
                <w:kern w:val="0"/>
                <w:sz w:val="24"/>
                <w:szCs w:val="24"/>
                <w14:ligatures w14:val="none"/>
              </w:rPr>
            </w:pPr>
            <w:r w:rsidRPr="00A7572D">
              <w:rPr>
                <w:rFonts w:ascii="Arial" w:eastAsia="Calibri" w:hAnsi="Arial" w:cs="Times New Roman"/>
                <w:bCs/>
                <w:color w:val="000000"/>
                <w:kern w:val="0"/>
                <w:sz w:val="24"/>
                <w:szCs w:val="24"/>
                <w14:ligatures w14:val="none"/>
              </w:rPr>
              <w:t>In relation to dose assessments (text at page 60) we recommend that the advice state that the assessment use the total planned inventory in the disposal facility to provide the worst case scenario. At present this is not explicitly stated.</w:t>
            </w:r>
          </w:p>
          <w:p w14:paraId="0E0594B8" w14:textId="77777777" w:rsidR="002D5DC3" w:rsidRDefault="002D5DC3">
            <w:pPr>
              <w:autoSpaceDE w:val="0"/>
              <w:autoSpaceDN w:val="0"/>
              <w:adjustRightInd w:val="0"/>
              <w:rPr>
                <w:rFonts w:asciiTheme="minorBidi" w:hAnsiTheme="minorBidi"/>
                <w:sz w:val="24"/>
                <w:szCs w:val="24"/>
              </w:rPr>
            </w:pPr>
          </w:p>
        </w:tc>
      </w:tr>
      <w:tr w:rsidR="003F08BB" w14:paraId="3BE015F3" w14:textId="77777777" w:rsidTr="2C52F919">
        <w:tc>
          <w:tcPr>
            <w:tcW w:w="15593" w:type="dxa"/>
            <w:gridSpan w:val="2"/>
          </w:tcPr>
          <w:p w14:paraId="56560F1C" w14:textId="0F5EFB06" w:rsidR="00C14BFD" w:rsidRPr="00C14BFD" w:rsidRDefault="00083935" w:rsidP="00C14BFD">
            <w:pPr>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ONR responses to subsequent questions posed</w:t>
            </w:r>
            <w:r w:rsidR="00A729BC">
              <w:rPr>
                <w:rFonts w:ascii="Arial" w:eastAsia="Times New Roman" w:hAnsi="Arial" w:cs="Times New Roman"/>
                <w:b/>
                <w:kern w:val="0"/>
                <w:sz w:val="24"/>
                <w:szCs w:val="24"/>
                <w14:ligatures w14:val="none"/>
              </w:rPr>
              <w:t xml:space="preserve"> in this section of the consultation.</w:t>
            </w:r>
          </w:p>
          <w:p w14:paraId="423B0138" w14:textId="77777777" w:rsidR="00C14BFD" w:rsidRDefault="00C14BFD" w:rsidP="00C14BFD">
            <w:pPr>
              <w:suppressAutoHyphens/>
              <w:autoSpaceDN w:val="0"/>
              <w:ind w:left="142"/>
              <w:rPr>
                <w:rFonts w:ascii="Arial" w:eastAsia="Times New Roman" w:hAnsi="Arial" w:cs="Times New Roman"/>
                <w:bCs/>
                <w:color w:val="000000"/>
                <w:kern w:val="0"/>
                <w:sz w:val="24"/>
                <w:szCs w:val="24"/>
                <w14:ligatures w14:val="none"/>
              </w:rPr>
            </w:pPr>
          </w:p>
          <w:p w14:paraId="7986843C" w14:textId="746E302C"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Is the document clear and easy to read?</w:t>
            </w:r>
          </w:p>
          <w:p w14:paraId="388BE4F6"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69DB923F" w14:textId="77777777" w:rsidR="003F08BB" w:rsidRPr="003F08BB" w:rsidRDefault="003F08BB" w:rsidP="003F08BB">
            <w:pPr>
              <w:suppressAutoHyphens/>
              <w:autoSpaceDN w:val="0"/>
              <w:ind w:left="502"/>
              <w:rPr>
                <w:rFonts w:ascii="Arial" w:eastAsia="Times New Roman" w:hAnsi="Arial" w:cs="Times New Roman"/>
                <w:bCs/>
                <w:i/>
                <w:iCs/>
                <w:kern w:val="0"/>
                <w:sz w:val="24"/>
                <w:szCs w:val="24"/>
                <w14:ligatures w14:val="none"/>
              </w:rPr>
            </w:pPr>
            <w:bookmarkStart w:id="0" w:name="_Hlk191376540"/>
            <w:r w:rsidRPr="003F08BB">
              <w:rPr>
                <w:rFonts w:ascii="Arial" w:eastAsia="Times New Roman" w:hAnsi="Arial" w:cs="Times New Roman"/>
                <w:bCs/>
                <w:i/>
                <w:iCs/>
                <w:kern w:val="0"/>
                <w:sz w:val="24"/>
                <w:szCs w:val="24"/>
                <w14:ligatures w14:val="none"/>
              </w:rPr>
              <w:t>ONR. Yes.</w:t>
            </w:r>
          </w:p>
          <w:bookmarkEnd w:id="0"/>
          <w:p w14:paraId="278675C5" w14:textId="77777777" w:rsidR="003F08BB" w:rsidRPr="003F08BB" w:rsidRDefault="003F08BB" w:rsidP="003F08BB">
            <w:pPr>
              <w:suppressAutoHyphens/>
              <w:autoSpaceDN w:val="0"/>
              <w:ind w:left="502"/>
              <w:rPr>
                <w:rFonts w:ascii="Arial" w:eastAsia="Times New Roman" w:hAnsi="Arial" w:cs="Times New Roman"/>
                <w:bCs/>
                <w:color w:val="000000"/>
                <w:kern w:val="0"/>
                <w:sz w:val="24"/>
                <w:szCs w:val="24"/>
                <w14:ligatures w14:val="none"/>
              </w:rPr>
            </w:pPr>
          </w:p>
          <w:p w14:paraId="6C60DC35"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Are there any inconsistencies in the guidance? If so, please give examples.</w:t>
            </w:r>
          </w:p>
          <w:p w14:paraId="5AECCEB2"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49C25CCD" w14:textId="77777777" w:rsidR="003F08BB" w:rsidRPr="003F08BB" w:rsidRDefault="003F08BB" w:rsidP="003F08BB">
            <w:pPr>
              <w:suppressAutoHyphens/>
              <w:autoSpaceDN w:val="0"/>
              <w:ind w:left="502"/>
              <w:rPr>
                <w:rFonts w:ascii="Arial" w:eastAsia="Times New Roman" w:hAnsi="Arial" w:cs="Times New Roman"/>
                <w:bCs/>
                <w:i/>
                <w:iCs/>
                <w:kern w:val="0"/>
                <w:sz w:val="24"/>
                <w:szCs w:val="24"/>
                <w14:ligatures w14:val="none"/>
              </w:rPr>
            </w:pPr>
            <w:r w:rsidRPr="003F08BB">
              <w:rPr>
                <w:rFonts w:ascii="Arial" w:eastAsia="Times New Roman" w:hAnsi="Arial" w:cs="Times New Roman"/>
                <w:bCs/>
                <w:i/>
                <w:iCs/>
                <w:kern w:val="0"/>
                <w:sz w:val="24"/>
                <w:szCs w:val="24"/>
                <w14:ligatures w14:val="none"/>
              </w:rPr>
              <w:t>ONR. See comments above.</w:t>
            </w:r>
          </w:p>
          <w:p w14:paraId="406F1205" w14:textId="77777777" w:rsidR="003F08BB" w:rsidRPr="003F08BB" w:rsidRDefault="003F08BB" w:rsidP="003F08BB">
            <w:pPr>
              <w:suppressAutoHyphens/>
              <w:autoSpaceDN w:val="0"/>
              <w:rPr>
                <w:rFonts w:ascii="Arial" w:eastAsia="Times New Roman" w:hAnsi="Arial" w:cs="Times New Roman"/>
                <w:bCs/>
                <w:color w:val="000000"/>
                <w:kern w:val="0"/>
                <w:sz w:val="24"/>
                <w:szCs w:val="24"/>
                <w14:ligatures w14:val="none"/>
              </w:rPr>
            </w:pPr>
          </w:p>
          <w:p w14:paraId="001312BA"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Are the requirements set out in the guidance clear, and do they cover all the areas that should be addressed?</w:t>
            </w:r>
          </w:p>
          <w:p w14:paraId="76C212ED" w14:textId="77777777" w:rsidR="003F08BB" w:rsidRPr="003F08BB" w:rsidRDefault="003F08BB" w:rsidP="003F08BB">
            <w:pPr>
              <w:suppressAutoHyphens/>
              <w:autoSpaceDN w:val="0"/>
              <w:ind w:left="142"/>
              <w:rPr>
                <w:rFonts w:ascii="Arial" w:eastAsia="Times New Roman" w:hAnsi="Arial" w:cs="Times New Roman"/>
                <w:bCs/>
                <w:i/>
                <w:iCs/>
                <w:kern w:val="0"/>
                <w:sz w:val="24"/>
                <w:szCs w:val="24"/>
                <w14:ligatures w14:val="none"/>
              </w:rPr>
            </w:pPr>
          </w:p>
          <w:p w14:paraId="0E5D187F" w14:textId="77777777" w:rsidR="003F08BB" w:rsidRPr="003F08BB" w:rsidRDefault="003F08BB" w:rsidP="003F08BB">
            <w:pPr>
              <w:suppressAutoHyphens/>
              <w:autoSpaceDN w:val="0"/>
              <w:ind w:left="502"/>
              <w:rPr>
                <w:rFonts w:ascii="Arial" w:eastAsia="Times New Roman" w:hAnsi="Arial" w:cs="Times New Roman"/>
                <w:bCs/>
                <w:i/>
                <w:iCs/>
                <w:kern w:val="0"/>
                <w:sz w:val="24"/>
                <w:szCs w:val="24"/>
                <w14:ligatures w14:val="none"/>
              </w:rPr>
            </w:pPr>
            <w:r w:rsidRPr="003F08BB">
              <w:rPr>
                <w:rFonts w:ascii="Arial" w:eastAsia="Times New Roman" w:hAnsi="Arial" w:cs="Times New Roman"/>
                <w:bCs/>
                <w:i/>
                <w:iCs/>
                <w:kern w:val="0"/>
                <w:sz w:val="24"/>
                <w:szCs w:val="24"/>
                <w14:ligatures w14:val="none"/>
              </w:rPr>
              <w:t>ONR. See comments above.</w:t>
            </w:r>
          </w:p>
          <w:p w14:paraId="24816DC5"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145CE9CC"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Should a specific requirement be added about sustainability and how that should be considered in the development and operation of a radioactive waste disposal facility?</w:t>
            </w:r>
          </w:p>
          <w:p w14:paraId="4B81F8AC" w14:textId="77777777" w:rsidR="003F08BB" w:rsidRPr="003F08BB" w:rsidRDefault="003F08BB" w:rsidP="003F08BB">
            <w:pPr>
              <w:suppressAutoHyphens/>
              <w:autoSpaceDN w:val="0"/>
              <w:spacing w:after="200" w:line="276" w:lineRule="auto"/>
              <w:ind w:left="142"/>
              <w:rPr>
                <w:rFonts w:ascii="Arial" w:eastAsia="Calibri" w:hAnsi="Arial" w:cs="Times New Roman"/>
                <w:bCs/>
                <w:kern w:val="0"/>
                <w:sz w:val="24"/>
                <w:szCs w:val="24"/>
                <w14:ligatures w14:val="none"/>
              </w:rPr>
            </w:pPr>
          </w:p>
          <w:p w14:paraId="542DB5DA" w14:textId="47784373" w:rsidR="003F08BB" w:rsidRPr="003F08BB" w:rsidRDefault="003F08BB" w:rsidP="003F08BB">
            <w:pPr>
              <w:suppressAutoHyphens/>
              <w:autoSpaceDN w:val="0"/>
              <w:spacing w:after="200" w:line="276" w:lineRule="auto"/>
              <w:ind w:left="502"/>
              <w:rPr>
                <w:rFonts w:ascii="Arial" w:eastAsia="Calibri" w:hAnsi="Arial" w:cs="Times New Roman"/>
                <w:i/>
                <w:iCs/>
                <w:kern w:val="0"/>
                <w:sz w:val="24"/>
                <w:szCs w:val="24"/>
                <w14:ligatures w14:val="none"/>
              </w:rPr>
            </w:pPr>
            <w:r w:rsidRPr="1C214D23">
              <w:rPr>
                <w:rFonts w:ascii="Arial" w:eastAsia="Calibri" w:hAnsi="Arial" w:cs="Times New Roman"/>
                <w:i/>
                <w:iCs/>
                <w:kern w:val="0"/>
                <w:sz w:val="24"/>
                <w:szCs w:val="24"/>
                <w14:ligatures w14:val="none"/>
              </w:rPr>
              <w:t xml:space="preserve">ONR. On sustainability, </w:t>
            </w:r>
            <w:r w:rsidR="36812880" w:rsidRPr="14ACCF2B">
              <w:rPr>
                <w:rFonts w:ascii="Arial" w:eastAsia="Calibri" w:hAnsi="Arial" w:cs="Times New Roman"/>
                <w:i/>
                <w:iCs/>
                <w:kern w:val="0"/>
                <w:sz w:val="24"/>
                <w:szCs w:val="24"/>
                <w14:ligatures w14:val="none"/>
              </w:rPr>
              <w:t xml:space="preserve">we </w:t>
            </w:r>
            <w:r w:rsidR="0C4BF76E" w:rsidRPr="14ACCF2B">
              <w:rPr>
                <w:rFonts w:ascii="Arial" w:eastAsia="Calibri" w:hAnsi="Arial" w:cs="Times New Roman"/>
                <w:i/>
                <w:iCs/>
                <w:kern w:val="0"/>
                <w:sz w:val="24"/>
                <w:szCs w:val="24"/>
                <w14:ligatures w14:val="none"/>
              </w:rPr>
              <w:t>consider</w:t>
            </w:r>
            <w:r w:rsidRPr="1C214D23">
              <w:rPr>
                <w:rFonts w:ascii="Arial" w:eastAsia="Calibri" w:hAnsi="Arial" w:cs="Times New Roman"/>
                <w:i/>
                <w:iCs/>
                <w:kern w:val="0"/>
                <w:sz w:val="24"/>
                <w:szCs w:val="24"/>
                <w14:ligatures w14:val="none"/>
              </w:rPr>
              <w:t xml:space="preserve"> that the guidance should be consistent with HMG policy in respect of the operation of radioactive waste facilities now and those proposed for the future i.e. Geological Disposal Facility</w:t>
            </w:r>
            <w:r w:rsidRPr="1C214D23">
              <w:rPr>
                <w:rFonts w:ascii="Arial" w:eastAsia="Calibri" w:hAnsi="Arial" w:cs="Times New Roman"/>
                <w:i/>
                <w:iCs/>
                <w:kern w:val="0"/>
                <w:sz w:val="24"/>
                <w:szCs w:val="24"/>
                <w:vertAlign w:val="superscript"/>
                <w14:ligatures w14:val="none"/>
              </w:rPr>
              <w:footnoteReference w:id="3"/>
            </w:r>
            <w:r w:rsidRPr="1C214D23">
              <w:rPr>
                <w:rFonts w:ascii="Arial" w:eastAsia="Calibri" w:hAnsi="Arial" w:cs="Times New Roman"/>
                <w:i/>
                <w:iCs/>
                <w:kern w:val="0"/>
                <w:sz w:val="24"/>
                <w:szCs w:val="24"/>
                <w14:ligatures w14:val="none"/>
              </w:rPr>
              <w:t>. The guidance should also be mindful of independent advice provided to government on such matters</w:t>
            </w:r>
            <w:r w:rsidRPr="1C214D23">
              <w:rPr>
                <w:rFonts w:ascii="Arial" w:eastAsia="Calibri" w:hAnsi="Arial" w:cs="Times New Roman"/>
                <w:i/>
                <w:iCs/>
                <w:kern w:val="0"/>
                <w:sz w:val="24"/>
                <w:szCs w:val="24"/>
                <w:vertAlign w:val="superscript"/>
                <w14:ligatures w14:val="none"/>
              </w:rPr>
              <w:footnoteReference w:id="4"/>
            </w:r>
            <w:r w:rsidRPr="1C214D23">
              <w:rPr>
                <w:rFonts w:ascii="Arial" w:eastAsia="Calibri" w:hAnsi="Arial" w:cs="Times New Roman"/>
                <w:i/>
                <w:iCs/>
                <w:kern w:val="0"/>
                <w:sz w:val="24"/>
                <w:szCs w:val="24"/>
                <w14:ligatures w14:val="none"/>
              </w:rPr>
              <w:t xml:space="preserve">. </w:t>
            </w:r>
          </w:p>
          <w:p w14:paraId="78A63E17" w14:textId="77777777" w:rsidR="003F08BB" w:rsidRPr="003F08BB" w:rsidRDefault="003F08BB" w:rsidP="003F08BB">
            <w:pPr>
              <w:suppressAutoHyphens/>
              <w:autoSpaceDN w:val="0"/>
              <w:rPr>
                <w:rFonts w:ascii="Arial" w:eastAsia="Times New Roman" w:hAnsi="Arial" w:cs="Times New Roman"/>
                <w:bCs/>
                <w:color w:val="000000"/>
                <w:kern w:val="0"/>
                <w:sz w:val="24"/>
                <w:szCs w:val="24"/>
                <w14:ligatures w14:val="none"/>
              </w:rPr>
            </w:pPr>
          </w:p>
          <w:p w14:paraId="1CA8E6A7"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Are the requirements and guidance on isolation and containment (requirements 8 and 9) clear and sufficient? If not, what improvements would you suggest?</w:t>
            </w:r>
          </w:p>
          <w:p w14:paraId="16A55688"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5FF56C48" w14:textId="77777777" w:rsidR="003F08BB" w:rsidRPr="003F08BB" w:rsidRDefault="003F08BB" w:rsidP="003F08BB">
            <w:pPr>
              <w:suppressAutoHyphens/>
              <w:autoSpaceDN w:val="0"/>
              <w:ind w:left="502"/>
              <w:rPr>
                <w:rFonts w:ascii="Arial" w:eastAsia="Times New Roman" w:hAnsi="Arial" w:cs="Times New Roman"/>
                <w:bCs/>
                <w:i/>
                <w:iCs/>
                <w:color w:val="000000"/>
                <w:kern w:val="0"/>
                <w:sz w:val="24"/>
                <w:szCs w:val="24"/>
                <w14:ligatures w14:val="none"/>
              </w:rPr>
            </w:pPr>
            <w:r w:rsidRPr="003F08BB">
              <w:rPr>
                <w:rFonts w:ascii="Arial" w:eastAsia="Times New Roman" w:hAnsi="Arial" w:cs="Times New Roman"/>
                <w:bCs/>
                <w:i/>
                <w:iCs/>
                <w:color w:val="000000"/>
                <w:kern w:val="0"/>
                <w:sz w:val="24"/>
                <w:szCs w:val="24"/>
                <w14:ligatures w14:val="none"/>
              </w:rPr>
              <w:t>ONR. No comment.</w:t>
            </w:r>
          </w:p>
          <w:p w14:paraId="6547EDEE" w14:textId="77777777" w:rsidR="003F08BB" w:rsidRPr="003F08BB" w:rsidRDefault="003F08BB" w:rsidP="003F08BB">
            <w:pPr>
              <w:suppressAutoHyphens/>
              <w:autoSpaceDN w:val="0"/>
              <w:rPr>
                <w:rFonts w:ascii="Arial" w:eastAsia="Times New Roman" w:hAnsi="Arial" w:cs="Times New Roman"/>
                <w:bCs/>
                <w:color w:val="000000"/>
                <w:kern w:val="0"/>
                <w:sz w:val="24"/>
                <w:szCs w:val="24"/>
                <w14:ligatures w14:val="none"/>
              </w:rPr>
            </w:pPr>
          </w:p>
          <w:p w14:paraId="137FB342"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Are the requirements and guidance on assessing natural disruptive processes (requirement 17 and 17a) clear?</w:t>
            </w:r>
          </w:p>
          <w:p w14:paraId="250C9EC1"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7033194B" w14:textId="77777777" w:rsidR="003F08BB" w:rsidRPr="003F08BB" w:rsidRDefault="003F08BB" w:rsidP="003F08BB">
            <w:pPr>
              <w:suppressAutoHyphens/>
              <w:autoSpaceDN w:val="0"/>
              <w:ind w:left="502"/>
              <w:rPr>
                <w:rFonts w:ascii="Arial" w:eastAsia="Times New Roman" w:hAnsi="Arial" w:cs="Times New Roman"/>
                <w:bCs/>
                <w:i/>
                <w:iCs/>
                <w:color w:val="000000"/>
                <w:kern w:val="0"/>
                <w:sz w:val="24"/>
                <w:szCs w:val="24"/>
                <w14:ligatures w14:val="none"/>
              </w:rPr>
            </w:pPr>
            <w:r w:rsidRPr="003F08BB">
              <w:rPr>
                <w:rFonts w:ascii="Arial" w:eastAsia="Times New Roman" w:hAnsi="Arial" w:cs="Times New Roman"/>
                <w:bCs/>
                <w:i/>
                <w:iCs/>
                <w:color w:val="000000"/>
                <w:kern w:val="0"/>
                <w:sz w:val="24"/>
                <w:szCs w:val="24"/>
                <w14:ligatures w14:val="none"/>
              </w:rPr>
              <w:t>ONR. No comment.</w:t>
            </w:r>
          </w:p>
          <w:p w14:paraId="735E4183" w14:textId="77777777" w:rsidR="003F08BB" w:rsidRPr="003F08BB" w:rsidRDefault="003F08BB" w:rsidP="003F08BB">
            <w:p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 xml:space="preserve"> </w:t>
            </w:r>
          </w:p>
          <w:p w14:paraId="020434C2"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Is the guidance on groundwater protection (part 4) clear and sufficient and is it well enough integrated with the rest of the guidance? If not, what improvements would you suggest?</w:t>
            </w:r>
          </w:p>
          <w:p w14:paraId="766894D2"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25222BC9" w14:textId="77777777" w:rsidR="003F08BB" w:rsidRPr="003F08BB" w:rsidRDefault="003F08BB" w:rsidP="003F08BB">
            <w:pPr>
              <w:suppressAutoHyphens/>
              <w:autoSpaceDN w:val="0"/>
              <w:ind w:left="502"/>
              <w:rPr>
                <w:rFonts w:ascii="Arial" w:eastAsia="Times New Roman" w:hAnsi="Arial" w:cs="Times New Roman"/>
                <w:bCs/>
                <w:i/>
                <w:iCs/>
                <w:color w:val="000000"/>
                <w:kern w:val="0"/>
                <w:sz w:val="24"/>
                <w:szCs w:val="24"/>
                <w14:ligatures w14:val="none"/>
              </w:rPr>
            </w:pPr>
            <w:r w:rsidRPr="003F08BB">
              <w:rPr>
                <w:rFonts w:ascii="Arial" w:eastAsia="Times New Roman" w:hAnsi="Arial" w:cs="Times New Roman"/>
                <w:bCs/>
                <w:i/>
                <w:iCs/>
                <w:color w:val="000000"/>
                <w:kern w:val="0"/>
                <w:sz w:val="24"/>
                <w:szCs w:val="24"/>
                <w14:ligatures w14:val="none"/>
              </w:rPr>
              <w:t>ONR. No comment.</w:t>
            </w:r>
          </w:p>
          <w:p w14:paraId="2AF6935D" w14:textId="77777777" w:rsidR="003F08BB" w:rsidRPr="003F08BB" w:rsidRDefault="003F08BB" w:rsidP="003F08BB">
            <w:pPr>
              <w:suppressAutoHyphens/>
              <w:autoSpaceDN w:val="0"/>
              <w:rPr>
                <w:rFonts w:ascii="Arial" w:eastAsia="Times New Roman" w:hAnsi="Arial" w:cs="Times New Roman"/>
                <w:bCs/>
                <w:color w:val="000000"/>
                <w:kern w:val="0"/>
                <w:sz w:val="24"/>
                <w:szCs w:val="24"/>
                <w14:ligatures w14:val="none"/>
              </w:rPr>
            </w:pPr>
          </w:p>
          <w:p w14:paraId="50802C5A" w14:textId="77777777" w:rsidR="003F08BB" w:rsidRPr="003F08BB" w:rsidRDefault="003F08BB" w:rsidP="003F08BB">
            <w:pPr>
              <w:numPr>
                <w:ilvl w:val="0"/>
                <w:numId w:val="17"/>
              </w:numPr>
              <w:suppressAutoHyphens/>
              <w:autoSpaceDN w:val="0"/>
              <w:rPr>
                <w:rFonts w:ascii="Arial" w:eastAsia="Times New Roman" w:hAnsi="Arial" w:cs="Times New Roman"/>
                <w:bCs/>
                <w:color w:val="000000"/>
                <w:kern w:val="0"/>
                <w:sz w:val="24"/>
                <w:szCs w:val="24"/>
                <w14:ligatures w14:val="none"/>
              </w:rPr>
            </w:pPr>
            <w:r w:rsidRPr="003F08BB">
              <w:rPr>
                <w:rFonts w:ascii="Arial" w:eastAsia="Times New Roman" w:hAnsi="Arial" w:cs="Times New Roman"/>
                <w:bCs/>
                <w:color w:val="000000"/>
                <w:kern w:val="0"/>
                <w:sz w:val="24"/>
                <w:szCs w:val="24"/>
                <w14:ligatures w14:val="none"/>
              </w:rPr>
              <w:t>Does the section titled ‘Guidance on modelling’ (in part 3) contain useful information at a suitable level of detail?</w:t>
            </w:r>
          </w:p>
          <w:p w14:paraId="6032632B" w14:textId="77777777" w:rsidR="003F08BB" w:rsidRPr="003F08BB" w:rsidRDefault="003F08BB" w:rsidP="003F08BB">
            <w:pPr>
              <w:suppressAutoHyphens/>
              <w:autoSpaceDN w:val="0"/>
              <w:ind w:left="142"/>
              <w:rPr>
                <w:rFonts w:ascii="Arial" w:eastAsia="Times New Roman" w:hAnsi="Arial" w:cs="Times New Roman"/>
                <w:bCs/>
                <w:color w:val="000000"/>
                <w:kern w:val="0"/>
                <w:sz w:val="24"/>
                <w:szCs w:val="24"/>
                <w14:ligatures w14:val="none"/>
              </w:rPr>
            </w:pPr>
          </w:p>
          <w:p w14:paraId="081346BC" w14:textId="77777777" w:rsidR="003F08BB" w:rsidRPr="003F08BB" w:rsidRDefault="003F08BB" w:rsidP="003F08BB">
            <w:pPr>
              <w:suppressAutoHyphens/>
              <w:autoSpaceDN w:val="0"/>
              <w:ind w:left="502"/>
              <w:rPr>
                <w:rFonts w:ascii="Arial" w:eastAsia="Times New Roman" w:hAnsi="Arial" w:cs="Times New Roman"/>
                <w:bCs/>
                <w:i/>
                <w:iCs/>
                <w:color w:val="000000"/>
                <w:kern w:val="0"/>
                <w:sz w:val="24"/>
                <w:szCs w:val="24"/>
                <w14:ligatures w14:val="none"/>
              </w:rPr>
            </w:pPr>
            <w:r w:rsidRPr="003F08BB">
              <w:rPr>
                <w:rFonts w:ascii="Arial" w:eastAsia="Times New Roman" w:hAnsi="Arial" w:cs="Times New Roman"/>
                <w:bCs/>
                <w:i/>
                <w:iCs/>
                <w:color w:val="000000"/>
                <w:kern w:val="0"/>
                <w:sz w:val="24"/>
                <w:szCs w:val="24"/>
                <w14:ligatures w14:val="none"/>
              </w:rPr>
              <w:t>ONR. No comment.</w:t>
            </w:r>
          </w:p>
          <w:p w14:paraId="42A12A49" w14:textId="77777777" w:rsidR="003F08BB" w:rsidRDefault="003F08BB">
            <w:pPr>
              <w:autoSpaceDE w:val="0"/>
              <w:autoSpaceDN w:val="0"/>
              <w:adjustRightInd w:val="0"/>
              <w:rPr>
                <w:rFonts w:asciiTheme="minorBidi" w:hAnsiTheme="minorBidi"/>
                <w:sz w:val="24"/>
                <w:szCs w:val="24"/>
              </w:rPr>
            </w:pPr>
          </w:p>
        </w:tc>
      </w:tr>
      <w:tr w:rsidR="002D5DC3" w14:paraId="3131735A" w14:textId="77777777" w:rsidTr="2C52F919">
        <w:tc>
          <w:tcPr>
            <w:tcW w:w="4820" w:type="dxa"/>
          </w:tcPr>
          <w:p w14:paraId="42BD814E" w14:textId="77777777" w:rsidR="00576864" w:rsidRPr="00576864" w:rsidRDefault="00576864" w:rsidP="00576864">
            <w:pPr>
              <w:suppressAutoHyphens/>
              <w:autoSpaceDN w:val="0"/>
              <w:ind w:left="142"/>
              <w:rPr>
                <w:rFonts w:ascii="Arial" w:eastAsia="Times New Roman" w:hAnsi="Arial" w:cs="Times New Roman"/>
                <w:b/>
                <w:bCs/>
                <w:color w:val="000000"/>
                <w:kern w:val="0"/>
                <w:sz w:val="24"/>
                <w:szCs w:val="24"/>
                <w14:ligatures w14:val="none"/>
              </w:rPr>
            </w:pPr>
            <w:r w:rsidRPr="00576864">
              <w:rPr>
                <w:rFonts w:ascii="Arial" w:eastAsia="Times New Roman" w:hAnsi="Arial" w:cs="Times New Roman"/>
                <w:b/>
                <w:bCs/>
                <w:color w:val="000000"/>
                <w:kern w:val="0"/>
                <w:sz w:val="24"/>
                <w:szCs w:val="24"/>
                <w14:ligatures w14:val="none"/>
              </w:rPr>
              <w:t xml:space="preserve">Document 2: Geological disposal facilities for solid radioactive wastes: Staged regulation guidance </w:t>
            </w:r>
          </w:p>
          <w:p w14:paraId="1EB6E68B" w14:textId="77777777" w:rsidR="002D5DC3" w:rsidRDefault="002D5DC3">
            <w:pPr>
              <w:autoSpaceDE w:val="0"/>
              <w:autoSpaceDN w:val="0"/>
              <w:adjustRightInd w:val="0"/>
              <w:rPr>
                <w:rFonts w:asciiTheme="minorBidi" w:hAnsiTheme="minorBidi"/>
                <w:sz w:val="24"/>
                <w:szCs w:val="24"/>
              </w:rPr>
            </w:pPr>
          </w:p>
        </w:tc>
        <w:tc>
          <w:tcPr>
            <w:tcW w:w="10773" w:type="dxa"/>
          </w:tcPr>
          <w:p w14:paraId="3DF24968" w14:textId="742C33FC" w:rsidR="001D17A8" w:rsidRPr="001D17A8" w:rsidRDefault="001D17A8" w:rsidP="001D17A8">
            <w:pPr>
              <w:pStyle w:val="ListParagraph"/>
              <w:numPr>
                <w:ilvl w:val="0"/>
                <w:numId w:val="12"/>
              </w:numPr>
              <w:suppressAutoHyphens/>
              <w:autoSpaceDN w:val="0"/>
              <w:spacing w:after="200" w:line="276" w:lineRule="auto"/>
              <w:rPr>
                <w:rFonts w:ascii="Arial" w:eastAsia="Calibri" w:hAnsi="Arial" w:cs="Times New Roman"/>
                <w:kern w:val="0"/>
                <w:sz w:val="24"/>
                <w:szCs w:val="24"/>
                <w14:ligatures w14:val="none"/>
              </w:rPr>
            </w:pPr>
            <w:r w:rsidRPr="2A992983">
              <w:rPr>
                <w:rFonts w:ascii="Arial" w:eastAsia="Calibri" w:hAnsi="Arial" w:cs="Times New Roman"/>
                <w:kern w:val="0"/>
                <w:sz w:val="24"/>
                <w:szCs w:val="24"/>
                <w14:ligatures w14:val="none"/>
              </w:rPr>
              <w:t xml:space="preserve">Recognising that the guidance  is only intended to cover aspects covered by environmental regulations, </w:t>
            </w:r>
            <w:r w:rsidR="30601898" w:rsidRPr="5F348574">
              <w:rPr>
                <w:rFonts w:ascii="Arial" w:eastAsia="Calibri" w:hAnsi="Arial" w:cs="Times New Roman"/>
                <w:kern w:val="0"/>
                <w:sz w:val="24"/>
                <w:szCs w:val="24"/>
                <w14:ligatures w14:val="none"/>
              </w:rPr>
              <w:t>we</w:t>
            </w:r>
            <w:r w:rsidRPr="2A992983">
              <w:rPr>
                <w:rFonts w:ascii="Arial" w:eastAsia="Calibri" w:hAnsi="Arial" w:cs="Times New Roman"/>
                <w:kern w:val="0"/>
                <w:sz w:val="24"/>
                <w:szCs w:val="24"/>
                <w14:ligatures w14:val="none"/>
              </w:rPr>
              <w:t xml:space="preserve"> suggest that it may still be appropriate to indicate the stage at which a nuclear site licence (NSL) will be required (i.e. before construction begins and not required for surface-based intrusive investigations) and provide a short description of what activities in a GDF the NSL covers and are regulated by ONR.</w:t>
            </w:r>
          </w:p>
          <w:p w14:paraId="12F6F034" w14:textId="77777777" w:rsidR="001D17A8" w:rsidRPr="001D17A8" w:rsidRDefault="001D17A8" w:rsidP="001D17A8">
            <w:pPr>
              <w:numPr>
                <w:ilvl w:val="0"/>
                <w:numId w:val="12"/>
              </w:numPr>
              <w:suppressAutoHyphens/>
              <w:autoSpaceDN w:val="0"/>
              <w:spacing w:after="200" w:line="276" w:lineRule="auto"/>
              <w:rPr>
                <w:rFonts w:ascii="Arial" w:eastAsia="Calibri" w:hAnsi="Arial" w:cs="Times New Roman"/>
                <w:bCs/>
                <w:kern w:val="0"/>
                <w:sz w:val="24"/>
                <w:szCs w:val="24"/>
                <w14:ligatures w14:val="none"/>
              </w:rPr>
            </w:pPr>
            <w:r w:rsidRPr="001D17A8">
              <w:rPr>
                <w:rFonts w:ascii="Arial" w:eastAsia="Calibri" w:hAnsi="Arial" w:cs="Times New Roman"/>
                <w:bCs/>
                <w:kern w:val="0"/>
                <w:sz w:val="24"/>
                <w:szCs w:val="24"/>
                <w14:ligatures w14:val="none"/>
              </w:rPr>
              <w:t xml:space="preserve">Doing so would give an appropriate overview of the full regulatory regime for a GDF and avoid potential confusion over Environment Agency and ONR vires where the guidance refers to aspects such as ‘operations’. It would also provide appropriate recognition of, and a pointer to, the safety aspects that will be regulated by ONR under a nuclear site licence. </w:t>
            </w:r>
          </w:p>
          <w:p w14:paraId="2669B111" w14:textId="77777777" w:rsidR="001D17A8" w:rsidRPr="001D17A8" w:rsidRDefault="001D17A8" w:rsidP="001D17A8">
            <w:pPr>
              <w:numPr>
                <w:ilvl w:val="0"/>
                <w:numId w:val="12"/>
              </w:numPr>
              <w:suppressAutoHyphens/>
              <w:autoSpaceDN w:val="0"/>
              <w:spacing w:after="200" w:line="276" w:lineRule="auto"/>
              <w:rPr>
                <w:rFonts w:ascii="Arial" w:eastAsia="Calibri" w:hAnsi="Arial" w:cs="Times New Roman"/>
                <w:bCs/>
                <w:kern w:val="0"/>
                <w:sz w:val="24"/>
                <w:szCs w:val="24"/>
                <w14:ligatures w14:val="none"/>
              </w:rPr>
            </w:pPr>
            <w:r w:rsidRPr="001D17A8">
              <w:rPr>
                <w:rFonts w:ascii="Arial" w:eastAsia="Calibri" w:hAnsi="Arial" w:cs="Times New Roman"/>
                <w:bCs/>
                <w:kern w:val="0"/>
                <w:sz w:val="24"/>
                <w:szCs w:val="24"/>
                <w14:ligatures w14:val="none"/>
              </w:rPr>
              <w:t xml:space="preserve">Doing so would also ensure alignment in the use of terminology and/or phrasing. For example: “The operator will need to demonstrate the facility’s structures, systems, and components are adequate…’, ‘train personnel to safely operate a future GDF’ and ‘safe receipt, and emplacement of waste packages and record keeping’ which will (also) be regulated by ONR”. </w:t>
            </w:r>
          </w:p>
          <w:p w14:paraId="3FBA992A" w14:textId="5C930056" w:rsidR="001D17A8" w:rsidRPr="001D17A8" w:rsidRDefault="001D17A8" w:rsidP="001D17A8">
            <w:pPr>
              <w:numPr>
                <w:ilvl w:val="0"/>
                <w:numId w:val="12"/>
              </w:numPr>
              <w:suppressAutoHyphens/>
              <w:autoSpaceDN w:val="0"/>
              <w:spacing w:after="200" w:line="276" w:lineRule="auto"/>
              <w:rPr>
                <w:rFonts w:ascii="Arial" w:eastAsia="Calibri" w:hAnsi="Arial" w:cs="Times New Roman"/>
                <w:kern w:val="0"/>
                <w:sz w:val="24"/>
                <w:szCs w:val="24"/>
                <w14:ligatures w14:val="none"/>
              </w:rPr>
            </w:pPr>
            <w:r w:rsidRPr="10F2A659">
              <w:rPr>
                <w:rFonts w:ascii="Arial" w:eastAsia="Calibri" w:hAnsi="Arial" w:cs="Times New Roman"/>
                <w:kern w:val="0"/>
                <w:sz w:val="24"/>
                <w:szCs w:val="24"/>
                <w14:ligatures w14:val="none"/>
              </w:rPr>
              <w:t>The guidance covers the permit requirements for the underground component of a GDF (candidate premises). It may be appropriate to mention that an operational GDF will have an associated surface facility for receipt and management of waste packages prior to emplacement and how this will be permitted. It may also</w:t>
            </w:r>
            <w:r w:rsidR="685E80F1" w:rsidRPr="02081008">
              <w:rPr>
                <w:rFonts w:ascii="Arial" w:eastAsia="Calibri" w:hAnsi="Arial" w:cs="Times New Roman"/>
                <w:kern w:val="0"/>
                <w:sz w:val="24"/>
                <w:szCs w:val="24"/>
                <w14:ligatures w14:val="none"/>
              </w:rPr>
              <w:t xml:space="preserve"> </w:t>
            </w:r>
            <w:r w:rsidR="52C8952C" w:rsidRPr="02081008">
              <w:rPr>
                <w:rFonts w:ascii="Arial" w:eastAsia="Calibri" w:hAnsi="Arial" w:cs="Times New Roman"/>
                <w:kern w:val="0"/>
                <w:sz w:val="24"/>
                <w:szCs w:val="24"/>
                <w14:ligatures w14:val="none"/>
              </w:rPr>
              <w:t>be</w:t>
            </w:r>
            <w:r w:rsidRPr="10F2A659">
              <w:rPr>
                <w:rFonts w:ascii="Arial" w:eastAsia="Calibri" w:hAnsi="Arial" w:cs="Times New Roman"/>
                <w:kern w:val="0"/>
                <w:sz w:val="24"/>
                <w:szCs w:val="24"/>
                <w14:ligatures w14:val="none"/>
              </w:rPr>
              <w:t xml:space="preserve"> </w:t>
            </w:r>
            <w:r w:rsidR="52C8952C" w:rsidRPr="3FCFC51F">
              <w:rPr>
                <w:rFonts w:ascii="Arial" w:eastAsia="Calibri" w:hAnsi="Arial" w:cs="Times New Roman"/>
                <w:kern w:val="0"/>
                <w:sz w:val="24"/>
                <w:szCs w:val="24"/>
                <w14:ligatures w14:val="none"/>
              </w:rPr>
              <w:t xml:space="preserve">helpful to </w:t>
            </w:r>
            <w:r w:rsidR="685E80F1" w:rsidRPr="3FCFC51F">
              <w:rPr>
                <w:rFonts w:ascii="Arial" w:eastAsia="Calibri" w:hAnsi="Arial" w:cs="Times New Roman"/>
                <w:kern w:val="0"/>
                <w:sz w:val="24"/>
                <w:szCs w:val="24"/>
                <w14:ligatures w14:val="none"/>
              </w:rPr>
              <w:t>explain</w:t>
            </w:r>
            <w:r w:rsidRPr="10F2A659">
              <w:rPr>
                <w:rFonts w:ascii="Arial" w:eastAsia="Calibri" w:hAnsi="Arial" w:cs="Times New Roman"/>
                <w:kern w:val="0"/>
                <w:sz w:val="24"/>
                <w:szCs w:val="24"/>
                <w14:ligatures w14:val="none"/>
              </w:rPr>
              <w:t xml:space="preserve"> that the surface facility and underground GDF may be offset, particularly in the case of an inshore GDF.</w:t>
            </w:r>
          </w:p>
          <w:p w14:paraId="5D2BC0FA" w14:textId="77777777" w:rsidR="00C734C1" w:rsidRPr="00C734C1" w:rsidRDefault="00C734C1" w:rsidP="00C734C1">
            <w:pPr>
              <w:numPr>
                <w:ilvl w:val="0"/>
                <w:numId w:val="12"/>
              </w:numPr>
              <w:suppressAutoHyphens/>
              <w:autoSpaceDN w:val="0"/>
              <w:spacing w:after="200" w:line="276" w:lineRule="auto"/>
              <w:rPr>
                <w:rFonts w:ascii="Arial" w:eastAsia="Calibri" w:hAnsi="Arial" w:cs="Times New Roman"/>
                <w:bCs/>
                <w:kern w:val="0"/>
                <w:sz w:val="24"/>
                <w:szCs w:val="24"/>
                <w14:ligatures w14:val="none"/>
              </w:rPr>
            </w:pPr>
            <w:r w:rsidRPr="00C734C1">
              <w:rPr>
                <w:rFonts w:ascii="Arial" w:eastAsia="Calibri" w:hAnsi="Arial" w:cs="Times New Roman"/>
                <w:bCs/>
                <w:kern w:val="0"/>
                <w:sz w:val="24"/>
                <w:szCs w:val="24"/>
                <w14:ligatures w14:val="none"/>
              </w:rPr>
              <w:t>As most, if not all, of the current search areas in the GDF siting process are in the inshore region, it may be appropriate to give more explicit coverage of this aspect of siting, for instance to give clarity that ‘surface-based intrusive investigations’ means from the seabed for an inshore site and to highlight any other implications for the permitting process (e.g. is hydrogeology and potential impact groundwater treated differently?).</w:t>
            </w:r>
          </w:p>
          <w:p w14:paraId="7297238A" w14:textId="77777777" w:rsidR="00C734C1" w:rsidRPr="00C734C1" w:rsidRDefault="00C734C1" w:rsidP="00C734C1">
            <w:pPr>
              <w:numPr>
                <w:ilvl w:val="0"/>
                <w:numId w:val="12"/>
              </w:numPr>
              <w:suppressAutoHyphens/>
              <w:autoSpaceDN w:val="0"/>
              <w:spacing w:after="200" w:line="276" w:lineRule="auto"/>
              <w:rPr>
                <w:rFonts w:ascii="Arial" w:eastAsia="Calibri" w:hAnsi="Arial" w:cs="Times New Roman"/>
                <w:bCs/>
                <w:kern w:val="0"/>
                <w:sz w:val="24"/>
                <w:szCs w:val="24"/>
                <w14:ligatures w14:val="none"/>
              </w:rPr>
            </w:pPr>
            <w:r w:rsidRPr="00C734C1">
              <w:rPr>
                <w:rFonts w:ascii="Arial" w:eastAsia="Calibri" w:hAnsi="Arial" w:cs="Times New Roman"/>
                <w:bCs/>
                <w:kern w:val="0"/>
                <w:sz w:val="24"/>
                <w:szCs w:val="24"/>
                <w14:ligatures w14:val="none"/>
              </w:rPr>
              <w:t xml:space="preserve">The guidance indicates the requirements for a ‘map, plan or other description of the site showing the geographical extent of the site of the regulated facility’ (-should this be ‘candidate premises’ rather than ‘regulated facility’?). The guidance could indicate that this will necessarily require some sort of 3D map. </w:t>
            </w:r>
          </w:p>
          <w:p w14:paraId="2B3B547A" w14:textId="77777777" w:rsidR="00C734C1" w:rsidRPr="00C734C1" w:rsidRDefault="00C734C1" w:rsidP="00C734C1">
            <w:pPr>
              <w:numPr>
                <w:ilvl w:val="0"/>
                <w:numId w:val="12"/>
              </w:numPr>
              <w:suppressAutoHyphens/>
              <w:autoSpaceDN w:val="0"/>
              <w:spacing w:after="200" w:line="276" w:lineRule="auto"/>
              <w:rPr>
                <w:rFonts w:ascii="Arial" w:eastAsia="Calibri" w:hAnsi="Arial" w:cs="Times New Roman"/>
                <w:kern w:val="0"/>
                <w:sz w:val="24"/>
                <w14:ligatures w14:val="none"/>
              </w:rPr>
            </w:pPr>
            <w:r w:rsidRPr="00C734C1">
              <w:rPr>
                <w:rFonts w:ascii="Arial" w:eastAsia="Calibri" w:hAnsi="Arial" w:cs="Times New Roman"/>
                <w:kern w:val="0"/>
                <w:sz w:val="24"/>
                <w14:ligatures w14:val="none"/>
              </w:rPr>
              <w:t xml:space="preserve">In Part A, the guidance indicates that ‘The developer should describe its arrangements for and use of internal and external peer review in the development of an ISE and a PESE.’. Does this reflect an expectation that there is some degree of external peer review in the development of the ISE/ PESE? </w:t>
            </w:r>
          </w:p>
          <w:p w14:paraId="1E24A32A" w14:textId="77777777" w:rsidR="00C734C1" w:rsidRPr="00C734C1" w:rsidRDefault="00C734C1" w:rsidP="00C734C1">
            <w:pPr>
              <w:rPr>
                <w:rFonts w:ascii="Arial" w:eastAsia="Calibri" w:hAnsi="Arial" w:cs="Times New Roman"/>
                <w:kern w:val="0"/>
                <w:sz w:val="24"/>
                <w:u w:val="single"/>
                <w14:ligatures w14:val="none"/>
              </w:rPr>
            </w:pPr>
            <w:r w:rsidRPr="00C734C1">
              <w:rPr>
                <w:rFonts w:ascii="Arial" w:eastAsia="Calibri" w:hAnsi="Arial" w:cs="Times New Roman"/>
                <w:kern w:val="0"/>
                <w:sz w:val="24"/>
                <w:u w:val="single"/>
                <w14:ligatures w14:val="none"/>
              </w:rPr>
              <w:t>Waste inventory for disposal</w:t>
            </w:r>
          </w:p>
          <w:p w14:paraId="7E9449BC" w14:textId="77777777" w:rsidR="00C734C1" w:rsidRPr="00C734C1" w:rsidRDefault="00C734C1" w:rsidP="00C734C1">
            <w:pPr>
              <w:rPr>
                <w:rFonts w:ascii="Arial" w:eastAsia="Calibri" w:hAnsi="Arial" w:cs="Times New Roman"/>
                <w:kern w:val="0"/>
                <w:sz w:val="24"/>
                <w:u w:val="single"/>
                <w14:ligatures w14:val="none"/>
              </w:rPr>
            </w:pPr>
          </w:p>
          <w:p w14:paraId="19DDBC71" w14:textId="77777777" w:rsidR="00C734C1" w:rsidRPr="00C734C1" w:rsidRDefault="00C734C1" w:rsidP="00C734C1">
            <w:pPr>
              <w:numPr>
                <w:ilvl w:val="0"/>
                <w:numId w:val="12"/>
              </w:numPr>
              <w:suppressAutoHyphens/>
              <w:autoSpaceDN w:val="0"/>
              <w:spacing w:after="200" w:line="276" w:lineRule="auto"/>
              <w:rPr>
                <w:rFonts w:ascii="Arial" w:eastAsia="Calibri" w:hAnsi="Arial" w:cs="Times New Roman"/>
                <w:bCs/>
                <w:color w:val="FF0000"/>
                <w:kern w:val="0"/>
                <w:sz w:val="24"/>
                <w:szCs w:val="24"/>
                <w14:ligatures w14:val="none"/>
              </w:rPr>
            </w:pPr>
            <w:r w:rsidRPr="00C734C1">
              <w:rPr>
                <w:rFonts w:ascii="Arial" w:eastAsia="Calibri" w:hAnsi="Arial" w:cs="Times New Roman"/>
                <w:bCs/>
                <w:kern w:val="0"/>
                <w:sz w:val="24"/>
                <w:szCs w:val="24"/>
                <w14:ligatures w14:val="none"/>
              </w:rPr>
              <w:t>This section could make some reference to any expectations that in general all waste packages for disposal should have a Letter of Compliance.</w:t>
            </w:r>
          </w:p>
          <w:p w14:paraId="6A92FA5D" w14:textId="77777777" w:rsidR="00C734C1" w:rsidRPr="00C734C1" w:rsidRDefault="00C734C1" w:rsidP="00C734C1">
            <w:pPr>
              <w:rPr>
                <w:rFonts w:ascii="Arial" w:eastAsia="Calibri" w:hAnsi="Arial" w:cs="Times New Roman"/>
                <w:kern w:val="0"/>
                <w:sz w:val="24"/>
                <w:u w:val="single"/>
                <w14:ligatures w14:val="none"/>
              </w:rPr>
            </w:pPr>
            <w:r w:rsidRPr="00C734C1">
              <w:rPr>
                <w:rFonts w:ascii="Arial" w:eastAsia="Calibri" w:hAnsi="Arial" w:cs="Times New Roman"/>
                <w:kern w:val="0"/>
                <w:sz w:val="24"/>
                <w:u w:val="single"/>
                <w14:ligatures w14:val="none"/>
              </w:rPr>
              <w:t>Management system and environmental safety culture</w:t>
            </w:r>
          </w:p>
          <w:p w14:paraId="239BAE49" w14:textId="77777777" w:rsidR="00C734C1" w:rsidRPr="00C734C1" w:rsidRDefault="00C734C1" w:rsidP="00C734C1">
            <w:pPr>
              <w:rPr>
                <w:rFonts w:ascii="Arial" w:eastAsia="Calibri" w:hAnsi="Arial" w:cs="Times New Roman"/>
                <w:kern w:val="0"/>
                <w:sz w:val="24"/>
                <w:u w:val="single"/>
                <w14:ligatures w14:val="none"/>
              </w:rPr>
            </w:pPr>
          </w:p>
          <w:p w14:paraId="2679DA99" w14:textId="77777777" w:rsidR="00C734C1" w:rsidRPr="00C734C1" w:rsidRDefault="00C734C1" w:rsidP="00C734C1">
            <w:pPr>
              <w:numPr>
                <w:ilvl w:val="0"/>
                <w:numId w:val="12"/>
              </w:numPr>
              <w:suppressAutoHyphens/>
              <w:autoSpaceDN w:val="0"/>
              <w:spacing w:after="200" w:line="276" w:lineRule="auto"/>
              <w:rPr>
                <w:rFonts w:ascii="Arial" w:eastAsia="Calibri" w:hAnsi="Arial" w:cs="Times New Roman"/>
                <w:bCs/>
                <w:kern w:val="0"/>
                <w:sz w:val="24"/>
                <w:szCs w:val="24"/>
                <w14:ligatures w14:val="none"/>
              </w:rPr>
            </w:pPr>
            <w:r w:rsidRPr="00C734C1">
              <w:rPr>
                <w:rFonts w:ascii="Arial" w:eastAsia="Calibri" w:hAnsi="Arial" w:cs="Times New Roman"/>
                <w:bCs/>
                <w:kern w:val="0"/>
                <w:sz w:val="24"/>
                <w:szCs w:val="24"/>
                <w14:ligatures w14:val="none"/>
              </w:rPr>
              <w:t>This section acknowledges that there may be concurrent construction and disposal operations. When an area under construction is completed, is a permit variation required for disposal operations to start in that area? The same question might apply for when an area of the GDF is sealed.</w:t>
            </w:r>
          </w:p>
          <w:p w14:paraId="2BC3DC47" w14:textId="02F4D3C0" w:rsidR="00C734C1" w:rsidRPr="00C734C1" w:rsidRDefault="00C734C1" w:rsidP="00C734C1">
            <w:pPr>
              <w:numPr>
                <w:ilvl w:val="0"/>
                <w:numId w:val="12"/>
              </w:numPr>
              <w:suppressAutoHyphens/>
              <w:autoSpaceDN w:val="0"/>
              <w:spacing w:after="200" w:line="276" w:lineRule="auto"/>
              <w:rPr>
                <w:rFonts w:ascii="Arial" w:eastAsia="Calibri" w:hAnsi="Arial" w:cs="Times New Roman"/>
                <w:kern w:val="0"/>
                <w:sz w:val="24"/>
                <w:szCs w:val="24"/>
                <w14:ligatures w14:val="none"/>
              </w:rPr>
            </w:pPr>
            <w:r w:rsidRPr="33C86F87">
              <w:rPr>
                <w:rFonts w:ascii="Arial" w:eastAsia="Calibri" w:hAnsi="Arial" w:cs="Times New Roman"/>
                <w:kern w:val="0"/>
                <w:sz w:val="24"/>
                <w:szCs w:val="24"/>
                <w14:ligatures w14:val="none"/>
              </w:rPr>
              <w:t xml:space="preserve">The guidance indicates that the ISE is expected to cover ‘in some detail’ GRA requirements R4, R8, R9 and R10. As this stage is before detailed site characterisation information has been obtained from the intrusive investigations which will directly inform these aspects, it is not clear how much detail is expected. </w:t>
            </w:r>
            <w:proofErr w:type="spellStart"/>
            <w:r w:rsidR="1757621D" w:rsidRPr="33C86F87">
              <w:rPr>
                <w:rFonts w:ascii="Arial" w:eastAsia="Calibri" w:hAnsi="Arial" w:cs="Times New Roman"/>
                <w:kern w:val="0"/>
                <w:sz w:val="24"/>
                <w:szCs w:val="24"/>
                <w14:ligatures w14:val="none"/>
              </w:rPr>
              <w:t>We</w:t>
            </w:r>
            <w:r w:rsidRPr="33C86F87">
              <w:rPr>
                <w:rFonts w:ascii="Arial" w:eastAsia="Calibri" w:hAnsi="Arial" w:cs="Times New Roman"/>
                <w:kern w:val="0"/>
                <w:sz w:val="24"/>
                <w:szCs w:val="24"/>
                <w14:ligatures w14:val="none"/>
              </w:rPr>
              <w:t>also</w:t>
            </w:r>
            <w:proofErr w:type="spellEnd"/>
            <w:r w:rsidRPr="33C86F87">
              <w:rPr>
                <w:rFonts w:ascii="Arial" w:eastAsia="Calibri" w:hAnsi="Arial" w:cs="Times New Roman"/>
                <w:kern w:val="0"/>
                <w:sz w:val="24"/>
                <w:szCs w:val="24"/>
                <w14:ligatures w14:val="none"/>
              </w:rPr>
              <w:t xml:space="preserve"> note that Part B indicates ‘initial views’ and the last paragraph on page 49 indicates the knowledge and understanding are still likely to be limited even at the later PESE stage.</w:t>
            </w:r>
          </w:p>
          <w:p w14:paraId="13E64838" w14:textId="209E7CED" w:rsidR="00C734C1" w:rsidRPr="00C734C1" w:rsidRDefault="795A1011" w:rsidP="00C734C1">
            <w:pPr>
              <w:numPr>
                <w:ilvl w:val="0"/>
                <w:numId w:val="12"/>
              </w:numPr>
              <w:suppressAutoHyphens/>
              <w:autoSpaceDN w:val="0"/>
              <w:spacing w:after="200" w:line="276" w:lineRule="auto"/>
              <w:rPr>
                <w:rFonts w:ascii="Arial" w:eastAsia="Calibri" w:hAnsi="Arial" w:cs="Times New Roman"/>
                <w:kern w:val="0"/>
                <w:sz w:val="24"/>
                <w:szCs w:val="24"/>
                <w14:ligatures w14:val="none"/>
              </w:rPr>
            </w:pPr>
            <w:r w:rsidRPr="7F009B38">
              <w:rPr>
                <w:rFonts w:ascii="Arial" w:eastAsia="Calibri" w:hAnsi="Arial" w:cs="Times New Roman"/>
                <w:kern w:val="0"/>
                <w:sz w:val="24"/>
                <w:szCs w:val="24"/>
                <w14:ligatures w14:val="none"/>
              </w:rPr>
              <w:t>We</w:t>
            </w:r>
            <w:r w:rsidR="00C734C1" w:rsidRPr="2F03E8D5">
              <w:rPr>
                <w:rFonts w:ascii="Arial" w:eastAsia="Calibri" w:hAnsi="Arial" w:cs="Times New Roman"/>
                <w:kern w:val="0"/>
                <w:sz w:val="24"/>
                <w:szCs w:val="24"/>
                <w14:ligatures w14:val="none"/>
              </w:rPr>
              <w:t xml:space="preserve"> suggest that where there is reference to using experience from similar facilities in other countries, it may be helpful to be explicit that this must normally be from facilities sited in similar rock and geological conditions. </w:t>
            </w:r>
          </w:p>
          <w:p w14:paraId="69B71F1C" w14:textId="7B2B607C" w:rsidR="002D5DC3" w:rsidRDefault="00C734C1" w:rsidP="00C734C1">
            <w:pPr>
              <w:numPr>
                <w:ilvl w:val="0"/>
                <w:numId w:val="12"/>
              </w:numPr>
              <w:suppressAutoHyphens/>
              <w:autoSpaceDN w:val="0"/>
              <w:spacing w:after="200" w:line="276" w:lineRule="auto"/>
              <w:rPr>
                <w:rFonts w:asciiTheme="minorBidi" w:hAnsiTheme="minorBidi"/>
                <w:sz w:val="24"/>
                <w:szCs w:val="24"/>
              </w:rPr>
            </w:pPr>
            <w:r w:rsidRPr="64775651">
              <w:rPr>
                <w:rFonts w:ascii="Arial" w:eastAsia="Calibri" w:hAnsi="Arial" w:cs="Times New Roman"/>
                <w:kern w:val="0"/>
                <w:sz w:val="24"/>
                <w:szCs w:val="24"/>
                <w14:ligatures w14:val="none"/>
              </w:rPr>
              <w:t>A further  suggestion would be that a diagram showing the stages (and summary of requirements and what the resultant permit variation covers) would be helpful and show the stages in a concise form. It could show the progressive development of the ESC and permit through its variations It could also show where there could concurrently be a permit and licence in force.</w:t>
            </w:r>
            <w:r w:rsidRPr="00C734C1">
              <w:rPr>
                <w:rFonts w:ascii="Arial" w:eastAsia="Times New Roman" w:hAnsi="Arial" w:cs="Times New Roman"/>
                <w:b/>
                <w:color w:val="6E942C"/>
                <w:kern w:val="0"/>
                <w:sz w:val="32"/>
                <w:szCs w:val="24"/>
                <w14:ligatures w14:val="none"/>
              </w:rPr>
              <w:br/>
            </w:r>
          </w:p>
        </w:tc>
      </w:tr>
      <w:tr w:rsidR="00A729BC" w14:paraId="54EB1100" w14:textId="77777777" w:rsidTr="2C52F919">
        <w:tc>
          <w:tcPr>
            <w:tcW w:w="15593" w:type="dxa"/>
            <w:gridSpan w:val="2"/>
            <w:tcBorders>
              <w:bottom w:val="single" w:sz="4" w:space="0" w:color="auto"/>
            </w:tcBorders>
          </w:tcPr>
          <w:p w14:paraId="63E41BAC" w14:textId="77777777" w:rsidR="00A729BC" w:rsidRPr="00C14BFD" w:rsidRDefault="00A729BC" w:rsidP="00A729BC">
            <w:pPr>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ONR responses to subsequent questions posed in this section of the consultation.</w:t>
            </w:r>
          </w:p>
          <w:p w14:paraId="187A1E8B" w14:textId="77777777" w:rsidR="00A729BC" w:rsidRDefault="00A729BC">
            <w:pPr>
              <w:autoSpaceDE w:val="0"/>
              <w:autoSpaceDN w:val="0"/>
              <w:adjustRightInd w:val="0"/>
              <w:rPr>
                <w:rFonts w:asciiTheme="minorBidi" w:hAnsiTheme="minorBidi"/>
                <w:sz w:val="24"/>
                <w:szCs w:val="24"/>
              </w:rPr>
            </w:pPr>
          </w:p>
          <w:p w14:paraId="2D3E10ED" w14:textId="77777777" w:rsidR="00CB1520" w:rsidRPr="00CB1520" w:rsidRDefault="00CB1520" w:rsidP="00CB1520">
            <w:pPr>
              <w:numPr>
                <w:ilvl w:val="0"/>
                <w:numId w:val="18"/>
              </w:numPr>
              <w:suppressAutoHyphens/>
              <w:autoSpaceDN w:val="0"/>
              <w:rPr>
                <w:rFonts w:ascii="Arial" w:eastAsia="Times New Roman" w:hAnsi="Arial" w:cs="Times New Roman"/>
                <w:color w:val="000000"/>
                <w:kern w:val="0"/>
                <w:sz w:val="24"/>
                <w:szCs w:val="24"/>
                <w14:ligatures w14:val="none"/>
              </w:rPr>
            </w:pPr>
            <w:r w:rsidRPr="00CB1520">
              <w:rPr>
                <w:rFonts w:ascii="Arial" w:eastAsia="Times New Roman" w:hAnsi="Arial" w:cs="Times New Roman"/>
                <w:color w:val="000000"/>
                <w:kern w:val="0"/>
                <w:sz w:val="24"/>
                <w:szCs w:val="24"/>
                <w14:ligatures w14:val="none"/>
              </w:rPr>
              <w:t>Is the document clear and easy to read?</w:t>
            </w:r>
          </w:p>
          <w:p w14:paraId="411C21A6"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6F43B711" w14:textId="77777777" w:rsidR="00CB1520" w:rsidRPr="00CB1520" w:rsidRDefault="00CB1520" w:rsidP="00CB1520">
            <w:pPr>
              <w:suppressAutoHyphens/>
              <w:autoSpaceDN w:val="0"/>
              <w:ind w:left="502"/>
              <w:rPr>
                <w:rFonts w:ascii="Arial" w:eastAsia="Times New Roman" w:hAnsi="Arial" w:cs="Times New Roman"/>
                <w:color w:val="FF0000"/>
                <w:kern w:val="0"/>
                <w:sz w:val="24"/>
                <w:szCs w:val="24"/>
                <w14:ligatures w14:val="none"/>
              </w:rPr>
            </w:pPr>
            <w:r w:rsidRPr="00CB1520">
              <w:rPr>
                <w:rFonts w:ascii="Arial" w:eastAsia="Times New Roman" w:hAnsi="Arial" w:cs="Times New Roman"/>
                <w:i/>
                <w:iCs/>
                <w:color w:val="000000"/>
                <w:kern w:val="0"/>
                <w:sz w:val="24"/>
                <w14:ligatures w14:val="none"/>
              </w:rPr>
              <w:t>ONR. Yes.</w:t>
            </w:r>
          </w:p>
          <w:p w14:paraId="13D2F83F" w14:textId="77777777" w:rsidR="00CB1520" w:rsidRPr="00CB1520" w:rsidRDefault="00CB1520" w:rsidP="00CB1520">
            <w:pPr>
              <w:suppressAutoHyphens/>
              <w:autoSpaceDN w:val="0"/>
              <w:ind w:left="502"/>
              <w:rPr>
                <w:rFonts w:ascii="Arial" w:eastAsia="Times New Roman" w:hAnsi="Arial" w:cs="Times New Roman"/>
                <w:bCs/>
                <w:color w:val="FF0000"/>
                <w:kern w:val="0"/>
                <w:sz w:val="24"/>
                <w:szCs w:val="24"/>
                <w14:ligatures w14:val="none"/>
              </w:rPr>
            </w:pPr>
          </w:p>
          <w:p w14:paraId="1F8A401C"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 xml:space="preserve">Are there any inconsistencies in the guidance? If so, please give examples. </w:t>
            </w:r>
          </w:p>
          <w:p w14:paraId="15CA46FE"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0C12496E"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Are the stages set out in the guidance clear, and do they cover all the areas that should be addressed?</w:t>
            </w:r>
          </w:p>
          <w:p w14:paraId="3497BB8E"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3C031213" w14:textId="77777777" w:rsidR="00CB1520" w:rsidRPr="00CB1520" w:rsidRDefault="00CB1520" w:rsidP="00CB1520">
            <w:pPr>
              <w:suppressAutoHyphens/>
              <w:autoSpaceDN w:val="0"/>
              <w:ind w:left="502"/>
              <w:rPr>
                <w:rFonts w:ascii="Arial" w:eastAsia="Times New Roman" w:hAnsi="Arial" w:cs="Times New Roman"/>
                <w:bCs/>
                <w:i/>
                <w:iCs/>
                <w:color w:val="000000"/>
                <w:kern w:val="0"/>
                <w:sz w:val="24"/>
                <w:szCs w:val="24"/>
                <w14:ligatures w14:val="none"/>
              </w:rPr>
            </w:pPr>
            <w:r w:rsidRPr="00CB1520">
              <w:rPr>
                <w:rFonts w:ascii="Arial" w:eastAsia="Times New Roman" w:hAnsi="Arial" w:cs="Times New Roman"/>
                <w:bCs/>
                <w:i/>
                <w:iCs/>
                <w:color w:val="000000"/>
                <w:kern w:val="0"/>
                <w:sz w:val="24"/>
                <w:szCs w:val="24"/>
                <w14:ligatures w14:val="none"/>
              </w:rPr>
              <w:t>ONR. Please see comments in the Overview at paragraphs 11. to 13. &amp; 17. above.</w:t>
            </w:r>
          </w:p>
          <w:p w14:paraId="5CD9346C"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13BD050E"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Is the scope of our regulation of the surface-based intrusive investigation stage clear and does it cover all areas that should be addressed?</w:t>
            </w:r>
          </w:p>
          <w:p w14:paraId="55779A30"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686314CD" w14:textId="77777777" w:rsidR="00CB1520" w:rsidRPr="00CB1520" w:rsidRDefault="00CB1520" w:rsidP="00CB1520">
            <w:pPr>
              <w:suppressAutoHyphens/>
              <w:autoSpaceDN w:val="0"/>
              <w:ind w:left="502"/>
              <w:rPr>
                <w:rFonts w:ascii="Arial" w:eastAsia="Times New Roman" w:hAnsi="Arial" w:cs="Times New Roman"/>
                <w:bCs/>
                <w:i/>
                <w:iCs/>
                <w:color w:val="000000"/>
                <w:kern w:val="0"/>
                <w:sz w:val="24"/>
                <w:szCs w:val="24"/>
                <w14:ligatures w14:val="none"/>
              </w:rPr>
            </w:pPr>
            <w:r w:rsidRPr="00CB1520">
              <w:rPr>
                <w:rFonts w:ascii="Arial" w:eastAsia="Times New Roman" w:hAnsi="Arial" w:cs="Times New Roman"/>
                <w:bCs/>
                <w:i/>
                <w:iCs/>
                <w:color w:val="000000"/>
                <w:kern w:val="0"/>
                <w:sz w:val="24"/>
                <w:szCs w:val="24"/>
                <w14:ligatures w14:val="none"/>
              </w:rPr>
              <w:t>ONR. Please see comments in the Overview at paragraphs 11. to 13. &amp; 17. above.</w:t>
            </w:r>
          </w:p>
          <w:p w14:paraId="3C21F5DB"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7DE1B649"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Is our approach to permitting the sites for drilling boreholes during the surface-based intrusive investigations stage transparent?</w:t>
            </w:r>
          </w:p>
          <w:p w14:paraId="571B05A8"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42B4D0AD" w14:textId="77777777" w:rsidR="00CB1520" w:rsidRPr="00CB1520" w:rsidRDefault="00CB1520" w:rsidP="00CB1520">
            <w:pPr>
              <w:suppressAutoHyphens/>
              <w:autoSpaceDN w:val="0"/>
              <w:ind w:left="502"/>
              <w:rPr>
                <w:rFonts w:ascii="Arial" w:eastAsia="Times New Roman" w:hAnsi="Arial" w:cs="Times New Roman"/>
                <w:bCs/>
                <w:i/>
                <w:iCs/>
                <w:color w:val="000000"/>
                <w:kern w:val="0"/>
                <w:sz w:val="24"/>
                <w:szCs w:val="24"/>
                <w14:ligatures w14:val="none"/>
              </w:rPr>
            </w:pPr>
            <w:r w:rsidRPr="00CB1520">
              <w:rPr>
                <w:rFonts w:ascii="Arial" w:eastAsia="Times New Roman" w:hAnsi="Arial" w:cs="Times New Roman"/>
                <w:bCs/>
                <w:i/>
                <w:iCs/>
                <w:color w:val="000000"/>
                <w:kern w:val="0"/>
                <w:sz w:val="24"/>
                <w:szCs w:val="24"/>
                <w14:ligatures w14:val="none"/>
              </w:rPr>
              <w:t>ONR. Please see comments in the Overview at paragraphs 8. to 10. above.</w:t>
            </w:r>
          </w:p>
          <w:p w14:paraId="2DB6641A"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492AF876"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Is our approach to regulating the initial and subsequent borehole drilling activities during the surface-based intrusive investigations stage clear and fit for purpose?</w:t>
            </w:r>
          </w:p>
          <w:p w14:paraId="108A977E"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2FE28156" w14:textId="77777777" w:rsidR="00CB1520" w:rsidRPr="00CB1520" w:rsidRDefault="00CB1520" w:rsidP="00CB1520">
            <w:pPr>
              <w:suppressAutoHyphens/>
              <w:autoSpaceDN w:val="0"/>
              <w:ind w:left="502"/>
              <w:rPr>
                <w:rFonts w:ascii="Arial" w:eastAsia="Times New Roman" w:hAnsi="Arial" w:cs="Times New Roman"/>
                <w:bCs/>
                <w:i/>
                <w:iCs/>
                <w:color w:val="000000"/>
                <w:kern w:val="0"/>
                <w:sz w:val="24"/>
                <w:szCs w:val="24"/>
                <w14:ligatures w14:val="none"/>
              </w:rPr>
            </w:pPr>
            <w:r w:rsidRPr="00CB1520">
              <w:rPr>
                <w:rFonts w:ascii="Arial" w:eastAsia="Times New Roman" w:hAnsi="Arial" w:cs="Times New Roman"/>
                <w:bCs/>
                <w:i/>
                <w:iCs/>
                <w:color w:val="000000"/>
                <w:kern w:val="0"/>
                <w:sz w:val="24"/>
                <w:szCs w:val="24"/>
                <w14:ligatures w14:val="none"/>
              </w:rPr>
              <w:t>ONR. Please see comments in the Overview at paragraphs 8. to 10. above.</w:t>
            </w:r>
          </w:p>
          <w:p w14:paraId="1F887B70"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51F43E32"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Is it clear which construction activities we would permit during the underground investigations stage?</w:t>
            </w:r>
          </w:p>
          <w:p w14:paraId="2202DB15"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629B8314" w14:textId="77777777" w:rsidR="00CB1520" w:rsidRPr="00CB1520" w:rsidRDefault="00CB1520" w:rsidP="00CB1520">
            <w:pPr>
              <w:suppressAutoHyphens/>
              <w:autoSpaceDN w:val="0"/>
              <w:ind w:left="502"/>
              <w:rPr>
                <w:rFonts w:ascii="Arial" w:eastAsia="Times New Roman" w:hAnsi="Arial" w:cs="Times New Roman"/>
                <w:bCs/>
                <w:i/>
                <w:iCs/>
                <w:color w:val="000000"/>
                <w:kern w:val="0"/>
                <w:sz w:val="24"/>
                <w:szCs w:val="24"/>
                <w14:ligatures w14:val="none"/>
              </w:rPr>
            </w:pPr>
            <w:r w:rsidRPr="00CB1520">
              <w:rPr>
                <w:rFonts w:ascii="Arial" w:eastAsia="Times New Roman" w:hAnsi="Arial" w:cs="Times New Roman"/>
                <w:bCs/>
                <w:i/>
                <w:iCs/>
                <w:color w:val="000000"/>
                <w:kern w:val="0"/>
                <w:sz w:val="24"/>
                <w:szCs w:val="24"/>
                <w14:ligatures w14:val="none"/>
              </w:rPr>
              <w:t>ONR. Please see comments in the Overview at paragraphs 8. to 10. above.</w:t>
            </w:r>
          </w:p>
          <w:p w14:paraId="030076ED"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43DF21B6"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Is guidance on the supporting information required for permitting each stage clear and does it cover all the areas that should be addressed?</w:t>
            </w:r>
          </w:p>
          <w:p w14:paraId="621D2520"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13261D96" w14:textId="77777777" w:rsidR="00CB1520" w:rsidRPr="00CB1520" w:rsidRDefault="00CB1520" w:rsidP="00CB1520">
            <w:pPr>
              <w:suppressAutoHyphens/>
              <w:autoSpaceDN w:val="0"/>
              <w:ind w:left="502"/>
              <w:rPr>
                <w:rFonts w:ascii="Arial" w:eastAsia="Times New Roman" w:hAnsi="Arial" w:cs="Times New Roman"/>
                <w:bCs/>
                <w:i/>
                <w:iCs/>
                <w:color w:val="000000"/>
                <w:kern w:val="0"/>
                <w:sz w:val="24"/>
                <w:szCs w:val="24"/>
                <w14:ligatures w14:val="none"/>
              </w:rPr>
            </w:pPr>
            <w:r w:rsidRPr="00CB1520">
              <w:rPr>
                <w:rFonts w:ascii="Arial" w:eastAsia="Times New Roman" w:hAnsi="Arial" w:cs="Times New Roman"/>
                <w:bCs/>
                <w:i/>
                <w:iCs/>
                <w:color w:val="000000"/>
                <w:kern w:val="0"/>
                <w:sz w:val="24"/>
                <w:szCs w:val="24"/>
                <w14:ligatures w14:val="none"/>
              </w:rPr>
              <w:t>ONR. Please see comments in the Overview at paragraphs 8. to 10. above.</w:t>
            </w:r>
          </w:p>
          <w:p w14:paraId="3849B89E"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7F3C56EB" w14:textId="77777777" w:rsidR="00CB1520" w:rsidRPr="00CB1520" w:rsidRDefault="00CB1520" w:rsidP="00CB1520">
            <w:pPr>
              <w:numPr>
                <w:ilvl w:val="0"/>
                <w:numId w:val="18"/>
              </w:numPr>
              <w:suppressAutoHyphens/>
              <w:autoSpaceDN w:val="0"/>
              <w:rPr>
                <w:rFonts w:ascii="Arial" w:eastAsia="Times New Roman" w:hAnsi="Arial" w:cs="Times New Roman"/>
                <w:bCs/>
                <w:color w:val="000000"/>
                <w:kern w:val="0"/>
                <w:sz w:val="24"/>
                <w:szCs w:val="24"/>
                <w14:ligatures w14:val="none"/>
              </w:rPr>
            </w:pPr>
            <w:r w:rsidRPr="00CB1520">
              <w:rPr>
                <w:rFonts w:ascii="Arial" w:eastAsia="Times New Roman" w:hAnsi="Arial" w:cs="Times New Roman"/>
                <w:bCs/>
                <w:color w:val="000000"/>
                <w:kern w:val="0"/>
                <w:sz w:val="24"/>
                <w:szCs w:val="24"/>
                <w14:ligatures w14:val="none"/>
              </w:rPr>
              <w:t>Are permit surrender requirements for the investigatory and post-operational stages clear and relevant to each stage?</w:t>
            </w:r>
          </w:p>
          <w:p w14:paraId="48DF6730" w14:textId="77777777" w:rsidR="00CB1520" w:rsidRPr="00CB1520" w:rsidRDefault="00CB1520" w:rsidP="00CB1520">
            <w:pPr>
              <w:suppressAutoHyphens/>
              <w:autoSpaceDN w:val="0"/>
              <w:ind w:left="502"/>
              <w:rPr>
                <w:rFonts w:ascii="Arial" w:eastAsia="Times New Roman" w:hAnsi="Arial" w:cs="Times New Roman"/>
                <w:bCs/>
                <w:color w:val="000000"/>
                <w:kern w:val="0"/>
                <w:sz w:val="24"/>
                <w:szCs w:val="24"/>
                <w14:ligatures w14:val="none"/>
              </w:rPr>
            </w:pPr>
          </w:p>
          <w:p w14:paraId="4A846A33" w14:textId="382AE777" w:rsidR="00A729BC" w:rsidRDefault="00CB1520" w:rsidP="000D2D24">
            <w:pPr>
              <w:suppressAutoHyphens/>
              <w:autoSpaceDN w:val="0"/>
              <w:ind w:left="502"/>
              <w:rPr>
                <w:rFonts w:asciiTheme="minorBidi" w:hAnsiTheme="minorBidi"/>
                <w:sz w:val="24"/>
                <w:szCs w:val="24"/>
              </w:rPr>
            </w:pPr>
            <w:r w:rsidRPr="00CB1520">
              <w:rPr>
                <w:rFonts w:ascii="Arial" w:eastAsia="Times New Roman" w:hAnsi="Arial" w:cs="Times New Roman"/>
                <w:i/>
                <w:iCs/>
                <w:color w:val="000000"/>
                <w:kern w:val="0"/>
                <w:sz w:val="24"/>
                <w:szCs w:val="24"/>
                <w14:ligatures w14:val="none"/>
              </w:rPr>
              <w:t>ONR. Please see comments in the Overview at paragraphs 8. to 10. above.</w:t>
            </w:r>
          </w:p>
        </w:tc>
      </w:tr>
      <w:tr w:rsidR="000D2D24" w14:paraId="28B53A74" w14:textId="77777777" w:rsidTr="2C52F919">
        <w:tc>
          <w:tcPr>
            <w:tcW w:w="15593" w:type="dxa"/>
            <w:gridSpan w:val="2"/>
            <w:tcBorders>
              <w:top w:val="single" w:sz="4" w:space="0" w:color="auto"/>
              <w:left w:val="single" w:sz="4" w:space="0" w:color="auto"/>
              <w:bottom w:val="single" w:sz="4" w:space="0" w:color="auto"/>
              <w:right w:val="single" w:sz="4" w:space="0" w:color="auto"/>
            </w:tcBorders>
          </w:tcPr>
          <w:p w14:paraId="3ECF1068" w14:textId="77777777" w:rsidR="000D2D24" w:rsidRDefault="000D2D24">
            <w:pPr>
              <w:autoSpaceDE w:val="0"/>
              <w:autoSpaceDN w:val="0"/>
              <w:adjustRightInd w:val="0"/>
              <w:rPr>
                <w:rFonts w:asciiTheme="minorBidi" w:hAnsiTheme="minorBidi"/>
                <w:sz w:val="24"/>
                <w:szCs w:val="24"/>
              </w:rPr>
            </w:pPr>
          </w:p>
        </w:tc>
      </w:tr>
    </w:tbl>
    <w:p w14:paraId="34EDB330" w14:textId="77777777" w:rsidR="002D5DC3" w:rsidRPr="00DC22BB" w:rsidRDefault="002D5DC3" w:rsidP="00DC22BB">
      <w:pPr>
        <w:autoSpaceDE w:val="0"/>
        <w:autoSpaceDN w:val="0"/>
        <w:adjustRightInd w:val="0"/>
        <w:spacing w:after="0" w:line="240" w:lineRule="auto"/>
        <w:rPr>
          <w:rFonts w:asciiTheme="minorBidi" w:hAnsiTheme="minorBidi"/>
          <w:sz w:val="24"/>
          <w:szCs w:val="24"/>
        </w:rPr>
      </w:pPr>
    </w:p>
    <w:sectPr w:rsidR="002D5DC3" w:rsidRPr="00DC22BB" w:rsidSect="009F3E2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4125" w14:textId="77777777" w:rsidR="007E4AB6" w:rsidRDefault="007E4AB6" w:rsidP="009C5C3B">
      <w:pPr>
        <w:spacing w:after="0" w:line="240" w:lineRule="auto"/>
      </w:pPr>
      <w:r>
        <w:separator/>
      </w:r>
    </w:p>
  </w:endnote>
  <w:endnote w:type="continuationSeparator" w:id="0">
    <w:p w14:paraId="4C7B7807" w14:textId="77777777" w:rsidR="007E4AB6" w:rsidRDefault="007E4AB6" w:rsidP="009C5C3B">
      <w:pPr>
        <w:spacing w:after="0" w:line="240" w:lineRule="auto"/>
      </w:pPr>
      <w:r>
        <w:continuationSeparator/>
      </w:r>
    </w:p>
  </w:endnote>
  <w:endnote w:type="continuationNotice" w:id="1">
    <w:p w14:paraId="3AC4338F" w14:textId="77777777" w:rsidR="007E4AB6" w:rsidRDefault="007E4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8EAE" w14:textId="77777777" w:rsidR="007E4AB6" w:rsidRDefault="007E4AB6" w:rsidP="009C5C3B">
      <w:pPr>
        <w:spacing w:after="0" w:line="240" w:lineRule="auto"/>
      </w:pPr>
      <w:r>
        <w:separator/>
      </w:r>
    </w:p>
  </w:footnote>
  <w:footnote w:type="continuationSeparator" w:id="0">
    <w:p w14:paraId="0BC29077" w14:textId="77777777" w:rsidR="007E4AB6" w:rsidRDefault="007E4AB6" w:rsidP="009C5C3B">
      <w:pPr>
        <w:spacing w:after="0" w:line="240" w:lineRule="auto"/>
      </w:pPr>
      <w:r>
        <w:continuationSeparator/>
      </w:r>
    </w:p>
  </w:footnote>
  <w:footnote w:type="continuationNotice" w:id="1">
    <w:p w14:paraId="4CBC1259" w14:textId="77777777" w:rsidR="007E4AB6" w:rsidRDefault="007E4AB6">
      <w:pPr>
        <w:spacing w:after="0" w:line="240" w:lineRule="auto"/>
      </w:pPr>
    </w:p>
  </w:footnote>
  <w:footnote w:id="2">
    <w:p w14:paraId="28208A35" w14:textId="77777777" w:rsidR="00E50CBA" w:rsidRDefault="00E50CBA" w:rsidP="00E50CBA">
      <w:pPr>
        <w:pStyle w:val="FootnoteText"/>
      </w:pPr>
      <w:r>
        <w:rPr>
          <w:rStyle w:val="FootnoteReference"/>
        </w:rPr>
        <w:footnoteRef/>
      </w:r>
      <w:r>
        <w:t xml:space="preserve"> </w:t>
      </w:r>
      <w:hyperlink r:id="rId1" w:history="1">
        <w:r w:rsidRPr="00571A9A">
          <w:rPr>
            <w:rStyle w:val="Hyperlink"/>
            <w:bCs/>
          </w:rPr>
          <w:t>Disposal-facilities-for-solid-radioactive-waste-guidance-on-requirements-for-authorisation-for-consultation.odt</w:t>
        </w:r>
      </w:hyperlink>
    </w:p>
  </w:footnote>
  <w:footnote w:id="3">
    <w:p w14:paraId="668D532A" w14:textId="77777777" w:rsidR="003F08BB" w:rsidRDefault="003F08BB" w:rsidP="003F08BB">
      <w:pPr>
        <w:pStyle w:val="FootnoteText"/>
      </w:pPr>
      <w:r>
        <w:rPr>
          <w:rStyle w:val="FootnoteReference"/>
        </w:rPr>
        <w:footnoteRef/>
      </w:r>
      <w:r>
        <w:t xml:space="preserve"> Paragraphs 1.6 – 1.9 </w:t>
      </w:r>
      <w:hyperlink r:id="rId2" w:history="1">
        <w:r w:rsidRPr="00FE6F3B">
          <w:rPr>
            <w:rStyle w:val="Hyperlink"/>
            <w:bCs/>
          </w:rPr>
          <w:t>Managing Radioactive Substances and Nuclear Decommissioning: UK policy framework</w:t>
        </w:r>
      </w:hyperlink>
    </w:p>
  </w:footnote>
  <w:footnote w:id="4">
    <w:p w14:paraId="56BC6D4A" w14:textId="77777777" w:rsidR="003F08BB" w:rsidRDefault="003F08BB" w:rsidP="003F08BB">
      <w:pPr>
        <w:pStyle w:val="FootnoteText"/>
      </w:pPr>
      <w:r>
        <w:rPr>
          <w:rStyle w:val="FootnoteReference"/>
        </w:rPr>
        <w:footnoteRef/>
      </w:r>
      <w:r>
        <w:t xml:space="preserve"> </w:t>
      </w:r>
      <w:hyperlink r:id="rId3" w:history="1">
        <w:r w:rsidRPr="00FE6F3B">
          <w:rPr>
            <w:rStyle w:val="Hyperlink"/>
            <w:bCs/>
          </w:rPr>
          <w:t>CoRWM position papers and document archive - 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5FF" w14:textId="7522E2DC" w:rsidR="008411E7" w:rsidRDefault="008411E7">
    <w:pPr>
      <w:pStyle w:val="Header"/>
    </w:pPr>
    <w:r>
      <w:rPr>
        <w:noProof/>
        <w:lang w:eastAsia="en-GB"/>
      </w:rPr>
      <w:drawing>
        <wp:anchor distT="0" distB="0" distL="114300" distR="114300" simplePos="0" relativeHeight="251658240" behindDoc="0" locked="0" layoutInCell="1" allowOverlap="1" wp14:anchorId="5665F760" wp14:editId="76FCCE18">
          <wp:simplePos x="0" y="0"/>
          <wp:positionH relativeFrom="margin">
            <wp:posOffset>-57150</wp:posOffset>
          </wp:positionH>
          <wp:positionV relativeFrom="topMargin">
            <wp:posOffset>153670</wp:posOffset>
          </wp:positionV>
          <wp:extent cx="2591204" cy="547075"/>
          <wp:effectExtent l="0" t="0" r="0" b="5715"/>
          <wp:wrapNone/>
          <wp:docPr id="13" name="Picture 1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591204" cy="547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5BB"/>
    <w:multiLevelType w:val="multilevel"/>
    <w:tmpl w:val="6126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21C26"/>
    <w:multiLevelType w:val="multilevel"/>
    <w:tmpl w:val="239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4331F"/>
    <w:multiLevelType w:val="hybridMultilevel"/>
    <w:tmpl w:val="EF4CD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C95DF7"/>
    <w:multiLevelType w:val="multilevel"/>
    <w:tmpl w:val="2F3C89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3053238"/>
    <w:multiLevelType w:val="hybridMultilevel"/>
    <w:tmpl w:val="B64C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F375A"/>
    <w:multiLevelType w:val="hybridMultilevel"/>
    <w:tmpl w:val="4D448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5A6A48"/>
    <w:multiLevelType w:val="hybridMultilevel"/>
    <w:tmpl w:val="217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EA1603"/>
    <w:multiLevelType w:val="hybridMultilevel"/>
    <w:tmpl w:val="4426CF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F2365"/>
    <w:multiLevelType w:val="multilevel"/>
    <w:tmpl w:val="0E3A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C32BB"/>
    <w:multiLevelType w:val="hybridMultilevel"/>
    <w:tmpl w:val="FBEAC4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A949E9"/>
    <w:multiLevelType w:val="multilevel"/>
    <w:tmpl w:val="2B7C7C3E"/>
    <w:lvl w:ilvl="0">
      <w:start w:val="1"/>
      <w:numFmt w:val="lowerRoman"/>
      <w:lvlText w:val="%1."/>
      <w:lvlJc w:val="righ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59B77CA5"/>
    <w:multiLevelType w:val="multilevel"/>
    <w:tmpl w:val="101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0D7694"/>
    <w:multiLevelType w:val="hybridMultilevel"/>
    <w:tmpl w:val="861443A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DCF1E23"/>
    <w:multiLevelType w:val="hybridMultilevel"/>
    <w:tmpl w:val="12106E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F3A10E4"/>
    <w:multiLevelType w:val="hybridMultilevel"/>
    <w:tmpl w:val="71E6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66C8D"/>
    <w:multiLevelType w:val="multilevel"/>
    <w:tmpl w:val="F5488A7C"/>
    <w:lvl w:ilvl="0">
      <w:start w:val="1"/>
      <w:numFmt w:val="bullet"/>
      <w:lvlText w:val=""/>
      <w:lvlJc w:val="left"/>
      <w:pPr>
        <w:tabs>
          <w:tab w:val="num" w:pos="785"/>
        </w:tabs>
        <w:ind w:left="785" w:hanging="360"/>
      </w:pPr>
      <w:rPr>
        <w:rFonts w:ascii="Symbol" w:hAnsi="Symbol" w:hint="default"/>
        <w:color w:val="006D68"/>
        <w:sz w:val="24"/>
        <w:szCs w:val="32"/>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6" w15:restartNumberingAfterBreak="0">
    <w:nsid w:val="7C9D6B36"/>
    <w:multiLevelType w:val="multilevel"/>
    <w:tmpl w:val="DC00A45E"/>
    <w:lvl w:ilvl="0">
      <w:start w:val="1"/>
      <w:numFmt w:val="lowerRoman"/>
      <w:lvlText w:val="%1."/>
      <w:lvlJc w:val="righ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529100722">
    <w:abstractNumId w:val="4"/>
  </w:num>
  <w:num w:numId="2" w16cid:durableId="2081515661">
    <w:abstractNumId w:val="7"/>
  </w:num>
  <w:num w:numId="3" w16cid:durableId="320278033">
    <w:abstractNumId w:val="2"/>
  </w:num>
  <w:num w:numId="4" w16cid:durableId="1192376691">
    <w:abstractNumId w:val="6"/>
  </w:num>
  <w:num w:numId="5" w16cid:durableId="764347235">
    <w:abstractNumId w:val="15"/>
  </w:num>
  <w:num w:numId="6" w16cid:durableId="131140854">
    <w:abstractNumId w:val="3"/>
  </w:num>
  <w:num w:numId="7" w16cid:durableId="1410614568">
    <w:abstractNumId w:val="9"/>
  </w:num>
  <w:num w:numId="8" w16cid:durableId="1011179711">
    <w:abstractNumId w:val="3"/>
  </w:num>
  <w:num w:numId="9" w16cid:durableId="872034539">
    <w:abstractNumId w:val="14"/>
  </w:num>
  <w:num w:numId="10" w16cid:durableId="801267972">
    <w:abstractNumId w:val="0"/>
  </w:num>
  <w:num w:numId="11" w16cid:durableId="1561402200">
    <w:abstractNumId w:val="1"/>
  </w:num>
  <w:num w:numId="12" w16cid:durableId="1283808683">
    <w:abstractNumId w:val="13"/>
  </w:num>
  <w:num w:numId="13" w16cid:durableId="1558585047">
    <w:abstractNumId w:val="12"/>
  </w:num>
  <w:num w:numId="14" w16cid:durableId="865631505">
    <w:abstractNumId w:val="8"/>
  </w:num>
  <w:num w:numId="15" w16cid:durableId="1760180415">
    <w:abstractNumId w:val="11"/>
  </w:num>
  <w:num w:numId="16" w16cid:durableId="604924388">
    <w:abstractNumId w:val="5"/>
  </w:num>
  <w:num w:numId="17" w16cid:durableId="1785726857">
    <w:abstractNumId w:val="16"/>
  </w:num>
  <w:num w:numId="18" w16cid:durableId="624895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3B"/>
    <w:rsid w:val="00000A5C"/>
    <w:rsid w:val="00001975"/>
    <w:rsid w:val="000071C6"/>
    <w:rsid w:val="00007994"/>
    <w:rsid w:val="00007C08"/>
    <w:rsid w:val="00015293"/>
    <w:rsid w:val="00023203"/>
    <w:rsid w:val="00025983"/>
    <w:rsid w:val="00026363"/>
    <w:rsid w:val="000264D7"/>
    <w:rsid w:val="000311F7"/>
    <w:rsid w:val="0003148C"/>
    <w:rsid w:val="0003339F"/>
    <w:rsid w:val="0003428E"/>
    <w:rsid w:val="00037C9F"/>
    <w:rsid w:val="00042634"/>
    <w:rsid w:val="00045DB2"/>
    <w:rsid w:val="00047196"/>
    <w:rsid w:val="00055B5A"/>
    <w:rsid w:val="00057058"/>
    <w:rsid w:val="00057790"/>
    <w:rsid w:val="00065679"/>
    <w:rsid w:val="000657FE"/>
    <w:rsid w:val="000676F6"/>
    <w:rsid w:val="00067E10"/>
    <w:rsid w:val="0007082C"/>
    <w:rsid w:val="00071D90"/>
    <w:rsid w:val="00072E92"/>
    <w:rsid w:val="00073401"/>
    <w:rsid w:val="000739D8"/>
    <w:rsid w:val="00083935"/>
    <w:rsid w:val="00083BA9"/>
    <w:rsid w:val="000841F3"/>
    <w:rsid w:val="00085480"/>
    <w:rsid w:val="000903E6"/>
    <w:rsid w:val="00094E74"/>
    <w:rsid w:val="00097D92"/>
    <w:rsid w:val="000A0242"/>
    <w:rsid w:val="000A52D9"/>
    <w:rsid w:val="000B4FF8"/>
    <w:rsid w:val="000B63F2"/>
    <w:rsid w:val="000B6D11"/>
    <w:rsid w:val="000B707A"/>
    <w:rsid w:val="000C136D"/>
    <w:rsid w:val="000C7D64"/>
    <w:rsid w:val="000D2D24"/>
    <w:rsid w:val="000D31FB"/>
    <w:rsid w:val="000D6169"/>
    <w:rsid w:val="000E24B9"/>
    <w:rsid w:val="000E4AD1"/>
    <w:rsid w:val="000F1495"/>
    <w:rsid w:val="000F2C07"/>
    <w:rsid w:val="000F3960"/>
    <w:rsid w:val="000F48AB"/>
    <w:rsid w:val="00100A63"/>
    <w:rsid w:val="001010F8"/>
    <w:rsid w:val="00101C6E"/>
    <w:rsid w:val="00103662"/>
    <w:rsid w:val="00103E0C"/>
    <w:rsid w:val="00105901"/>
    <w:rsid w:val="00105C4E"/>
    <w:rsid w:val="00113D9B"/>
    <w:rsid w:val="00115EBD"/>
    <w:rsid w:val="0012168A"/>
    <w:rsid w:val="001222F3"/>
    <w:rsid w:val="0012370A"/>
    <w:rsid w:val="00123AFC"/>
    <w:rsid w:val="001253F9"/>
    <w:rsid w:val="00126541"/>
    <w:rsid w:val="00127709"/>
    <w:rsid w:val="00130D4F"/>
    <w:rsid w:val="0013444E"/>
    <w:rsid w:val="001355C1"/>
    <w:rsid w:val="00142C09"/>
    <w:rsid w:val="00146C0E"/>
    <w:rsid w:val="00147B17"/>
    <w:rsid w:val="001619BF"/>
    <w:rsid w:val="00167CCE"/>
    <w:rsid w:val="00171DA7"/>
    <w:rsid w:val="00175675"/>
    <w:rsid w:val="00180FC4"/>
    <w:rsid w:val="001855C3"/>
    <w:rsid w:val="00195012"/>
    <w:rsid w:val="001968C9"/>
    <w:rsid w:val="00196A9A"/>
    <w:rsid w:val="001A0303"/>
    <w:rsid w:val="001A3BE5"/>
    <w:rsid w:val="001A58C6"/>
    <w:rsid w:val="001A6C58"/>
    <w:rsid w:val="001C3373"/>
    <w:rsid w:val="001C6081"/>
    <w:rsid w:val="001D0A20"/>
    <w:rsid w:val="001D17A8"/>
    <w:rsid w:val="001E219A"/>
    <w:rsid w:val="001E3B35"/>
    <w:rsid w:val="001F596A"/>
    <w:rsid w:val="001F6DF4"/>
    <w:rsid w:val="00204607"/>
    <w:rsid w:val="0020472F"/>
    <w:rsid w:val="00205E60"/>
    <w:rsid w:val="002104C5"/>
    <w:rsid w:val="00212A21"/>
    <w:rsid w:val="00212C38"/>
    <w:rsid w:val="00214060"/>
    <w:rsid w:val="002146EE"/>
    <w:rsid w:val="00217369"/>
    <w:rsid w:val="0021788E"/>
    <w:rsid w:val="002234B4"/>
    <w:rsid w:val="00223C3E"/>
    <w:rsid w:val="00226F3F"/>
    <w:rsid w:val="00230650"/>
    <w:rsid w:val="00231BF9"/>
    <w:rsid w:val="0023234C"/>
    <w:rsid w:val="00232468"/>
    <w:rsid w:val="00234CAF"/>
    <w:rsid w:val="00240E6E"/>
    <w:rsid w:val="00243BCF"/>
    <w:rsid w:val="002475E4"/>
    <w:rsid w:val="00250C55"/>
    <w:rsid w:val="00253C8B"/>
    <w:rsid w:val="00253D7E"/>
    <w:rsid w:val="002547F6"/>
    <w:rsid w:val="002600D7"/>
    <w:rsid w:val="00261A27"/>
    <w:rsid w:val="0026435A"/>
    <w:rsid w:val="0026473C"/>
    <w:rsid w:val="0026757E"/>
    <w:rsid w:val="002707C7"/>
    <w:rsid w:val="0027129E"/>
    <w:rsid w:val="0027305E"/>
    <w:rsid w:val="0027469F"/>
    <w:rsid w:val="00283526"/>
    <w:rsid w:val="002866FF"/>
    <w:rsid w:val="00290034"/>
    <w:rsid w:val="002907BC"/>
    <w:rsid w:val="00294A8F"/>
    <w:rsid w:val="00294B34"/>
    <w:rsid w:val="002A094B"/>
    <w:rsid w:val="002B3798"/>
    <w:rsid w:val="002B4E96"/>
    <w:rsid w:val="002B5272"/>
    <w:rsid w:val="002C02D1"/>
    <w:rsid w:val="002C1D61"/>
    <w:rsid w:val="002C3803"/>
    <w:rsid w:val="002C3B2A"/>
    <w:rsid w:val="002C5B38"/>
    <w:rsid w:val="002D2A15"/>
    <w:rsid w:val="002D5DC3"/>
    <w:rsid w:val="002D654F"/>
    <w:rsid w:val="002E04C3"/>
    <w:rsid w:val="002E12BC"/>
    <w:rsid w:val="002E31CF"/>
    <w:rsid w:val="002E476B"/>
    <w:rsid w:val="002E506E"/>
    <w:rsid w:val="002F07D1"/>
    <w:rsid w:val="002F13D4"/>
    <w:rsid w:val="002F498B"/>
    <w:rsid w:val="002F4E35"/>
    <w:rsid w:val="00302D00"/>
    <w:rsid w:val="00304EA4"/>
    <w:rsid w:val="00310F74"/>
    <w:rsid w:val="0031200D"/>
    <w:rsid w:val="0031267F"/>
    <w:rsid w:val="0031368A"/>
    <w:rsid w:val="00313803"/>
    <w:rsid w:val="00314B49"/>
    <w:rsid w:val="00316271"/>
    <w:rsid w:val="0031631D"/>
    <w:rsid w:val="003173A6"/>
    <w:rsid w:val="00320B13"/>
    <w:rsid w:val="00323096"/>
    <w:rsid w:val="003236BF"/>
    <w:rsid w:val="00323FDB"/>
    <w:rsid w:val="00324FEF"/>
    <w:rsid w:val="00330D79"/>
    <w:rsid w:val="003344BD"/>
    <w:rsid w:val="00334989"/>
    <w:rsid w:val="00336216"/>
    <w:rsid w:val="0033718F"/>
    <w:rsid w:val="00345A05"/>
    <w:rsid w:val="003527EE"/>
    <w:rsid w:val="00356D45"/>
    <w:rsid w:val="0036109D"/>
    <w:rsid w:val="00362CA5"/>
    <w:rsid w:val="0036334B"/>
    <w:rsid w:val="00366ED1"/>
    <w:rsid w:val="00367C14"/>
    <w:rsid w:val="0037019E"/>
    <w:rsid w:val="003715E8"/>
    <w:rsid w:val="003733DF"/>
    <w:rsid w:val="003747DF"/>
    <w:rsid w:val="0038064D"/>
    <w:rsid w:val="00381000"/>
    <w:rsid w:val="00383F09"/>
    <w:rsid w:val="00384812"/>
    <w:rsid w:val="00384E5D"/>
    <w:rsid w:val="0038506D"/>
    <w:rsid w:val="00385BFD"/>
    <w:rsid w:val="00386E45"/>
    <w:rsid w:val="00387CBC"/>
    <w:rsid w:val="00392E18"/>
    <w:rsid w:val="00394AB0"/>
    <w:rsid w:val="00394BE8"/>
    <w:rsid w:val="003A0B1A"/>
    <w:rsid w:val="003A63EB"/>
    <w:rsid w:val="003B06CF"/>
    <w:rsid w:val="003B12F2"/>
    <w:rsid w:val="003B4042"/>
    <w:rsid w:val="003B4572"/>
    <w:rsid w:val="003B6E2E"/>
    <w:rsid w:val="003C3E93"/>
    <w:rsid w:val="003D133B"/>
    <w:rsid w:val="003D485E"/>
    <w:rsid w:val="003D7054"/>
    <w:rsid w:val="003E62F2"/>
    <w:rsid w:val="003E675B"/>
    <w:rsid w:val="003E680E"/>
    <w:rsid w:val="003E6952"/>
    <w:rsid w:val="003F08BB"/>
    <w:rsid w:val="003F09CE"/>
    <w:rsid w:val="003F596F"/>
    <w:rsid w:val="003F7412"/>
    <w:rsid w:val="004024B5"/>
    <w:rsid w:val="004027C5"/>
    <w:rsid w:val="00405EDD"/>
    <w:rsid w:val="004064FE"/>
    <w:rsid w:val="00415115"/>
    <w:rsid w:val="004271CC"/>
    <w:rsid w:val="00427771"/>
    <w:rsid w:val="004312E5"/>
    <w:rsid w:val="00431429"/>
    <w:rsid w:val="00436FB6"/>
    <w:rsid w:val="00444603"/>
    <w:rsid w:val="004537F9"/>
    <w:rsid w:val="0045389B"/>
    <w:rsid w:val="00453A04"/>
    <w:rsid w:val="00453ECC"/>
    <w:rsid w:val="00457FE4"/>
    <w:rsid w:val="00460575"/>
    <w:rsid w:val="004605C9"/>
    <w:rsid w:val="00461740"/>
    <w:rsid w:val="004662AC"/>
    <w:rsid w:val="00480DA6"/>
    <w:rsid w:val="00482C1C"/>
    <w:rsid w:val="00485620"/>
    <w:rsid w:val="00486B2C"/>
    <w:rsid w:val="00490E06"/>
    <w:rsid w:val="004934EE"/>
    <w:rsid w:val="004A1C9E"/>
    <w:rsid w:val="004A347B"/>
    <w:rsid w:val="004A3F8C"/>
    <w:rsid w:val="004A55CF"/>
    <w:rsid w:val="004A7A37"/>
    <w:rsid w:val="004B1F5B"/>
    <w:rsid w:val="004B3BE4"/>
    <w:rsid w:val="004B3CD1"/>
    <w:rsid w:val="004B7D94"/>
    <w:rsid w:val="004C16A5"/>
    <w:rsid w:val="004C1B4A"/>
    <w:rsid w:val="004C3768"/>
    <w:rsid w:val="004C5D6A"/>
    <w:rsid w:val="004C7278"/>
    <w:rsid w:val="004D0E26"/>
    <w:rsid w:val="004D12DA"/>
    <w:rsid w:val="004D1EDD"/>
    <w:rsid w:val="004E2040"/>
    <w:rsid w:val="004E6C3E"/>
    <w:rsid w:val="004F6F9A"/>
    <w:rsid w:val="004F7F89"/>
    <w:rsid w:val="00500CD4"/>
    <w:rsid w:val="00511020"/>
    <w:rsid w:val="00512478"/>
    <w:rsid w:val="00515CE5"/>
    <w:rsid w:val="00521591"/>
    <w:rsid w:val="0053095E"/>
    <w:rsid w:val="00536634"/>
    <w:rsid w:val="00536A2E"/>
    <w:rsid w:val="0054160A"/>
    <w:rsid w:val="005418B1"/>
    <w:rsid w:val="00542BB0"/>
    <w:rsid w:val="00546DCF"/>
    <w:rsid w:val="00553F02"/>
    <w:rsid w:val="00554ABF"/>
    <w:rsid w:val="005644E2"/>
    <w:rsid w:val="00564614"/>
    <w:rsid w:val="00564A63"/>
    <w:rsid w:val="0056562E"/>
    <w:rsid w:val="005657B3"/>
    <w:rsid w:val="005753AB"/>
    <w:rsid w:val="00575E43"/>
    <w:rsid w:val="00576864"/>
    <w:rsid w:val="00586507"/>
    <w:rsid w:val="00590083"/>
    <w:rsid w:val="005A18B3"/>
    <w:rsid w:val="005A2C85"/>
    <w:rsid w:val="005B0D44"/>
    <w:rsid w:val="005B1CBB"/>
    <w:rsid w:val="005C0A17"/>
    <w:rsid w:val="005C2926"/>
    <w:rsid w:val="005C2DA3"/>
    <w:rsid w:val="005C4F9A"/>
    <w:rsid w:val="005C70E0"/>
    <w:rsid w:val="005D015F"/>
    <w:rsid w:val="005D1D5F"/>
    <w:rsid w:val="005D1EE0"/>
    <w:rsid w:val="005D3914"/>
    <w:rsid w:val="005D3969"/>
    <w:rsid w:val="005D4B1E"/>
    <w:rsid w:val="005D6372"/>
    <w:rsid w:val="005E0D9D"/>
    <w:rsid w:val="005E12D4"/>
    <w:rsid w:val="005E71AB"/>
    <w:rsid w:val="005F163E"/>
    <w:rsid w:val="005F3DFD"/>
    <w:rsid w:val="005F4F13"/>
    <w:rsid w:val="005F56D0"/>
    <w:rsid w:val="005F6788"/>
    <w:rsid w:val="006011ED"/>
    <w:rsid w:val="006038B7"/>
    <w:rsid w:val="006054B0"/>
    <w:rsid w:val="0060608B"/>
    <w:rsid w:val="00611089"/>
    <w:rsid w:val="00616DB9"/>
    <w:rsid w:val="00623060"/>
    <w:rsid w:val="00624A46"/>
    <w:rsid w:val="006252DC"/>
    <w:rsid w:val="0062714C"/>
    <w:rsid w:val="00627B1D"/>
    <w:rsid w:val="00632630"/>
    <w:rsid w:val="00633828"/>
    <w:rsid w:val="00633A50"/>
    <w:rsid w:val="00633C0D"/>
    <w:rsid w:val="00635FDA"/>
    <w:rsid w:val="00636A1C"/>
    <w:rsid w:val="00636AF4"/>
    <w:rsid w:val="0064186D"/>
    <w:rsid w:val="00647688"/>
    <w:rsid w:val="0065156A"/>
    <w:rsid w:val="00651B8F"/>
    <w:rsid w:val="00653C19"/>
    <w:rsid w:val="00657DF6"/>
    <w:rsid w:val="00665FB8"/>
    <w:rsid w:val="0066620B"/>
    <w:rsid w:val="00666720"/>
    <w:rsid w:val="00667CFD"/>
    <w:rsid w:val="006715A7"/>
    <w:rsid w:val="006716BD"/>
    <w:rsid w:val="0068038F"/>
    <w:rsid w:val="00680F7C"/>
    <w:rsid w:val="006823E8"/>
    <w:rsid w:val="00684E79"/>
    <w:rsid w:val="00685ECD"/>
    <w:rsid w:val="006927AA"/>
    <w:rsid w:val="00694292"/>
    <w:rsid w:val="00694E6F"/>
    <w:rsid w:val="006A0809"/>
    <w:rsid w:val="006A1329"/>
    <w:rsid w:val="006A4878"/>
    <w:rsid w:val="006A66B3"/>
    <w:rsid w:val="006A77FE"/>
    <w:rsid w:val="006B62D0"/>
    <w:rsid w:val="006C1646"/>
    <w:rsid w:val="006C1778"/>
    <w:rsid w:val="006C1DAA"/>
    <w:rsid w:val="006D0207"/>
    <w:rsid w:val="006D0788"/>
    <w:rsid w:val="006D1C87"/>
    <w:rsid w:val="006D5A27"/>
    <w:rsid w:val="006E4358"/>
    <w:rsid w:val="006E4CCE"/>
    <w:rsid w:val="006E71B6"/>
    <w:rsid w:val="006E7EBD"/>
    <w:rsid w:val="006F20C1"/>
    <w:rsid w:val="006F291E"/>
    <w:rsid w:val="006F34FA"/>
    <w:rsid w:val="006F4398"/>
    <w:rsid w:val="006F50B4"/>
    <w:rsid w:val="006F6F2D"/>
    <w:rsid w:val="00702E17"/>
    <w:rsid w:val="0070474C"/>
    <w:rsid w:val="00712B24"/>
    <w:rsid w:val="00714FEF"/>
    <w:rsid w:val="00716426"/>
    <w:rsid w:val="00720050"/>
    <w:rsid w:val="00722844"/>
    <w:rsid w:val="00723BE3"/>
    <w:rsid w:val="0073273D"/>
    <w:rsid w:val="00733C5A"/>
    <w:rsid w:val="00733C67"/>
    <w:rsid w:val="00736AC0"/>
    <w:rsid w:val="00740E61"/>
    <w:rsid w:val="00744827"/>
    <w:rsid w:val="00745FEC"/>
    <w:rsid w:val="00751BFB"/>
    <w:rsid w:val="0075422D"/>
    <w:rsid w:val="00756AD7"/>
    <w:rsid w:val="00756CB1"/>
    <w:rsid w:val="007574AB"/>
    <w:rsid w:val="00760162"/>
    <w:rsid w:val="007604B0"/>
    <w:rsid w:val="00760646"/>
    <w:rsid w:val="00760700"/>
    <w:rsid w:val="007631B1"/>
    <w:rsid w:val="0076352F"/>
    <w:rsid w:val="0076664A"/>
    <w:rsid w:val="0076688B"/>
    <w:rsid w:val="00775501"/>
    <w:rsid w:val="00775576"/>
    <w:rsid w:val="007764DF"/>
    <w:rsid w:val="00782583"/>
    <w:rsid w:val="00792190"/>
    <w:rsid w:val="00794C05"/>
    <w:rsid w:val="00794D7F"/>
    <w:rsid w:val="007A25DF"/>
    <w:rsid w:val="007A3D88"/>
    <w:rsid w:val="007A3FF2"/>
    <w:rsid w:val="007A6A91"/>
    <w:rsid w:val="007A769A"/>
    <w:rsid w:val="007B1D76"/>
    <w:rsid w:val="007B2CA4"/>
    <w:rsid w:val="007B30A7"/>
    <w:rsid w:val="007C3167"/>
    <w:rsid w:val="007C4EFF"/>
    <w:rsid w:val="007C6827"/>
    <w:rsid w:val="007C6A45"/>
    <w:rsid w:val="007C77F5"/>
    <w:rsid w:val="007D47A3"/>
    <w:rsid w:val="007D772F"/>
    <w:rsid w:val="007E0DED"/>
    <w:rsid w:val="007E1DF3"/>
    <w:rsid w:val="007E4AB6"/>
    <w:rsid w:val="007E645D"/>
    <w:rsid w:val="007F03BB"/>
    <w:rsid w:val="007F0688"/>
    <w:rsid w:val="007F3021"/>
    <w:rsid w:val="007F5F5C"/>
    <w:rsid w:val="007F608D"/>
    <w:rsid w:val="00800B50"/>
    <w:rsid w:val="00803FB5"/>
    <w:rsid w:val="008059C7"/>
    <w:rsid w:val="0080685F"/>
    <w:rsid w:val="008069E1"/>
    <w:rsid w:val="008106C0"/>
    <w:rsid w:val="00813F85"/>
    <w:rsid w:val="008144D9"/>
    <w:rsid w:val="008166E6"/>
    <w:rsid w:val="00816743"/>
    <w:rsid w:val="0082721B"/>
    <w:rsid w:val="00834CDA"/>
    <w:rsid w:val="00835D8C"/>
    <w:rsid w:val="00836CF0"/>
    <w:rsid w:val="008411E7"/>
    <w:rsid w:val="00847B70"/>
    <w:rsid w:val="00854F32"/>
    <w:rsid w:val="00866329"/>
    <w:rsid w:val="0086738A"/>
    <w:rsid w:val="00874625"/>
    <w:rsid w:val="00874B5E"/>
    <w:rsid w:val="00874D6D"/>
    <w:rsid w:val="00877D24"/>
    <w:rsid w:val="0088044A"/>
    <w:rsid w:val="00881A05"/>
    <w:rsid w:val="00882027"/>
    <w:rsid w:val="00883496"/>
    <w:rsid w:val="00886D0E"/>
    <w:rsid w:val="0088706D"/>
    <w:rsid w:val="00891D3D"/>
    <w:rsid w:val="00893B3A"/>
    <w:rsid w:val="008A79F7"/>
    <w:rsid w:val="008B0B5C"/>
    <w:rsid w:val="008B56A2"/>
    <w:rsid w:val="008C116D"/>
    <w:rsid w:val="008C2329"/>
    <w:rsid w:val="008C74C0"/>
    <w:rsid w:val="008D1B99"/>
    <w:rsid w:val="008E45E4"/>
    <w:rsid w:val="008E75F9"/>
    <w:rsid w:val="008F79EF"/>
    <w:rsid w:val="00903EC7"/>
    <w:rsid w:val="00903FFC"/>
    <w:rsid w:val="00911DCD"/>
    <w:rsid w:val="009207F4"/>
    <w:rsid w:val="00921087"/>
    <w:rsid w:val="00921E55"/>
    <w:rsid w:val="009222E7"/>
    <w:rsid w:val="00926998"/>
    <w:rsid w:val="00930039"/>
    <w:rsid w:val="00930B2D"/>
    <w:rsid w:val="009335BF"/>
    <w:rsid w:val="00934ED6"/>
    <w:rsid w:val="009352A7"/>
    <w:rsid w:val="009355D6"/>
    <w:rsid w:val="00937DBF"/>
    <w:rsid w:val="009424E0"/>
    <w:rsid w:val="00943ED9"/>
    <w:rsid w:val="00943F79"/>
    <w:rsid w:val="0094756F"/>
    <w:rsid w:val="00947C43"/>
    <w:rsid w:val="00950F0A"/>
    <w:rsid w:val="00953B54"/>
    <w:rsid w:val="00953B99"/>
    <w:rsid w:val="00954DBF"/>
    <w:rsid w:val="00956320"/>
    <w:rsid w:val="00957A2B"/>
    <w:rsid w:val="009617B3"/>
    <w:rsid w:val="00962FF7"/>
    <w:rsid w:val="00963916"/>
    <w:rsid w:val="009642C4"/>
    <w:rsid w:val="00966810"/>
    <w:rsid w:val="00971A5A"/>
    <w:rsid w:val="009765E0"/>
    <w:rsid w:val="009777D8"/>
    <w:rsid w:val="00981891"/>
    <w:rsid w:val="00982567"/>
    <w:rsid w:val="00992BA8"/>
    <w:rsid w:val="009936BD"/>
    <w:rsid w:val="00994366"/>
    <w:rsid w:val="00997C35"/>
    <w:rsid w:val="009A44C3"/>
    <w:rsid w:val="009B12BA"/>
    <w:rsid w:val="009B1A71"/>
    <w:rsid w:val="009B33EC"/>
    <w:rsid w:val="009B35F9"/>
    <w:rsid w:val="009C114E"/>
    <w:rsid w:val="009C17DC"/>
    <w:rsid w:val="009C2A51"/>
    <w:rsid w:val="009C51AB"/>
    <w:rsid w:val="009C5607"/>
    <w:rsid w:val="009C5C3B"/>
    <w:rsid w:val="009C748F"/>
    <w:rsid w:val="009D2545"/>
    <w:rsid w:val="009D5759"/>
    <w:rsid w:val="009E0901"/>
    <w:rsid w:val="009E4ECC"/>
    <w:rsid w:val="009F3632"/>
    <w:rsid w:val="009F3E29"/>
    <w:rsid w:val="009F486B"/>
    <w:rsid w:val="009F6F71"/>
    <w:rsid w:val="009F7D0C"/>
    <w:rsid w:val="009F7D2B"/>
    <w:rsid w:val="009F7D6F"/>
    <w:rsid w:val="009F7E44"/>
    <w:rsid w:val="00A02239"/>
    <w:rsid w:val="00A04CCD"/>
    <w:rsid w:val="00A06654"/>
    <w:rsid w:val="00A07ED2"/>
    <w:rsid w:val="00A11F78"/>
    <w:rsid w:val="00A11FC2"/>
    <w:rsid w:val="00A12AD0"/>
    <w:rsid w:val="00A17BFF"/>
    <w:rsid w:val="00A21AB0"/>
    <w:rsid w:val="00A222E8"/>
    <w:rsid w:val="00A23E5B"/>
    <w:rsid w:val="00A3331F"/>
    <w:rsid w:val="00A33907"/>
    <w:rsid w:val="00A346CC"/>
    <w:rsid w:val="00A35A4E"/>
    <w:rsid w:val="00A36C77"/>
    <w:rsid w:val="00A372E0"/>
    <w:rsid w:val="00A40A12"/>
    <w:rsid w:val="00A45D6C"/>
    <w:rsid w:val="00A45DC6"/>
    <w:rsid w:val="00A46002"/>
    <w:rsid w:val="00A47010"/>
    <w:rsid w:val="00A47924"/>
    <w:rsid w:val="00A521E9"/>
    <w:rsid w:val="00A53604"/>
    <w:rsid w:val="00A53C43"/>
    <w:rsid w:val="00A53C5B"/>
    <w:rsid w:val="00A551B1"/>
    <w:rsid w:val="00A57577"/>
    <w:rsid w:val="00A64EB6"/>
    <w:rsid w:val="00A66920"/>
    <w:rsid w:val="00A67323"/>
    <w:rsid w:val="00A67DAB"/>
    <w:rsid w:val="00A713F2"/>
    <w:rsid w:val="00A729BC"/>
    <w:rsid w:val="00A7502A"/>
    <w:rsid w:val="00A7572D"/>
    <w:rsid w:val="00A7742B"/>
    <w:rsid w:val="00A81D43"/>
    <w:rsid w:val="00A83DE3"/>
    <w:rsid w:val="00A86A89"/>
    <w:rsid w:val="00A9320C"/>
    <w:rsid w:val="00A94841"/>
    <w:rsid w:val="00A97A0A"/>
    <w:rsid w:val="00AA0528"/>
    <w:rsid w:val="00AA2C64"/>
    <w:rsid w:val="00AA72FA"/>
    <w:rsid w:val="00AA798A"/>
    <w:rsid w:val="00AB620B"/>
    <w:rsid w:val="00AB6916"/>
    <w:rsid w:val="00AC19EC"/>
    <w:rsid w:val="00AC2B1D"/>
    <w:rsid w:val="00AD1D0B"/>
    <w:rsid w:val="00AD4F7E"/>
    <w:rsid w:val="00AD69F3"/>
    <w:rsid w:val="00AE6066"/>
    <w:rsid w:val="00AE69E7"/>
    <w:rsid w:val="00AE78E3"/>
    <w:rsid w:val="00AF0392"/>
    <w:rsid w:val="00AF0A02"/>
    <w:rsid w:val="00AF15F9"/>
    <w:rsid w:val="00AF20DF"/>
    <w:rsid w:val="00AF2322"/>
    <w:rsid w:val="00AF36F0"/>
    <w:rsid w:val="00AF604B"/>
    <w:rsid w:val="00B007B0"/>
    <w:rsid w:val="00B01906"/>
    <w:rsid w:val="00B02648"/>
    <w:rsid w:val="00B11321"/>
    <w:rsid w:val="00B126DE"/>
    <w:rsid w:val="00B12FBE"/>
    <w:rsid w:val="00B144D7"/>
    <w:rsid w:val="00B14726"/>
    <w:rsid w:val="00B17907"/>
    <w:rsid w:val="00B179E1"/>
    <w:rsid w:val="00B17E93"/>
    <w:rsid w:val="00B20502"/>
    <w:rsid w:val="00B22C60"/>
    <w:rsid w:val="00B2726B"/>
    <w:rsid w:val="00B34B3D"/>
    <w:rsid w:val="00B35B59"/>
    <w:rsid w:val="00B35EA6"/>
    <w:rsid w:val="00B36F94"/>
    <w:rsid w:val="00B44286"/>
    <w:rsid w:val="00B47641"/>
    <w:rsid w:val="00B522DA"/>
    <w:rsid w:val="00B54B07"/>
    <w:rsid w:val="00B56450"/>
    <w:rsid w:val="00B57091"/>
    <w:rsid w:val="00B608BA"/>
    <w:rsid w:val="00B65DDE"/>
    <w:rsid w:val="00B72733"/>
    <w:rsid w:val="00B73F5E"/>
    <w:rsid w:val="00B80BFE"/>
    <w:rsid w:val="00B81408"/>
    <w:rsid w:val="00B85ADB"/>
    <w:rsid w:val="00B862A5"/>
    <w:rsid w:val="00B93AB7"/>
    <w:rsid w:val="00B958A0"/>
    <w:rsid w:val="00BA2823"/>
    <w:rsid w:val="00BA44AE"/>
    <w:rsid w:val="00BA6DEA"/>
    <w:rsid w:val="00BB11D1"/>
    <w:rsid w:val="00BB4326"/>
    <w:rsid w:val="00BC0A25"/>
    <w:rsid w:val="00BC0E62"/>
    <w:rsid w:val="00BC4402"/>
    <w:rsid w:val="00BC4554"/>
    <w:rsid w:val="00BD3A74"/>
    <w:rsid w:val="00BD4E46"/>
    <w:rsid w:val="00BD6AAA"/>
    <w:rsid w:val="00BE0263"/>
    <w:rsid w:val="00BE22E4"/>
    <w:rsid w:val="00BE2D39"/>
    <w:rsid w:val="00BE32EE"/>
    <w:rsid w:val="00BE3505"/>
    <w:rsid w:val="00BE3CF3"/>
    <w:rsid w:val="00BE4DDB"/>
    <w:rsid w:val="00BE53D2"/>
    <w:rsid w:val="00BE732E"/>
    <w:rsid w:val="00BE780A"/>
    <w:rsid w:val="00BE7C94"/>
    <w:rsid w:val="00BF02C2"/>
    <w:rsid w:val="00BF0B63"/>
    <w:rsid w:val="00BF0D9D"/>
    <w:rsid w:val="00BF2B02"/>
    <w:rsid w:val="00C00052"/>
    <w:rsid w:val="00C006A6"/>
    <w:rsid w:val="00C03E4F"/>
    <w:rsid w:val="00C05BE6"/>
    <w:rsid w:val="00C07B79"/>
    <w:rsid w:val="00C131C9"/>
    <w:rsid w:val="00C13B6F"/>
    <w:rsid w:val="00C14BFD"/>
    <w:rsid w:val="00C176B8"/>
    <w:rsid w:val="00C25A9A"/>
    <w:rsid w:val="00C2652E"/>
    <w:rsid w:val="00C268AB"/>
    <w:rsid w:val="00C33989"/>
    <w:rsid w:val="00C36801"/>
    <w:rsid w:val="00C4034D"/>
    <w:rsid w:val="00C4212E"/>
    <w:rsid w:val="00C42F04"/>
    <w:rsid w:val="00C450C0"/>
    <w:rsid w:val="00C462F7"/>
    <w:rsid w:val="00C4646B"/>
    <w:rsid w:val="00C46C8D"/>
    <w:rsid w:val="00C56290"/>
    <w:rsid w:val="00C56624"/>
    <w:rsid w:val="00C56C21"/>
    <w:rsid w:val="00C5794F"/>
    <w:rsid w:val="00C61672"/>
    <w:rsid w:val="00C72EFD"/>
    <w:rsid w:val="00C734C1"/>
    <w:rsid w:val="00C73855"/>
    <w:rsid w:val="00C75E42"/>
    <w:rsid w:val="00C77931"/>
    <w:rsid w:val="00C80FBC"/>
    <w:rsid w:val="00C8356D"/>
    <w:rsid w:val="00C87145"/>
    <w:rsid w:val="00C906A0"/>
    <w:rsid w:val="00C922E4"/>
    <w:rsid w:val="00C93FF3"/>
    <w:rsid w:val="00CA3BE1"/>
    <w:rsid w:val="00CA40E4"/>
    <w:rsid w:val="00CA5191"/>
    <w:rsid w:val="00CB1520"/>
    <w:rsid w:val="00CB3F87"/>
    <w:rsid w:val="00CB5468"/>
    <w:rsid w:val="00CC09B5"/>
    <w:rsid w:val="00CD0CB2"/>
    <w:rsid w:val="00CD755F"/>
    <w:rsid w:val="00CE1A2D"/>
    <w:rsid w:val="00CE4400"/>
    <w:rsid w:val="00CE5BDC"/>
    <w:rsid w:val="00CE63E5"/>
    <w:rsid w:val="00CF1E9C"/>
    <w:rsid w:val="00CF4AF7"/>
    <w:rsid w:val="00D00C6D"/>
    <w:rsid w:val="00D035BA"/>
    <w:rsid w:val="00D107A2"/>
    <w:rsid w:val="00D12934"/>
    <w:rsid w:val="00D14745"/>
    <w:rsid w:val="00D1478A"/>
    <w:rsid w:val="00D214E5"/>
    <w:rsid w:val="00D224E2"/>
    <w:rsid w:val="00D26C9D"/>
    <w:rsid w:val="00D3133A"/>
    <w:rsid w:val="00D33CAF"/>
    <w:rsid w:val="00D341D7"/>
    <w:rsid w:val="00D3541B"/>
    <w:rsid w:val="00D37D54"/>
    <w:rsid w:val="00D417F2"/>
    <w:rsid w:val="00D42A04"/>
    <w:rsid w:val="00D456AF"/>
    <w:rsid w:val="00D45C60"/>
    <w:rsid w:val="00D465DE"/>
    <w:rsid w:val="00D4781D"/>
    <w:rsid w:val="00D51399"/>
    <w:rsid w:val="00D519DF"/>
    <w:rsid w:val="00D51E5A"/>
    <w:rsid w:val="00D54200"/>
    <w:rsid w:val="00D56B89"/>
    <w:rsid w:val="00D61BD3"/>
    <w:rsid w:val="00D62C41"/>
    <w:rsid w:val="00D632C6"/>
    <w:rsid w:val="00D71EC0"/>
    <w:rsid w:val="00D734B2"/>
    <w:rsid w:val="00D73E60"/>
    <w:rsid w:val="00D81A28"/>
    <w:rsid w:val="00D842FC"/>
    <w:rsid w:val="00D87F8B"/>
    <w:rsid w:val="00D912A9"/>
    <w:rsid w:val="00D913C3"/>
    <w:rsid w:val="00D9195A"/>
    <w:rsid w:val="00DA0F2A"/>
    <w:rsid w:val="00DA36D3"/>
    <w:rsid w:val="00DA627B"/>
    <w:rsid w:val="00DB235A"/>
    <w:rsid w:val="00DB2972"/>
    <w:rsid w:val="00DB47DA"/>
    <w:rsid w:val="00DB63B5"/>
    <w:rsid w:val="00DB7012"/>
    <w:rsid w:val="00DC22BB"/>
    <w:rsid w:val="00DD339B"/>
    <w:rsid w:val="00DD4603"/>
    <w:rsid w:val="00DD55B0"/>
    <w:rsid w:val="00DD5949"/>
    <w:rsid w:val="00DD78CB"/>
    <w:rsid w:val="00DE5109"/>
    <w:rsid w:val="00DF1835"/>
    <w:rsid w:val="00DF4574"/>
    <w:rsid w:val="00E01C6C"/>
    <w:rsid w:val="00E07C5E"/>
    <w:rsid w:val="00E10C5B"/>
    <w:rsid w:val="00E15F7B"/>
    <w:rsid w:val="00E237F3"/>
    <w:rsid w:val="00E27DAD"/>
    <w:rsid w:val="00E309BE"/>
    <w:rsid w:val="00E3124E"/>
    <w:rsid w:val="00E31770"/>
    <w:rsid w:val="00E31D10"/>
    <w:rsid w:val="00E34511"/>
    <w:rsid w:val="00E41A3F"/>
    <w:rsid w:val="00E46AF3"/>
    <w:rsid w:val="00E50AB5"/>
    <w:rsid w:val="00E50CBA"/>
    <w:rsid w:val="00E54DB4"/>
    <w:rsid w:val="00E629DE"/>
    <w:rsid w:val="00E63515"/>
    <w:rsid w:val="00E63A0E"/>
    <w:rsid w:val="00E64193"/>
    <w:rsid w:val="00E65862"/>
    <w:rsid w:val="00E668EC"/>
    <w:rsid w:val="00E66BBF"/>
    <w:rsid w:val="00E744DB"/>
    <w:rsid w:val="00E76828"/>
    <w:rsid w:val="00E778FD"/>
    <w:rsid w:val="00E809CB"/>
    <w:rsid w:val="00E80C54"/>
    <w:rsid w:val="00E847F8"/>
    <w:rsid w:val="00E84803"/>
    <w:rsid w:val="00E859E3"/>
    <w:rsid w:val="00E915F2"/>
    <w:rsid w:val="00E933AD"/>
    <w:rsid w:val="00E9615D"/>
    <w:rsid w:val="00E9729D"/>
    <w:rsid w:val="00EA3696"/>
    <w:rsid w:val="00EA39A0"/>
    <w:rsid w:val="00EA3A74"/>
    <w:rsid w:val="00EA4A4B"/>
    <w:rsid w:val="00EA7D89"/>
    <w:rsid w:val="00EC0BB2"/>
    <w:rsid w:val="00EC4744"/>
    <w:rsid w:val="00EC59B1"/>
    <w:rsid w:val="00ED04F2"/>
    <w:rsid w:val="00ED288D"/>
    <w:rsid w:val="00ED2D9B"/>
    <w:rsid w:val="00ED5096"/>
    <w:rsid w:val="00ED5D2E"/>
    <w:rsid w:val="00EE27CE"/>
    <w:rsid w:val="00EE5CCD"/>
    <w:rsid w:val="00EE664B"/>
    <w:rsid w:val="00EF1B9A"/>
    <w:rsid w:val="00F039B5"/>
    <w:rsid w:val="00F03A9C"/>
    <w:rsid w:val="00F053F1"/>
    <w:rsid w:val="00F05BA6"/>
    <w:rsid w:val="00F0735D"/>
    <w:rsid w:val="00F1047F"/>
    <w:rsid w:val="00F118D2"/>
    <w:rsid w:val="00F11F14"/>
    <w:rsid w:val="00F1561E"/>
    <w:rsid w:val="00F165E5"/>
    <w:rsid w:val="00F1759D"/>
    <w:rsid w:val="00F21F17"/>
    <w:rsid w:val="00F25192"/>
    <w:rsid w:val="00F256FE"/>
    <w:rsid w:val="00F35B85"/>
    <w:rsid w:val="00F436FB"/>
    <w:rsid w:val="00F4379C"/>
    <w:rsid w:val="00F51861"/>
    <w:rsid w:val="00F53E2D"/>
    <w:rsid w:val="00F54EB6"/>
    <w:rsid w:val="00F55197"/>
    <w:rsid w:val="00F55299"/>
    <w:rsid w:val="00F6061E"/>
    <w:rsid w:val="00F61A5E"/>
    <w:rsid w:val="00F65323"/>
    <w:rsid w:val="00F658D0"/>
    <w:rsid w:val="00F71D88"/>
    <w:rsid w:val="00F71E9E"/>
    <w:rsid w:val="00F7297A"/>
    <w:rsid w:val="00F744D5"/>
    <w:rsid w:val="00F76575"/>
    <w:rsid w:val="00F77C01"/>
    <w:rsid w:val="00F81886"/>
    <w:rsid w:val="00F81C5F"/>
    <w:rsid w:val="00F87DB8"/>
    <w:rsid w:val="00F90B6C"/>
    <w:rsid w:val="00F93A3A"/>
    <w:rsid w:val="00F95D36"/>
    <w:rsid w:val="00FB4F39"/>
    <w:rsid w:val="00FB7842"/>
    <w:rsid w:val="00FC222D"/>
    <w:rsid w:val="00FC6E26"/>
    <w:rsid w:val="00FD1ED0"/>
    <w:rsid w:val="00FD251C"/>
    <w:rsid w:val="00FD59CC"/>
    <w:rsid w:val="00FD60A5"/>
    <w:rsid w:val="00FD61F1"/>
    <w:rsid w:val="00FE19E2"/>
    <w:rsid w:val="00FE3729"/>
    <w:rsid w:val="00FF0037"/>
    <w:rsid w:val="00FF1EE1"/>
    <w:rsid w:val="00FF228D"/>
    <w:rsid w:val="00FF3574"/>
    <w:rsid w:val="00FF4088"/>
    <w:rsid w:val="00FF5430"/>
    <w:rsid w:val="00FF5901"/>
    <w:rsid w:val="00FF5F4E"/>
    <w:rsid w:val="00FF6500"/>
    <w:rsid w:val="015E04FD"/>
    <w:rsid w:val="02081008"/>
    <w:rsid w:val="04E52BA9"/>
    <w:rsid w:val="0541D5B9"/>
    <w:rsid w:val="055DD32E"/>
    <w:rsid w:val="065963DC"/>
    <w:rsid w:val="06B14B69"/>
    <w:rsid w:val="07D9102E"/>
    <w:rsid w:val="07FB5F37"/>
    <w:rsid w:val="0B8CDE65"/>
    <w:rsid w:val="0B97B180"/>
    <w:rsid w:val="0C4BF76E"/>
    <w:rsid w:val="0C8C36FA"/>
    <w:rsid w:val="0CDA7271"/>
    <w:rsid w:val="0DAE71CE"/>
    <w:rsid w:val="0EA73BDA"/>
    <w:rsid w:val="0F42CE84"/>
    <w:rsid w:val="10F2A659"/>
    <w:rsid w:val="113A496E"/>
    <w:rsid w:val="12724249"/>
    <w:rsid w:val="13124635"/>
    <w:rsid w:val="142802C9"/>
    <w:rsid w:val="1467A2EC"/>
    <w:rsid w:val="14ACCF2B"/>
    <w:rsid w:val="15FB1B17"/>
    <w:rsid w:val="1632827D"/>
    <w:rsid w:val="1650E900"/>
    <w:rsid w:val="168A65CA"/>
    <w:rsid w:val="17107320"/>
    <w:rsid w:val="17149A32"/>
    <w:rsid w:val="1757621D"/>
    <w:rsid w:val="17581BA7"/>
    <w:rsid w:val="185EC093"/>
    <w:rsid w:val="18EB99DB"/>
    <w:rsid w:val="1AEA1C14"/>
    <w:rsid w:val="1AF1A3F8"/>
    <w:rsid w:val="1BAC8155"/>
    <w:rsid w:val="1C214D23"/>
    <w:rsid w:val="1CBAA6C1"/>
    <w:rsid w:val="1F746F62"/>
    <w:rsid w:val="1FA50CCC"/>
    <w:rsid w:val="2038A00A"/>
    <w:rsid w:val="204E9E52"/>
    <w:rsid w:val="210AACFB"/>
    <w:rsid w:val="222739C6"/>
    <w:rsid w:val="227D92D6"/>
    <w:rsid w:val="22CEBC3C"/>
    <w:rsid w:val="24014F00"/>
    <w:rsid w:val="245BAEAB"/>
    <w:rsid w:val="248FFB80"/>
    <w:rsid w:val="24BBD850"/>
    <w:rsid w:val="258558C5"/>
    <w:rsid w:val="269D943C"/>
    <w:rsid w:val="27AA506B"/>
    <w:rsid w:val="27C79C42"/>
    <w:rsid w:val="27E9F9FE"/>
    <w:rsid w:val="280BCFA3"/>
    <w:rsid w:val="28A76553"/>
    <w:rsid w:val="2907346B"/>
    <w:rsid w:val="2A597AD3"/>
    <w:rsid w:val="2A992983"/>
    <w:rsid w:val="2B46F440"/>
    <w:rsid w:val="2BAD7D4E"/>
    <w:rsid w:val="2C52F919"/>
    <w:rsid w:val="2CC20E6F"/>
    <w:rsid w:val="2CE8C1E3"/>
    <w:rsid w:val="2DAD8E1B"/>
    <w:rsid w:val="2E5C0072"/>
    <w:rsid w:val="2EC8BE4E"/>
    <w:rsid w:val="2F03E8D5"/>
    <w:rsid w:val="2FABF8C7"/>
    <w:rsid w:val="301557F3"/>
    <w:rsid w:val="30601898"/>
    <w:rsid w:val="3110BF45"/>
    <w:rsid w:val="31B5B209"/>
    <w:rsid w:val="325A2615"/>
    <w:rsid w:val="32D66A29"/>
    <w:rsid w:val="33447052"/>
    <w:rsid w:val="335A4EC1"/>
    <w:rsid w:val="33C86F87"/>
    <w:rsid w:val="340D72B0"/>
    <w:rsid w:val="3414B043"/>
    <w:rsid w:val="357B9697"/>
    <w:rsid w:val="36812880"/>
    <w:rsid w:val="37C34914"/>
    <w:rsid w:val="38AC0DF5"/>
    <w:rsid w:val="38E0206F"/>
    <w:rsid w:val="38F07393"/>
    <w:rsid w:val="3B495577"/>
    <w:rsid w:val="3BC229B7"/>
    <w:rsid w:val="3BF84FC2"/>
    <w:rsid w:val="3C08579C"/>
    <w:rsid w:val="3C9F32CA"/>
    <w:rsid w:val="3FCFC51F"/>
    <w:rsid w:val="40AA442A"/>
    <w:rsid w:val="42389F15"/>
    <w:rsid w:val="427FF590"/>
    <w:rsid w:val="43900FFF"/>
    <w:rsid w:val="43E1E4EC"/>
    <w:rsid w:val="455ACC9A"/>
    <w:rsid w:val="484F045F"/>
    <w:rsid w:val="48BFC41D"/>
    <w:rsid w:val="48D57593"/>
    <w:rsid w:val="4994804F"/>
    <w:rsid w:val="4AE7FDDB"/>
    <w:rsid w:val="4BB2ED2E"/>
    <w:rsid w:val="4D006446"/>
    <w:rsid w:val="4D17DCA4"/>
    <w:rsid w:val="4D8601C9"/>
    <w:rsid w:val="4F081255"/>
    <w:rsid w:val="4F3FF240"/>
    <w:rsid w:val="4FC02CA5"/>
    <w:rsid w:val="50121AEA"/>
    <w:rsid w:val="51531361"/>
    <w:rsid w:val="52BB297E"/>
    <w:rsid w:val="52C8952C"/>
    <w:rsid w:val="5321034D"/>
    <w:rsid w:val="532B56AE"/>
    <w:rsid w:val="542125A2"/>
    <w:rsid w:val="571C100F"/>
    <w:rsid w:val="5747FD66"/>
    <w:rsid w:val="5C0B0821"/>
    <w:rsid w:val="5CA1A102"/>
    <w:rsid w:val="5CEF088F"/>
    <w:rsid w:val="5DA6AC6C"/>
    <w:rsid w:val="5EE5FD08"/>
    <w:rsid w:val="5F348574"/>
    <w:rsid w:val="6027949F"/>
    <w:rsid w:val="608A53C2"/>
    <w:rsid w:val="609029B0"/>
    <w:rsid w:val="6133C7DA"/>
    <w:rsid w:val="627063E1"/>
    <w:rsid w:val="62DA5925"/>
    <w:rsid w:val="63C8B9C9"/>
    <w:rsid w:val="63FBB8D5"/>
    <w:rsid w:val="64775651"/>
    <w:rsid w:val="6619EC7E"/>
    <w:rsid w:val="665ED50C"/>
    <w:rsid w:val="6830620F"/>
    <w:rsid w:val="685E80F1"/>
    <w:rsid w:val="69142ACB"/>
    <w:rsid w:val="6A2B029A"/>
    <w:rsid w:val="6A36D8CD"/>
    <w:rsid w:val="6AB85992"/>
    <w:rsid w:val="6B60D85B"/>
    <w:rsid w:val="6B8D0276"/>
    <w:rsid w:val="6BD348A5"/>
    <w:rsid w:val="6BD4B289"/>
    <w:rsid w:val="6C834D06"/>
    <w:rsid w:val="6D31F51D"/>
    <w:rsid w:val="6D4257C2"/>
    <w:rsid w:val="6E1A665A"/>
    <w:rsid w:val="6E30CDE0"/>
    <w:rsid w:val="6EC4D1F7"/>
    <w:rsid w:val="6F7C148A"/>
    <w:rsid w:val="6FA13255"/>
    <w:rsid w:val="6FE7EB4A"/>
    <w:rsid w:val="703CDD38"/>
    <w:rsid w:val="70E1FFAD"/>
    <w:rsid w:val="7131488B"/>
    <w:rsid w:val="72E449BD"/>
    <w:rsid w:val="736B0805"/>
    <w:rsid w:val="7406059F"/>
    <w:rsid w:val="75E8402F"/>
    <w:rsid w:val="75FB4911"/>
    <w:rsid w:val="76AB49DF"/>
    <w:rsid w:val="77799E83"/>
    <w:rsid w:val="78CBB793"/>
    <w:rsid w:val="78EAA075"/>
    <w:rsid w:val="795A1011"/>
    <w:rsid w:val="7ACBEAA4"/>
    <w:rsid w:val="7B7619EA"/>
    <w:rsid w:val="7C1CCD36"/>
    <w:rsid w:val="7C7A1B95"/>
    <w:rsid w:val="7DBBC8DE"/>
    <w:rsid w:val="7F009B38"/>
    <w:rsid w:val="7F9538A5"/>
    <w:rsid w:val="7FAAF8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CC8F"/>
  <w15:chartTrackingRefBased/>
  <w15:docId w15:val="{5A5CFF04-DC43-4757-A3E1-90B031E2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0C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C3B"/>
  </w:style>
  <w:style w:type="paragraph" w:styleId="Footer">
    <w:name w:val="footer"/>
    <w:basedOn w:val="Normal"/>
    <w:link w:val="FooterChar"/>
    <w:uiPriority w:val="99"/>
    <w:unhideWhenUsed/>
    <w:rsid w:val="009C5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C3B"/>
  </w:style>
  <w:style w:type="character" w:styleId="Hyperlink">
    <w:name w:val="Hyperlink"/>
    <w:basedOn w:val="DefaultParagraphFont"/>
    <w:uiPriority w:val="99"/>
    <w:unhideWhenUsed/>
    <w:rsid w:val="009C5C3B"/>
    <w:rPr>
      <w:color w:val="0563C1" w:themeColor="hyperlink"/>
      <w:u w:val="single"/>
    </w:rPr>
  </w:style>
  <w:style w:type="character" w:styleId="UnresolvedMention">
    <w:name w:val="Unresolved Mention"/>
    <w:basedOn w:val="DefaultParagraphFont"/>
    <w:uiPriority w:val="99"/>
    <w:semiHidden/>
    <w:unhideWhenUsed/>
    <w:rsid w:val="009C5C3B"/>
    <w:rPr>
      <w:color w:val="605E5C"/>
      <w:shd w:val="clear" w:color="auto" w:fill="E1DFDD"/>
    </w:rPr>
  </w:style>
  <w:style w:type="table" w:styleId="TableGrid">
    <w:name w:val="Table Grid"/>
    <w:basedOn w:val="TableNormal"/>
    <w:uiPriority w:val="39"/>
    <w:rsid w:val="009C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2"/>
    <w:basedOn w:val="Normal"/>
    <w:link w:val="ListParagraphChar"/>
    <w:uiPriority w:val="34"/>
    <w:qFormat/>
    <w:rsid w:val="00F25192"/>
    <w:pPr>
      <w:ind w:left="720"/>
      <w:contextualSpacing/>
    </w:pPr>
  </w:style>
  <w:style w:type="paragraph" w:styleId="FootnoteText">
    <w:name w:val="footnote text"/>
    <w:basedOn w:val="Normal"/>
    <w:link w:val="FootnoteTextChar"/>
    <w:uiPriority w:val="99"/>
    <w:semiHidden/>
    <w:unhideWhenUsed/>
    <w:rsid w:val="006F4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98"/>
    <w:rPr>
      <w:sz w:val="20"/>
      <w:szCs w:val="20"/>
    </w:rPr>
  </w:style>
  <w:style w:type="character" w:styleId="FootnoteReference">
    <w:name w:val="footnote reference"/>
    <w:basedOn w:val="DefaultParagraphFont"/>
    <w:uiPriority w:val="99"/>
    <w:semiHidden/>
    <w:unhideWhenUsed/>
    <w:rsid w:val="006F4398"/>
    <w:rPr>
      <w:vertAlign w:val="superscript"/>
    </w:rPr>
  </w:style>
  <w:style w:type="character" w:styleId="CommentReference">
    <w:name w:val="annotation reference"/>
    <w:basedOn w:val="DefaultParagraphFont"/>
    <w:uiPriority w:val="99"/>
    <w:semiHidden/>
    <w:unhideWhenUsed/>
    <w:rsid w:val="005B1CBB"/>
    <w:rPr>
      <w:sz w:val="16"/>
      <w:szCs w:val="16"/>
    </w:rPr>
  </w:style>
  <w:style w:type="paragraph" w:styleId="CommentText">
    <w:name w:val="annotation text"/>
    <w:basedOn w:val="Normal"/>
    <w:link w:val="CommentTextChar"/>
    <w:uiPriority w:val="99"/>
    <w:unhideWhenUsed/>
    <w:rsid w:val="005B1CBB"/>
    <w:pPr>
      <w:spacing w:line="240" w:lineRule="auto"/>
    </w:pPr>
    <w:rPr>
      <w:sz w:val="20"/>
      <w:szCs w:val="20"/>
    </w:rPr>
  </w:style>
  <w:style w:type="character" w:customStyle="1" w:styleId="CommentTextChar">
    <w:name w:val="Comment Text Char"/>
    <w:basedOn w:val="DefaultParagraphFont"/>
    <w:link w:val="CommentText"/>
    <w:uiPriority w:val="99"/>
    <w:rsid w:val="005B1CBB"/>
    <w:rPr>
      <w:sz w:val="20"/>
      <w:szCs w:val="20"/>
    </w:rPr>
  </w:style>
  <w:style w:type="paragraph" w:styleId="CommentSubject">
    <w:name w:val="annotation subject"/>
    <w:basedOn w:val="CommentText"/>
    <w:next w:val="CommentText"/>
    <w:link w:val="CommentSubjectChar"/>
    <w:uiPriority w:val="99"/>
    <w:semiHidden/>
    <w:unhideWhenUsed/>
    <w:rsid w:val="005B1CBB"/>
    <w:rPr>
      <w:b/>
      <w:bCs/>
    </w:rPr>
  </w:style>
  <w:style w:type="character" w:customStyle="1" w:styleId="CommentSubjectChar">
    <w:name w:val="Comment Subject Char"/>
    <w:basedOn w:val="CommentTextChar"/>
    <w:link w:val="CommentSubject"/>
    <w:uiPriority w:val="99"/>
    <w:semiHidden/>
    <w:rsid w:val="005B1CBB"/>
    <w:rPr>
      <w:b/>
      <w:bCs/>
      <w:sz w:val="20"/>
      <w:szCs w:val="20"/>
    </w:rPr>
  </w:style>
  <w:style w:type="character" w:styleId="FollowedHyperlink">
    <w:name w:val="FollowedHyperlink"/>
    <w:basedOn w:val="DefaultParagraphFont"/>
    <w:uiPriority w:val="99"/>
    <w:semiHidden/>
    <w:unhideWhenUsed/>
    <w:rsid w:val="00D73E60"/>
    <w:rPr>
      <w:color w:val="954F72" w:themeColor="followedHyperlink"/>
      <w:u w:val="single"/>
    </w:rPr>
  </w:style>
  <w:style w:type="paragraph" w:styleId="Revision">
    <w:name w:val="Revision"/>
    <w:hidden/>
    <w:uiPriority w:val="99"/>
    <w:semiHidden/>
    <w:rsid w:val="00D73E60"/>
    <w:pPr>
      <w:spacing w:after="0" w:line="240" w:lineRule="auto"/>
    </w:pPr>
  </w:style>
  <w:style w:type="character" w:customStyle="1" w:styleId="Heading2Char">
    <w:name w:val="Heading 2 Char"/>
    <w:basedOn w:val="DefaultParagraphFont"/>
    <w:link w:val="Heading2"/>
    <w:uiPriority w:val="9"/>
    <w:semiHidden/>
    <w:rsid w:val="0020460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236BF"/>
    <w:rPr>
      <w:rFonts w:ascii="Times New Roman" w:hAnsi="Times New Roman" w:cs="Times New Roman"/>
      <w:sz w:val="24"/>
      <w:szCs w:val="24"/>
    </w:rPr>
  </w:style>
  <w:style w:type="paragraph" w:customStyle="1" w:styleId="Default">
    <w:name w:val="Default"/>
    <w:basedOn w:val="Normal"/>
    <w:rsid w:val="001253F9"/>
    <w:pPr>
      <w:autoSpaceDE w:val="0"/>
      <w:autoSpaceDN w:val="0"/>
      <w:spacing w:after="0" w:line="240" w:lineRule="auto"/>
    </w:pPr>
    <w:rPr>
      <w:rFonts w:ascii="Arial" w:hAnsi="Arial" w:cs="Arial"/>
      <w:color w:val="000000"/>
      <w:kern w:val="0"/>
      <w:sz w:val="24"/>
      <w:szCs w:val="24"/>
      <w:lang w:eastAsia="en-GB"/>
      <w14:ligatures w14:val="none"/>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A53604"/>
  </w:style>
  <w:style w:type="character" w:customStyle="1" w:styleId="Heading3Char">
    <w:name w:val="Heading 3 Char"/>
    <w:basedOn w:val="DefaultParagraphFont"/>
    <w:link w:val="Heading3"/>
    <w:uiPriority w:val="9"/>
    <w:semiHidden/>
    <w:rsid w:val="00E50CBA"/>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253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558">
      <w:bodyDiv w:val="1"/>
      <w:marLeft w:val="0"/>
      <w:marRight w:val="0"/>
      <w:marTop w:val="0"/>
      <w:marBottom w:val="0"/>
      <w:divBdr>
        <w:top w:val="none" w:sz="0" w:space="0" w:color="auto"/>
        <w:left w:val="none" w:sz="0" w:space="0" w:color="auto"/>
        <w:bottom w:val="none" w:sz="0" w:space="0" w:color="auto"/>
        <w:right w:val="none" w:sz="0" w:space="0" w:color="auto"/>
      </w:divBdr>
    </w:div>
    <w:div w:id="319188652">
      <w:bodyDiv w:val="1"/>
      <w:marLeft w:val="0"/>
      <w:marRight w:val="0"/>
      <w:marTop w:val="0"/>
      <w:marBottom w:val="0"/>
      <w:divBdr>
        <w:top w:val="none" w:sz="0" w:space="0" w:color="auto"/>
        <w:left w:val="none" w:sz="0" w:space="0" w:color="auto"/>
        <w:bottom w:val="none" w:sz="0" w:space="0" w:color="auto"/>
        <w:right w:val="none" w:sz="0" w:space="0" w:color="auto"/>
      </w:divBdr>
    </w:div>
    <w:div w:id="339741521">
      <w:bodyDiv w:val="1"/>
      <w:marLeft w:val="0"/>
      <w:marRight w:val="0"/>
      <w:marTop w:val="0"/>
      <w:marBottom w:val="0"/>
      <w:divBdr>
        <w:top w:val="none" w:sz="0" w:space="0" w:color="auto"/>
        <w:left w:val="none" w:sz="0" w:space="0" w:color="auto"/>
        <w:bottom w:val="none" w:sz="0" w:space="0" w:color="auto"/>
        <w:right w:val="none" w:sz="0" w:space="0" w:color="auto"/>
      </w:divBdr>
    </w:div>
    <w:div w:id="355615301">
      <w:bodyDiv w:val="1"/>
      <w:marLeft w:val="0"/>
      <w:marRight w:val="0"/>
      <w:marTop w:val="0"/>
      <w:marBottom w:val="0"/>
      <w:divBdr>
        <w:top w:val="none" w:sz="0" w:space="0" w:color="auto"/>
        <w:left w:val="none" w:sz="0" w:space="0" w:color="auto"/>
        <w:bottom w:val="none" w:sz="0" w:space="0" w:color="auto"/>
        <w:right w:val="none" w:sz="0" w:space="0" w:color="auto"/>
      </w:divBdr>
    </w:div>
    <w:div w:id="510946395">
      <w:bodyDiv w:val="1"/>
      <w:marLeft w:val="0"/>
      <w:marRight w:val="0"/>
      <w:marTop w:val="0"/>
      <w:marBottom w:val="0"/>
      <w:divBdr>
        <w:top w:val="none" w:sz="0" w:space="0" w:color="auto"/>
        <w:left w:val="none" w:sz="0" w:space="0" w:color="auto"/>
        <w:bottom w:val="none" w:sz="0" w:space="0" w:color="auto"/>
        <w:right w:val="none" w:sz="0" w:space="0" w:color="auto"/>
      </w:divBdr>
    </w:div>
    <w:div w:id="700859580">
      <w:bodyDiv w:val="1"/>
      <w:marLeft w:val="0"/>
      <w:marRight w:val="0"/>
      <w:marTop w:val="0"/>
      <w:marBottom w:val="0"/>
      <w:divBdr>
        <w:top w:val="none" w:sz="0" w:space="0" w:color="auto"/>
        <w:left w:val="none" w:sz="0" w:space="0" w:color="auto"/>
        <w:bottom w:val="none" w:sz="0" w:space="0" w:color="auto"/>
        <w:right w:val="none" w:sz="0" w:space="0" w:color="auto"/>
      </w:divBdr>
    </w:div>
    <w:div w:id="705327784">
      <w:bodyDiv w:val="1"/>
      <w:marLeft w:val="0"/>
      <w:marRight w:val="0"/>
      <w:marTop w:val="0"/>
      <w:marBottom w:val="0"/>
      <w:divBdr>
        <w:top w:val="none" w:sz="0" w:space="0" w:color="auto"/>
        <w:left w:val="none" w:sz="0" w:space="0" w:color="auto"/>
        <w:bottom w:val="none" w:sz="0" w:space="0" w:color="auto"/>
        <w:right w:val="none" w:sz="0" w:space="0" w:color="auto"/>
      </w:divBdr>
    </w:div>
    <w:div w:id="848835375">
      <w:bodyDiv w:val="1"/>
      <w:marLeft w:val="0"/>
      <w:marRight w:val="0"/>
      <w:marTop w:val="0"/>
      <w:marBottom w:val="0"/>
      <w:divBdr>
        <w:top w:val="none" w:sz="0" w:space="0" w:color="auto"/>
        <w:left w:val="none" w:sz="0" w:space="0" w:color="auto"/>
        <w:bottom w:val="none" w:sz="0" w:space="0" w:color="auto"/>
        <w:right w:val="none" w:sz="0" w:space="0" w:color="auto"/>
      </w:divBdr>
    </w:div>
    <w:div w:id="1174346545">
      <w:bodyDiv w:val="1"/>
      <w:marLeft w:val="0"/>
      <w:marRight w:val="0"/>
      <w:marTop w:val="0"/>
      <w:marBottom w:val="0"/>
      <w:divBdr>
        <w:top w:val="none" w:sz="0" w:space="0" w:color="auto"/>
        <w:left w:val="none" w:sz="0" w:space="0" w:color="auto"/>
        <w:bottom w:val="none" w:sz="0" w:space="0" w:color="auto"/>
        <w:right w:val="none" w:sz="0" w:space="0" w:color="auto"/>
      </w:divBdr>
    </w:div>
    <w:div w:id="1282804018">
      <w:bodyDiv w:val="1"/>
      <w:marLeft w:val="0"/>
      <w:marRight w:val="0"/>
      <w:marTop w:val="0"/>
      <w:marBottom w:val="0"/>
      <w:divBdr>
        <w:top w:val="none" w:sz="0" w:space="0" w:color="auto"/>
        <w:left w:val="none" w:sz="0" w:space="0" w:color="auto"/>
        <w:bottom w:val="none" w:sz="0" w:space="0" w:color="auto"/>
        <w:right w:val="none" w:sz="0" w:space="0" w:color="auto"/>
      </w:divBdr>
    </w:div>
    <w:div w:id="1785691539">
      <w:bodyDiv w:val="1"/>
      <w:marLeft w:val="0"/>
      <w:marRight w:val="0"/>
      <w:marTop w:val="0"/>
      <w:marBottom w:val="0"/>
      <w:divBdr>
        <w:top w:val="none" w:sz="0" w:space="0" w:color="auto"/>
        <w:left w:val="none" w:sz="0" w:space="0" w:color="auto"/>
        <w:bottom w:val="none" w:sz="0" w:space="0" w:color="auto"/>
        <w:right w:val="none" w:sz="0" w:space="0" w:color="auto"/>
      </w:divBdr>
    </w:div>
    <w:div w:id="2041776631">
      <w:bodyDiv w:val="1"/>
      <w:marLeft w:val="0"/>
      <w:marRight w:val="0"/>
      <w:marTop w:val="0"/>
      <w:marBottom w:val="0"/>
      <w:divBdr>
        <w:top w:val="none" w:sz="0" w:space="0" w:color="auto"/>
        <w:left w:val="none" w:sz="0" w:space="0" w:color="auto"/>
        <w:bottom w:val="none" w:sz="0" w:space="0" w:color="auto"/>
        <w:right w:val="none" w:sz="0" w:space="0" w:color="auto"/>
      </w:divBdr>
    </w:div>
    <w:div w:id="2076736417">
      <w:bodyDiv w:val="1"/>
      <w:marLeft w:val="0"/>
      <w:marRight w:val="0"/>
      <w:marTop w:val="0"/>
      <w:marBottom w:val="0"/>
      <w:divBdr>
        <w:top w:val="none" w:sz="0" w:space="0" w:color="auto"/>
        <w:left w:val="none" w:sz="0" w:space="0" w:color="auto"/>
        <w:bottom w:val="none" w:sz="0" w:space="0" w:color="auto"/>
        <w:right w:val="none" w:sz="0" w:space="0" w:color="auto"/>
      </w:divBdr>
      <w:divsChild>
        <w:div w:id="56487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nr.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r.org.uk/our-work/how-we-regu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uclear@environment-agency.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corwm-position-papers" TargetMode="External"/><Relationship Id="rId2" Type="http://schemas.openxmlformats.org/officeDocument/2006/relationships/hyperlink" Target="https://assets.publishing.service.gov.uk/media/6632371769098ded31fca7c1/managing-radioactive-substances-and-nuclear-decommissioning-uk-policy-framework.pdf" TargetMode="External"/><Relationship Id="rId1" Type="http://schemas.openxmlformats.org/officeDocument/2006/relationships/hyperlink" Target="https://gbr01.safelinks.protection.outlook.com/?url=https%3A%2F%2Fconsult.environment-agency.gov.uk%2Fpsc%2Fradioactive-waste-disposal-facilities-guidance%2Fsupporting_documents%2FDisposalfacilitiesforsolidradioactivewasteguidanceonrequirementsforauthorisationforconsultation.odt&amp;data=05%7C02%7CKobina.Lokko%40onr.gov.uk%7Ca036cde7e9e740eb700a08dd2fff9b6c%7C742775df807748d681d01e82a1f52cb8%7C0%7C0%7C638719497043363236%7CUnknown%7CTWFpbGZsb3d8eyJFbXB0eU1hcGkiOnRydWUsIlYiOiIwLjAuMDAwMCIsIlAiOiJXaW4zMiIsIkFOIjoiTWFpbCIsIldUIjoyfQ%3D%3D%7C0%7C%7C%7C&amp;sdata=D%2FycLXXicGMRCgniNcyJ9O78Ofug182R6CfBX9KU0i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014D-DAC5-4463-AA02-53CA9151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133</cp:revision>
  <dcterms:created xsi:type="dcterms:W3CDTF">2025-02-26T14:14:00Z</dcterms:created>
  <dcterms:modified xsi:type="dcterms:W3CDTF">2025-02-28T10:24:00Z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4,6,7</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2024-02-19T14:32:34Z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65a9b471-677a-4915-b56d-02738f3c46d7</vt:lpwstr>
  </property>
  <property fmtid="{D5CDD505-2E9C-101B-9397-08002B2CF9AE}" pid="14" name="MSIP_Label_30823a3f-2604-4291-9498-507e39d8fe41_ContentBits">
    <vt:lpwstr>3</vt:lpwstr>
  </property>
</Properties>
</file>