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34296DD" w:rsidR="00D0226A" w:rsidRPr="001E03E1" w:rsidRDefault="00D02158"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B5A11" w:rsidRPr="00C048E8">
                      <w:rPr>
                        <w:sz w:val="72"/>
                        <w:szCs w:val="72"/>
                      </w:rPr>
                      <w:t xml:space="preserve">Land </w:t>
                    </w:r>
                    <w:r w:rsidR="00C048E8">
                      <w:rPr>
                        <w:sz w:val="72"/>
                        <w:szCs w:val="72"/>
                      </w:rPr>
                      <w:t>q</w:t>
                    </w:r>
                    <w:r w:rsidR="004B5A11" w:rsidRPr="00C048E8">
                      <w:rPr>
                        <w:sz w:val="72"/>
                        <w:szCs w:val="72"/>
                      </w:rPr>
                      <w:t xml:space="preserve">uality </w:t>
                    </w:r>
                    <w:r w:rsidR="00C048E8">
                      <w:rPr>
                        <w:sz w:val="72"/>
                        <w:szCs w:val="72"/>
                      </w:rPr>
                      <w:t>m</w:t>
                    </w:r>
                    <w:r w:rsidR="004B5A11" w:rsidRPr="00C048E8">
                      <w:rPr>
                        <w:sz w:val="72"/>
                        <w:szCs w:val="72"/>
                      </w:rPr>
                      <w:t>anagement</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58240"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000E2322"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2D4A55F0" w:rsidR="00004C16" w:rsidRPr="00F63AA5" w:rsidRDefault="00D02158"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048E8">
            <w:rPr>
              <w:rStyle w:val="Style2"/>
            </w:rPr>
            <w:t>Land quality management</w:t>
          </w:r>
        </w:sdtContent>
      </w:sdt>
    </w:p>
    <w:p w14:paraId="10432EBB" w14:textId="2D52FDFE"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64057F">
        <w:rPr>
          <w:sz w:val="28"/>
          <w:szCs w:val="28"/>
        </w:rPr>
        <w:t xml:space="preserve">Nuclear Liabilities Regulation and Chemical </w:t>
      </w:r>
      <w:r w:rsidR="00C048E8">
        <w:rPr>
          <w:sz w:val="28"/>
          <w:szCs w:val="28"/>
        </w:rPr>
        <w:t>and</w:t>
      </w:r>
      <w:r w:rsidR="0064057F">
        <w:rPr>
          <w:sz w:val="28"/>
          <w:szCs w:val="28"/>
        </w:rPr>
        <w:t xml:space="preserve"> Chemical Engineering</w:t>
      </w:r>
    </w:p>
    <w:p w14:paraId="61A25C0F" w14:textId="77777777" w:rsidR="00004C16" w:rsidRDefault="00004C16" w:rsidP="00004C16">
      <w:pPr>
        <w:rPr>
          <w:sz w:val="28"/>
          <w:szCs w:val="28"/>
        </w:rPr>
      </w:pPr>
    </w:p>
    <w:p w14:paraId="4C7A948F" w14:textId="397509E0"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64057F">
        <w:rPr>
          <w:szCs w:val="24"/>
        </w:rPr>
        <w:t>Nuclear Liabilities Regulation</w:t>
      </w:r>
    </w:p>
    <w:p w14:paraId="15A21CF3" w14:textId="674CF5D2"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64057F">
        <w:rPr>
          <w:szCs w:val="24"/>
        </w:rPr>
        <w:t>Head of Profession</w:t>
      </w:r>
    </w:p>
    <w:p w14:paraId="247E3769" w14:textId="4796C660"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4057F">
            <w:rPr>
              <w:szCs w:val="24"/>
            </w:rPr>
            <w:t>2.3</w:t>
          </w:r>
        </w:sdtContent>
      </w:sdt>
    </w:p>
    <w:p w14:paraId="19206F45" w14:textId="27ECAD6E" w:rsidR="00004C16" w:rsidRPr="002D5F2E" w:rsidRDefault="00AD298F" w:rsidP="00D27957">
      <w:pPr>
        <w:rPr>
          <w:szCs w:val="24"/>
        </w:rPr>
      </w:pPr>
      <w:r>
        <w:rPr>
          <w:b/>
          <w:bCs/>
          <w:szCs w:val="24"/>
        </w:rPr>
        <w:t>Published</w:t>
      </w:r>
      <w:r w:rsidR="00004C16" w:rsidRPr="002D5F2E">
        <w:rPr>
          <w:szCs w:val="24"/>
        </w:rPr>
        <w:t xml:space="preserve">: </w:t>
      </w:r>
      <w:r w:rsidR="00D27957">
        <w:rPr>
          <w:szCs w:val="24"/>
        </w:rPr>
        <w:t>Nov</w:t>
      </w:r>
      <w:r w:rsidR="00C048E8">
        <w:rPr>
          <w:szCs w:val="24"/>
        </w:rPr>
        <w:t>ember 2024</w:t>
      </w:r>
    </w:p>
    <w:p w14:paraId="06A6B3A5" w14:textId="1290567F"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C048E8">
        <w:rPr>
          <w:szCs w:val="24"/>
        </w:rPr>
        <w:t>November 202</w:t>
      </w:r>
      <w:r w:rsidR="00422FAA">
        <w:rPr>
          <w:szCs w:val="24"/>
        </w:rPr>
        <w:t>9</w:t>
      </w:r>
    </w:p>
    <w:p w14:paraId="6DA341A1" w14:textId="2A6BA10F"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C048E8">
        <w:rPr>
          <w:szCs w:val="24"/>
        </w:rPr>
        <w:t>NS-TAST-GD-083</w:t>
      </w:r>
    </w:p>
    <w:p w14:paraId="55057C62" w14:textId="5CE81326"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r w:rsidR="00C048E8" w:rsidRPr="00C048E8">
        <w:rPr>
          <w:szCs w:val="24"/>
        </w:rPr>
        <w:t>2020/311550</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466"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C2319A" w:rsidRPr="002D5F2E" w14:paraId="721BC1E5" w14:textId="77777777" w:rsidTr="00E20B32">
        <w:tc>
          <w:tcPr>
            <w:tcW w:w="1550" w:type="dxa"/>
          </w:tcPr>
          <w:p w14:paraId="1A427106" w14:textId="2DEA5898" w:rsidR="00C2319A" w:rsidRPr="002D5F2E" w:rsidRDefault="00C2319A" w:rsidP="00595C8C">
            <w:pPr>
              <w:spacing w:before="60" w:after="60"/>
              <w:rPr>
                <w:bCs/>
                <w:szCs w:val="24"/>
              </w:rPr>
            </w:pPr>
            <w:r>
              <w:rPr>
                <w:bCs/>
                <w:szCs w:val="24"/>
              </w:rPr>
              <w:t>1</w:t>
            </w:r>
          </w:p>
        </w:tc>
        <w:tc>
          <w:tcPr>
            <w:tcW w:w="7466" w:type="dxa"/>
          </w:tcPr>
          <w:p w14:paraId="01F6BF76" w14:textId="32CDAFD8" w:rsidR="00C2319A" w:rsidRPr="002D5F2E" w:rsidRDefault="0043199C" w:rsidP="00595C8C">
            <w:pPr>
              <w:spacing w:before="60" w:after="60"/>
              <w:rPr>
                <w:bCs/>
                <w:szCs w:val="24"/>
              </w:rPr>
            </w:pPr>
            <w:r w:rsidRPr="0043199C">
              <w:rPr>
                <w:bCs/>
                <w:szCs w:val="24"/>
              </w:rPr>
              <w:t>First revision. Minor update. At next revision, check for update to LC1 to reflect Scottish legislation</w:t>
            </w:r>
          </w:p>
        </w:tc>
      </w:tr>
      <w:tr w:rsidR="00C2319A" w:rsidRPr="002D5F2E" w14:paraId="13D15DAD" w14:textId="77777777" w:rsidTr="00E20B32">
        <w:tc>
          <w:tcPr>
            <w:tcW w:w="1550" w:type="dxa"/>
          </w:tcPr>
          <w:p w14:paraId="1706BB08" w14:textId="67BDF19B" w:rsidR="00C2319A" w:rsidRPr="002D5F2E" w:rsidRDefault="006F3034" w:rsidP="00595C8C">
            <w:pPr>
              <w:spacing w:before="60" w:after="60"/>
              <w:rPr>
                <w:bCs/>
                <w:szCs w:val="24"/>
              </w:rPr>
            </w:pPr>
            <w:r>
              <w:rPr>
                <w:bCs/>
                <w:szCs w:val="24"/>
              </w:rPr>
              <w:t>2</w:t>
            </w:r>
          </w:p>
        </w:tc>
        <w:tc>
          <w:tcPr>
            <w:tcW w:w="7466" w:type="dxa"/>
          </w:tcPr>
          <w:p w14:paraId="7841EA95" w14:textId="28DA2D29" w:rsidR="00C2319A" w:rsidRPr="002D5F2E" w:rsidRDefault="00AA6CAB" w:rsidP="00595C8C">
            <w:pPr>
              <w:spacing w:before="60" w:after="60"/>
              <w:rPr>
                <w:bCs/>
                <w:szCs w:val="24"/>
              </w:rPr>
            </w:pPr>
            <w:r w:rsidRPr="00AA6CAB">
              <w:rPr>
                <w:bCs/>
                <w:szCs w:val="24"/>
              </w:rPr>
              <w:t>Updated Review Period</w:t>
            </w:r>
          </w:p>
        </w:tc>
      </w:tr>
      <w:tr w:rsidR="00C2319A" w:rsidRPr="002D5F2E" w14:paraId="2B85FED4" w14:textId="77777777" w:rsidTr="00E20B32">
        <w:tc>
          <w:tcPr>
            <w:tcW w:w="1550" w:type="dxa"/>
          </w:tcPr>
          <w:p w14:paraId="535EF6BC" w14:textId="2D7E2670" w:rsidR="00C2319A" w:rsidRPr="002D5F2E" w:rsidRDefault="006F3034" w:rsidP="00595C8C">
            <w:pPr>
              <w:spacing w:before="60" w:after="60"/>
              <w:rPr>
                <w:bCs/>
                <w:szCs w:val="24"/>
              </w:rPr>
            </w:pPr>
            <w:r>
              <w:rPr>
                <w:bCs/>
                <w:szCs w:val="24"/>
              </w:rPr>
              <w:t>2.2</w:t>
            </w:r>
          </w:p>
        </w:tc>
        <w:tc>
          <w:tcPr>
            <w:tcW w:w="7466" w:type="dxa"/>
          </w:tcPr>
          <w:p w14:paraId="7D2C675B" w14:textId="19B666A0" w:rsidR="00C2319A" w:rsidRPr="002D5F2E" w:rsidRDefault="00792DDA" w:rsidP="00250314">
            <w:pPr>
              <w:spacing w:before="60" w:after="60"/>
              <w:rPr>
                <w:bCs/>
                <w:szCs w:val="24"/>
              </w:rPr>
            </w:pPr>
            <w:r w:rsidRPr="00792DDA">
              <w:rPr>
                <w:bCs/>
                <w:szCs w:val="24"/>
              </w:rPr>
              <w:t>Minor update, including reference to the published report for the ONR research project ONR-RRR-052, changed text in relation to drinking water screening values and updated external references as appropriate. Format of document updated into new TAG template</w:t>
            </w:r>
          </w:p>
        </w:tc>
      </w:tr>
      <w:tr w:rsidR="00595C8C" w:rsidRPr="002D5F2E" w14:paraId="0B4E4E42" w14:textId="77777777" w:rsidTr="00E20B32">
        <w:tc>
          <w:tcPr>
            <w:tcW w:w="1550" w:type="dxa"/>
          </w:tcPr>
          <w:p w14:paraId="65482A03" w14:textId="13707666" w:rsidR="00595C8C" w:rsidRPr="002D5F2E" w:rsidRDefault="005C5DBA" w:rsidP="00595C8C">
            <w:pPr>
              <w:spacing w:before="60" w:after="60"/>
              <w:rPr>
                <w:szCs w:val="24"/>
              </w:rPr>
            </w:pPr>
            <w:r>
              <w:rPr>
                <w:szCs w:val="24"/>
              </w:rPr>
              <w:t>2.3</w:t>
            </w:r>
          </w:p>
        </w:tc>
        <w:tc>
          <w:tcPr>
            <w:tcW w:w="7466" w:type="dxa"/>
          </w:tcPr>
          <w:p w14:paraId="1C80912E" w14:textId="57870B87" w:rsidR="00595C8C" w:rsidRPr="002D5F2E" w:rsidRDefault="00F52EE0" w:rsidP="00595C8C">
            <w:pPr>
              <w:spacing w:before="60" w:after="60"/>
              <w:rPr>
                <w:szCs w:val="24"/>
              </w:rPr>
            </w:pPr>
            <w:r>
              <w:rPr>
                <w:szCs w:val="24"/>
              </w:rPr>
              <w:t>Minor update</w:t>
            </w:r>
            <w:r w:rsidR="00250314">
              <w:rPr>
                <w:szCs w:val="24"/>
              </w:rPr>
              <w:t xml:space="preserve">. </w:t>
            </w:r>
            <w:r w:rsidR="00250314" w:rsidRPr="00792DDA">
              <w:rPr>
                <w:bCs/>
                <w:szCs w:val="24"/>
              </w:rPr>
              <w:t>Format of document updated into new TAG template</w:t>
            </w:r>
            <w:r w:rsidR="00250314">
              <w:rPr>
                <w:bCs/>
                <w:szCs w:val="24"/>
              </w:rPr>
              <w:t>.</w:t>
            </w:r>
            <w:r w:rsidR="00DA3D8E">
              <w:rPr>
                <w:bCs/>
                <w:szCs w:val="24"/>
              </w:rPr>
              <w:t xml:space="preserve"> Removal of Appendix 2 and integration of relevant </w:t>
            </w:r>
            <w:r w:rsidR="00272621">
              <w:rPr>
                <w:bCs/>
                <w:szCs w:val="24"/>
              </w:rPr>
              <w:t>information to the main body of the TAG.</w:t>
            </w:r>
            <w:r w:rsidR="00EE31AA">
              <w:rPr>
                <w:bCs/>
                <w:szCs w:val="24"/>
              </w:rPr>
              <w:t xml:space="preserve"> Consolidation of sources of RGP into </w:t>
            </w:r>
            <w:r w:rsidR="00F014A2">
              <w:rPr>
                <w:bCs/>
                <w:szCs w:val="24"/>
              </w:rPr>
              <w:t>an Appendix.</w:t>
            </w:r>
            <w:r w:rsidR="000C5078">
              <w:rPr>
                <w:bCs/>
                <w:szCs w:val="24"/>
              </w:rPr>
              <w:t xml:space="preserve"> </w:t>
            </w:r>
            <w:r w:rsidR="00825D1E">
              <w:rPr>
                <w:bCs/>
                <w:szCs w:val="24"/>
              </w:rPr>
              <w:t>Updated figures.</w:t>
            </w:r>
          </w:p>
        </w:tc>
      </w:tr>
    </w:tbl>
    <w:p w14:paraId="1FDB4B56" w14:textId="6C10B266" w:rsidR="00595C8C" w:rsidRDefault="00595C8C" w:rsidP="00323E71">
      <w:pPr>
        <w:sectPr w:rsidR="00595C8C" w:rsidSect="000B2BCD">
          <w:headerReference w:type="default" r:id="rId11"/>
          <w:footerReference w:type="default" r:id="rId12"/>
          <w:endnotePr>
            <w:numFmt w:val="decimal"/>
          </w:endnotePr>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B624C3C" w14:textId="66671567" w:rsidR="008713F0" w:rsidRDefault="00266CD6">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83698812" w:history="1">
        <w:r w:rsidR="008713F0" w:rsidRPr="0017505D">
          <w:rPr>
            <w:rStyle w:val="Hyperlink"/>
          </w:rPr>
          <w:t>1.</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Introduction</w:t>
        </w:r>
        <w:r w:rsidR="008713F0">
          <w:rPr>
            <w:webHidden/>
          </w:rPr>
          <w:tab/>
        </w:r>
        <w:r w:rsidR="008713F0">
          <w:rPr>
            <w:webHidden/>
          </w:rPr>
          <w:fldChar w:fldCharType="begin"/>
        </w:r>
        <w:r w:rsidR="008713F0">
          <w:rPr>
            <w:webHidden/>
          </w:rPr>
          <w:instrText xml:space="preserve"> PAGEREF _Toc183698812 \h </w:instrText>
        </w:r>
        <w:r w:rsidR="008713F0">
          <w:rPr>
            <w:webHidden/>
          </w:rPr>
        </w:r>
        <w:r w:rsidR="008713F0">
          <w:rPr>
            <w:webHidden/>
          </w:rPr>
          <w:fldChar w:fldCharType="separate"/>
        </w:r>
        <w:r w:rsidR="008713F0">
          <w:rPr>
            <w:webHidden/>
          </w:rPr>
          <w:t>4</w:t>
        </w:r>
        <w:r w:rsidR="008713F0">
          <w:rPr>
            <w:webHidden/>
          </w:rPr>
          <w:fldChar w:fldCharType="end"/>
        </w:r>
      </w:hyperlink>
    </w:p>
    <w:p w14:paraId="0513A1A5" w14:textId="3242EC6F" w:rsidR="008713F0" w:rsidRDefault="00D0215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698813" w:history="1">
        <w:r w:rsidR="008713F0" w:rsidRPr="0017505D">
          <w:rPr>
            <w:rStyle w:val="Hyperlink"/>
          </w:rPr>
          <w:t>2.</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Purpose and scope</w:t>
        </w:r>
        <w:r w:rsidR="008713F0">
          <w:rPr>
            <w:webHidden/>
          </w:rPr>
          <w:tab/>
        </w:r>
        <w:r w:rsidR="008713F0">
          <w:rPr>
            <w:webHidden/>
          </w:rPr>
          <w:fldChar w:fldCharType="begin"/>
        </w:r>
        <w:r w:rsidR="008713F0">
          <w:rPr>
            <w:webHidden/>
          </w:rPr>
          <w:instrText xml:space="preserve"> PAGEREF _Toc183698813 \h </w:instrText>
        </w:r>
        <w:r w:rsidR="008713F0">
          <w:rPr>
            <w:webHidden/>
          </w:rPr>
        </w:r>
        <w:r w:rsidR="008713F0">
          <w:rPr>
            <w:webHidden/>
          </w:rPr>
          <w:fldChar w:fldCharType="separate"/>
        </w:r>
        <w:r w:rsidR="008713F0">
          <w:rPr>
            <w:webHidden/>
          </w:rPr>
          <w:t>5</w:t>
        </w:r>
        <w:r w:rsidR="008713F0">
          <w:rPr>
            <w:webHidden/>
          </w:rPr>
          <w:fldChar w:fldCharType="end"/>
        </w:r>
      </w:hyperlink>
    </w:p>
    <w:p w14:paraId="5D2CF68E" w14:textId="22463963" w:rsidR="008713F0" w:rsidRDefault="00D0215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698814" w:history="1">
        <w:r w:rsidR="008713F0" w:rsidRPr="0017505D">
          <w:rPr>
            <w:rStyle w:val="Hyperlink"/>
          </w:rPr>
          <w:t>3.</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Relationship to licence and other relevant legislation</w:t>
        </w:r>
        <w:r w:rsidR="008713F0">
          <w:rPr>
            <w:webHidden/>
          </w:rPr>
          <w:tab/>
        </w:r>
        <w:r w:rsidR="008713F0">
          <w:rPr>
            <w:webHidden/>
          </w:rPr>
          <w:fldChar w:fldCharType="begin"/>
        </w:r>
        <w:r w:rsidR="008713F0">
          <w:rPr>
            <w:webHidden/>
          </w:rPr>
          <w:instrText xml:space="preserve"> PAGEREF _Toc183698814 \h </w:instrText>
        </w:r>
        <w:r w:rsidR="008713F0">
          <w:rPr>
            <w:webHidden/>
          </w:rPr>
        </w:r>
        <w:r w:rsidR="008713F0">
          <w:rPr>
            <w:webHidden/>
          </w:rPr>
          <w:fldChar w:fldCharType="separate"/>
        </w:r>
        <w:r w:rsidR="008713F0">
          <w:rPr>
            <w:webHidden/>
          </w:rPr>
          <w:t>6</w:t>
        </w:r>
        <w:r w:rsidR="008713F0">
          <w:rPr>
            <w:webHidden/>
          </w:rPr>
          <w:fldChar w:fldCharType="end"/>
        </w:r>
      </w:hyperlink>
    </w:p>
    <w:p w14:paraId="20FB8798" w14:textId="27D8DB72"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15" w:history="1">
        <w:r w:rsidR="008713F0" w:rsidRPr="0017505D">
          <w:rPr>
            <w:rStyle w:val="Hyperlink"/>
          </w:rPr>
          <w:t>3.1.</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ONR’s nuclear safety purposes</w:t>
        </w:r>
        <w:r w:rsidR="008713F0">
          <w:rPr>
            <w:webHidden/>
          </w:rPr>
          <w:tab/>
        </w:r>
        <w:r w:rsidR="008713F0">
          <w:rPr>
            <w:webHidden/>
          </w:rPr>
          <w:fldChar w:fldCharType="begin"/>
        </w:r>
        <w:r w:rsidR="008713F0">
          <w:rPr>
            <w:webHidden/>
          </w:rPr>
          <w:instrText xml:space="preserve"> PAGEREF _Toc183698815 \h </w:instrText>
        </w:r>
        <w:r w:rsidR="008713F0">
          <w:rPr>
            <w:webHidden/>
          </w:rPr>
        </w:r>
        <w:r w:rsidR="008713F0">
          <w:rPr>
            <w:webHidden/>
          </w:rPr>
          <w:fldChar w:fldCharType="separate"/>
        </w:r>
        <w:r w:rsidR="008713F0">
          <w:rPr>
            <w:webHidden/>
          </w:rPr>
          <w:t>6</w:t>
        </w:r>
        <w:r w:rsidR="008713F0">
          <w:rPr>
            <w:webHidden/>
          </w:rPr>
          <w:fldChar w:fldCharType="end"/>
        </w:r>
      </w:hyperlink>
    </w:p>
    <w:p w14:paraId="6C8D9C2C" w14:textId="20696AF4"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16" w:history="1">
        <w:r w:rsidR="008713F0" w:rsidRPr="0017505D">
          <w:rPr>
            <w:rStyle w:val="Hyperlink"/>
          </w:rPr>
          <w:t>3.2.</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Nuclear site licensing</w:t>
        </w:r>
        <w:r w:rsidR="008713F0">
          <w:rPr>
            <w:webHidden/>
          </w:rPr>
          <w:tab/>
        </w:r>
        <w:r w:rsidR="008713F0">
          <w:rPr>
            <w:webHidden/>
          </w:rPr>
          <w:fldChar w:fldCharType="begin"/>
        </w:r>
        <w:r w:rsidR="008713F0">
          <w:rPr>
            <w:webHidden/>
          </w:rPr>
          <w:instrText xml:space="preserve"> PAGEREF _Toc183698816 \h </w:instrText>
        </w:r>
        <w:r w:rsidR="008713F0">
          <w:rPr>
            <w:webHidden/>
          </w:rPr>
        </w:r>
        <w:r w:rsidR="008713F0">
          <w:rPr>
            <w:webHidden/>
          </w:rPr>
          <w:fldChar w:fldCharType="separate"/>
        </w:r>
        <w:r w:rsidR="008713F0">
          <w:rPr>
            <w:webHidden/>
          </w:rPr>
          <w:t>7</w:t>
        </w:r>
        <w:r w:rsidR="008713F0">
          <w:rPr>
            <w:webHidden/>
          </w:rPr>
          <w:fldChar w:fldCharType="end"/>
        </w:r>
      </w:hyperlink>
    </w:p>
    <w:p w14:paraId="0FAD288B" w14:textId="4628739E"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17" w:history="1">
        <w:r w:rsidR="008713F0" w:rsidRPr="0017505D">
          <w:rPr>
            <w:rStyle w:val="Hyperlink"/>
          </w:rPr>
          <w:t>3.3.</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Health and safety legislation</w:t>
        </w:r>
        <w:r w:rsidR="008713F0">
          <w:rPr>
            <w:webHidden/>
          </w:rPr>
          <w:tab/>
        </w:r>
        <w:r w:rsidR="008713F0">
          <w:rPr>
            <w:webHidden/>
          </w:rPr>
          <w:fldChar w:fldCharType="begin"/>
        </w:r>
        <w:r w:rsidR="008713F0">
          <w:rPr>
            <w:webHidden/>
          </w:rPr>
          <w:instrText xml:space="preserve"> PAGEREF _Toc183698817 \h </w:instrText>
        </w:r>
        <w:r w:rsidR="008713F0">
          <w:rPr>
            <w:webHidden/>
          </w:rPr>
        </w:r>
        <w:r w:rsidR="008713F0">
          <w:rPr>
            <w:webHidden/>
          </w:rPr>
          <w:fldChar w:fldCharType="separate"/>
        </w:r>
        <w:r w:rsidR="008713F0">
          <w:rPr>
            <w:webHidden/>
          </w:rPr>
          <w:t>9</w:t>
        </w:r>
        <w:r w:rsidR="008713F0">
          <w:rPr>
            <w:webHidden/>
          </w:rPr>
          <w:fldChar w:fldCharType="end"/>
        </w:r>
      </w:hyperlink>
    </w:p>
    <w:p w14:paraId="00F906FC" w14:textId="7660E6A9"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18" w:history="1">
        <w:r w:rsidR="008713F0" w:rsidRPr="0017505D">
          <w:rPr>
            <w:rStyle w:val="Hyperlink"/>
          </w:rPr>
          <w:t>3.4.</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Environmental legislation</w:t>
        </w:r>
        <w:r w:rsidR="008713F0">
          <w:rPr>
            <w:webHidden/>
          </w:rPr>
          <w:tab/>
        </w:r>
        <w:r w:rsidR="008713F0">
          <w:rPr>
            <w:webHidden/>
          </w:rPr>
          <w:fldChar w:fldCharType="begin"/>
        </w:r>
        <w:r w:rsidR="008713F0">
          <w:rPr>
            <w:webHidden/>
          </w:rPr>
          <w:instrText xml:space="preserve"> PAGEREF _Toc183698818 \h </w:instrText>
        </w:r>
        <w:r w:rsidR="008713F0">
          <w:rPr>
            <w:webHidden/>
          </w:rPr>
        </w:r>
        <w:r w:rsidR="008713F0">
          <w:rPr>
            <w:webHidden/>
          </w:rPr>
          <w:fldChar w:fldCharType="separate"/>
        </w:r>
        <w:r w:rsidR="008713F0">
          <w:rPr>
            <w:webHidden/>
          </w:rPr>
          <w:t>10</w:t>
        </w:r>
        <w:r w:rsidR="008713F0">
          <w:rPr>
            <w:webHidden/>
          </w:rPr>
          <w:fldChar w:fldCharType="end"/>
        </w:r>
      </w:hyperlink>
    </w:p>
    <w:p w14:paraId="6C8DA4A5" w14:textId="12510C58"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19" w:history="1">
        <w:r w:rsidR="008713F0" w:rsidRPr="0017505D">
          <w:rPr>
            <w:rStyle w:val="Hyperlink"/>
          </w:rPr>
          <w:t>3.5.</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Interface with end states and removal of regulatory control</w:t>
        </w:r>
        <w:r w:rsidR="008713F0">
          <w:rPr>
            <w:webHidden/>
          </w:rPr>
          <w:tab/>
        </w:r>
        <w:r w:rsidR="008713F0">
          <w:rPr>
            <w:webHidden/>
          </w:rPr>
          <w:fldChar w:fldCharType="begin"/>
        </w:r>
        <w:r w:rsidR="008713F0">
          <w:rPr>
            <w:webHidden/>
          </w:rPr>
          <w:instrText xml:space="preserve"> PAGEREF _Toc183698819 \h </w:instrText>
        </w:r>
        <w:r w:rsidR="008713F0">
          <w:rPr>
            <w:webHidden/>
          </w:rPr>
        </w:r>
        <w:r w:rsidR="008713F0">
          <w:rPr>
            <w:webHidden/>
          </w:rPr>
          <w:fldChar w:fldCharType="separate"/>
        </w:r>
        <w:r w:rsidR="008713F0">
          <w:rPr>
            <w:webHidden/>
          </w:rPr>
          <w:t>11</w:t>
        </w:r>
        <w:r w:rsidR="008713F0">
          <w:rPr>
            <w:webHidden/>
          </w:rPr>
          <w:fldChar w:fldCharType="end"/>
        </w:r>
      </w:hyperlink>
    </w:p>
    <w:p w14:paraId="10F24981" w14:textId="69DFF137" w:rsidR="008713F0" w:rsidRDefault="00D0215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698820" w:history="1">
        <w:r w:rsidR="008713F0" w:rsidRPr="0017505D">
          <w:rPr>
            <w:rStyle w:val="Hyperlink"/>
          </w:rPr>
          <w:t>4.</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Relationship to Safety Assessment Principles, WENRA Reference Levels, and IAEA Safety Standards and Guides</w:t>
        </w:r>
        <w:r w:rsidR="008713F0">
          <w:rPr>
            <w:webHidden/>
          </w:rPr>
          <w:tab/>
        </w:r>
        <w:r w:rsidR="008713F0">
          <w:rPr>
            <w:webHidden/>
          </w:rPr>
          <w:fldChar w:fldCharType="begin"/>
        </w:r>
        <w:r w:rsidR="008713F0">
          <w:rPr>
            <w:webHidden/>
          </w:rPr>
          <w:instrText xml:space="preserve"> PAGEREF _Toc183698820 \h </w:instrText>
        </w:r>
        <w:r w:rsidR="008713F0">
          <w:rPr>
            <w:webHidden/>
          </w:rPr>
        </w:r>
        <w:r w:rsidR="008713F0">
          <w:rPr>
            <w:webHidden/>
          </w:rPr>
          <w:fldChar w:fldCharType="separate"/>
        </w:r>
        <w:r w:rsidR="008713F0">
          <w:rPr>
            <w:webHidden/>
          </w:rPr>
          <w:t>13</w:t>
        </w:r>
        <w:r w:rsidR="008713F0">
          <w:rPr>
            <w:webHidden/>
          </w:rPr>
          <w:fldChar w:fldCharType="end"/>
        </w:r>
      </w:hyperlink>
    </w:p>
    <w:p w14:paraId="39FA86BF" w14:textId="3D55FFA6"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21" w:history="1">
        <w:r w:rsidR="008713F0" w:rsidRPr="0017505D">
          <w:rPr>
            <w:rStyle w:val="Hyperlink"/>
          </w:rPr>
          <w:t>4.1.</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Safety Assessment Principles</w:t>
        </w:r>
        <w:r w:rsidR="008713F0">
          <w:rPr>
            <w:webHidden/>
          </w:rPr>
          <w:tab/>
        </w:r>
        <w:r w:rsidR="008713F0">
          <w:rPr>
            <w:webHidden/>
          </w:rPr>
          <w:fldChar w:fldCharType="begin"/>
        </w:r>
        <w:r w:rsidR="008713F0">
          <w:rPr>
            <w:webHidden/>
          </w:rPr>
          <w:instrText xml:space="preserve"> PAGEREF _Toc183698821 \h </w:instrText>
        </w:r>
        <w:r w:rsidR="008713F0">
          <w:rPr>
            <w:webHidden/>
          </w:rPr>
        </w:r>
        <w:r w:rsidR="008713F0">
          <w:rPr>
            <w:webHidden/>
          </w:rPr>
          <w:fldChar w:fldCharType="separate"/>
        </w:r>
        <w:r w:rsidR="008713F0">
          <w:rPr>
            <w:webHidden/>
          </w:rPr>
          <w:t>13</w:t>
        </w:r>
        <w:r w:rsidR="008713F0">
          <w:rPr>
            <w:webHidden/>
          </w:rPr>
          <w:fldChar w:fldCharType="end"/>
        </w:r>
      </w:hyperlink>
    </w:p>
    <w:p w14:paraId="5B101FA8" w14:textId="5F8EC240"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22" w:history="1">
        <w:r w:rsidR="008713F0" w:rsidRPr="0017505D">
          <w:rPr>
            <w:rStyle w:val="Hyperlink"/>
          </w:rPr>
          <w:t>4.2.</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Technical Assessment Guides</w:t>
        </w:r>
        <w:r w:rsidR="008713F0">
          <w:rPr>
            <w:webHidden/>
          </w:rPr>
          <w:tab/>
        </w:r>
        <w:r w:rsidR="008713F0">
          <w:rPr>
            <w:webHidden/>
          </w:rPr>
          <w:fldChar w:fldCharType="begin"/>
        </w:r>
        <w:r w:rsidR="008713F0">
          <w:rPr>
            <w:webHidden/>
          </w:rPr>
          <w:instrText xml:space="preserve"> PAGEREF _Toc183698822 \h </w:instrText>
        </w:r>
        <w:r w:rsidR="008713F0">
          <w:rPr>
            <w:webHidden/>
          </w:rPr>
        </w:r>
        <w:r w:rsidR="008713F0">
          <w:rPr>
            <w:webHidden/>
          </w:rPr>
          <w:fldChar w:fldCharType="separate"/>
        </w:r>
        <w:r w:rsidR="008713F0">
          <w:rPr>
            <w:webHidden/>
          </w:rPr>
          <w:t>14</w:t>
        </w:r>
        <w:r w:rsidR="008713F0">
          <w:rPr>
            <w:webHidden/>
          </w:rPr>
          <w:fldChar w:fldCharType="end"/>
        </w:r>
      </w:hyperlink>
    </w:p>
    <w:p w14:paraId="149B5ACF" w14:textId="79126752"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23" w:history="1">
        <w:r w:rsidR="008713F0" w:rsidRPr="0017505D">
          <w:rPr>
            <w:rStyle w:val="Hyperlink"/>
          </w:rPr>
          <w:t>4.3.</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WENRA Safety Reference Levels and IAEA Safety Standards</w:t>
        </w:r>
        <w:r w:rsidR="008713F0">
          <w:rPr>
            <w:webHidden/>
          </w:rPr>
          <w:tab/>
        </w:r>
        <w:r w:rsidR="008713F0">
          <w:rPr>
            <w:webHidden/>
          </w:rPr>
          <w:fldChar w:fldCharType="begin"/>
        </w:r>
        <w:r w:rsidR="008713F0">
          <w:rPr>
            <w:webHidden/>
          </w:rPr>
          <w:instrText xml:space="preserve"> PAGEREF _Toc183698823 \h </w:instrText>
        </w:r>
        <w:r w:rsidR="008713F0">
          <w:rPr>
            <w:webHidden/>
          </w:rPr>
        </w:r>
        <w:r w:rsidR="008713F0">
          <w:rPr>
            <w:webHidden/>
          </w:rPr>
          <w:fldChar w:fldCharType="separate"/>
        </w:r>
        <w:r w:rsidR="008713F0">
          <w:rPr>
            <w:webHidden/>
          </w:rPr>
          <w:t>15</w:t>
        </w:r>
        <w:r w:rsidR="008713F0">
          <w:rPr>
            <w:webHidden/>
          </w:rPr>
          <w:fldChar w:fldCharType="end"/>
        </w:r>
      </w:hyperlink>
    </w:p>
    <w:p w14:paraId="26F76475" w14:textId="4540416B" w:rsidR="008713F0" w:rsidRDefault="00D0215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698824" w:history="1">
        <w:r w:rsidR="008713F0" w:rsidRPr="0017505D">
          <w:rPr>
            <w:rStyle w:val="Hyperlink"/>
          </w:rPr>
          <w:t>5.</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Advice to inspectors</w:t>
        </w:r>
        <w:r w:rsidR="008713F0">
          <w:rPr>
            <w:webHidden/>
          </w:rPr>
          <w:tab/>
        </w:r>
        <w:r w:rsidR="008713F0">
          <w:rPr>
            <w:webHidden/>
          </w:rPr>
          <w:fldChar w:fldCharType="begin"/>
        </w:r>
        <w:r w:rsidR="008713F0">
          <w:rPr>
            <w:webHidden/>
          </w:rPr>
          <w:instrText xml:space="preserve"> PAGEREF _Toc183698824 \h </w:instrText>
        </w:r>
        <w:r w:rsidR="008713F0">
          <w:rPr>
            <w:webHidden/>
          </w:rPr>
        </w:r>
        <w:r w:rsidR="008713F0">
          <w:rPr>
            <w:webHidden/>
          </w:rPr>
          <w:fldChar w:fldCharType="separate"/>
        </w:r>
        <w:r w:rsidR="008713F0">
          <w:rPr>
            <w:webHidden/>
          </w:rPr>
          <w:t>16</w:t>
        </w:r>
        <w:r w:rsidR="008713F0">
          <w:rPr>
            <w:webHidden/>
          </w:rPr>
          <w:fldChar w:fldCharType="end"/>
        </w:r>
      </w:hyperlink>
    </w:p>
    <w:p w14:paraId="7BD5AB40" w14:textId="588EE3FD"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25" w:history="1">
        <w:r w:rsidR="008713F0" w:rsidRPr="0017505D">
          <w:rPr>
            <w:rStyle w:val="Hyperlink"/>
          </w:rPr>
          <w:t>5.1.</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Overall objective of LQM</w:t>
        </w:r>
        <w:r w:rsidR="008713F0">
          <w:rPr>
            <w:webHidden/>
          </w:rPr>
          <w:tab/>
        </w:r>
        <w:r w:rsidR="008713F0">
          <w:rPr>
            <w:webHidden/>
          </w:rPr>
          <w:fldChar w:fldCharType="begin"/>
        </w:r>
        <w:r w:rsidR="008713F0">
          <w:rPr>
            <w:webHidden/>
          </w:rPr>
          <w:instrText xml:space="preserve"> PAGEREF _Toc183698825 \h </w:instrText>
        </w:r>
        <w:r w:rsidR="008713F0">
          <w:rPr>
            <w:webHidden/>
          </w:rPr>
        </w:r>
        <w:r w:rsidR="008713F0">
          <w:rPr>
            <w:webHidden/>
          </w:rPr>
          <w:fldChar w:fldCharType="separate"/>
        </w:r>
        <w:r w:rsidR="008713F0">
          <w:rPr>
            <w:webHidden/>
          </w:rPr>
          <w:t>16</w:t>
        </w:r>
        <w:r w:rsidR="008713F0">
          <w:rPr>
            <w:webHidden/>
          </w:rPr>
          <w:fldChar w:fldCharType="end"/>
        </w:r>
      </w:hyperlink>
    </w:p>
    <w:p w14:paraId="4F17B2C8" w14:textId="0E0498C0"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26" w:history="1">
        <w:r w:rsidR="008713F0" w:rsidRPr="0017505D">
          <w:rPr>
            <w:rStyle w:val="Hyperlink"/>
          </w:rPr>
          <w:t>5.2.</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LQM strategy and plan</w:t>
        </w:r>
        <w:r w:rsidR="008713F0">
          <w:rPr>
            <w:webHidden/>
          </w:rPr>
          <w:tab/>
        </w:r>
        <w:r w:rsidR="008713F0">
          <w:rPr>
            <w:webHidden/>
          </w:rPr>
          <w:fldChar w:fldCharType="begin"/>
        </w:r>
        <w:r w:rsidR="008713F0">
          <w:rPr>
            <w:webHidden/>
          </w:rPr>
          <w:instrText xml:space="preserve"> PAGEREF _Toc183698826 \h </w:instrText>
        </w:r>
        <w:r w:rsidR="008713F0">
          <w:rPr>
            <w:webHidden/>
          </w:rPr>
        </w:r>
        <w:r w:rsidR="008713F0">
          <w:rPr>
            <w:webHidden/>
          </w:rPr>
          <w:fldChar w:fldCharType="separate"/>
        </w:r>
        <w:r w:rsidR="008713F0">
          <w:rPr>
            <w:webHidden/>
          </w:rPr>
          <w:t>17</w:t>
        </w:r>
        <w:r w:rsidR="008713F0">
          <w:rPr>
            <w:webHidden/>
          </w:rPr>
          <w:fldChar w:fldCharType="end"/>
        </w:r>
      </w:hyperlink>
    </w:p>
    <w:p w14:paraId="5B32784C" w14:textId="7315B76E"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27" w:history="1">
        <w:r w:rsidR="008713F0" w:rsidRPr="0017505D">
          <w:rPr>
            <w:rStyle w:val="Hyperlink"/>
          </w:rPr>
          <w:t>5.3.</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Prevention and limitation of new contamination</w:t>
        </w:r>
        <w:r w:rsidR="008713F0">
          <w:rPr>
            <w:webHidden/>
          </w:rPr>
          <w:tab/>
        </w:r>
        <w:r w:rsidR="008713F0">
          <w:rPr>
            <w:webHidden/>
          </w:rPr>
          <w:fldChar w:fldCharType="begin"/>
        </w:r>
        <w:r w:rsidR="008713F0">
          <w:rPr>
            <w:webHidden/>
          </w:rPr>
          <w:instrText xml:space="preserve"> PAGEREF _Toc183698827 \h </w:instrText>
        </w:r>
        <w:r w:rsidR="008713F0">
          <w:rPr>
            <w:webHidden/>
          </w:rPr>
        </w:r>
        <w:r w:rsidR="008713F0">
          <w:rPr>
            <w:webHidden/>
          </w:rPr>
          <w:fldChar w:fldCharType="separate"/>
        </w:r>
        <w:r w:rsidR="008713F0">
          <w:rPr>
            <w:webHidden/>
          </w:rPr>
          <w:t>18</w:t>
        </w:r>
        <w:r w:rsidR="008713F0">
          <w:rPr>
            <w:webHidden/>
          </w:rPr>
          <w:fldChar w:fldCharType="end"/>
        </w:r>
      </w:hyperlink>
    </w:p>
    <w:p w14:paraId="3A3DED0D" w14:textId="2ADF6786"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28" w:history="1">
        <w:r w:rsidR="008713F0" w:rsidRPr="0017505D">
          <w:rPr>
            <w:rStyle w:val="Hyperlink"/>
          </w:rPr>
          <w:t>5.4.</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Understanding of the land quality characteristics of the site</w:t>
        </w:r>
        <w:r w:rsidR="008713F0">
          <w:rPr>
            <w:webHidden/>
          </w:rPr>
          <w:tab/>
        </w:r>
        <w:r w:rsidR="008713F0">
          <w:rPr>
            <w:webHidden/>
          </w:rPr>
          <w:fldChar w:fldCharType="begin"/>
        </w:r>
        <w:r w:rsidR="008713F0">
          <w:rPr>
            <w:webHidden/>
          </w:rPr>
          <w:instrText xml:space="preserve"> PAGEREF _Toc183698828 \h </w:instrText>
        </w:r>
        <w:r w:rsidR="008713F0">
          <w:rPr>
            <w:webHidden/>
          </w:rPr>
        </w:r>
        <w:r w:rsidR="008713F0">
          <w:rPr>
            <w:webHidden/>
          </w:rPr>
          <w:fldChar w:fldCharType="separate"/>
        </w:r>
        <w:r w:rsidR="008713F0">
          <w:rPr>
            <w:webHidden/>
          </w:rPr>
          <w:t>19</w:t>
        </w:r>
        <w:r w:rsidR="008713F0">
          <w:rPr>
            <w:webHidden/>
          </w:rPr>
          <w:fldChar w:fldCharType="end"/>
        </w:r>
      </w:hyperlink>
    </w:p>
    <w:p w14:paraId="74BBE5B5" w14:textId="50FC0E53"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29" w:history="1">
        <w:r w:rsidR="008713F0" w:rsidRPr="0017505D">
          <w:rPr>
            <w:rStyle w:val="Hyperlink"/>
          </w:rPr>
          <w:t>5.5.</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Manage land quality to mitigate risks</w:t>
        </w:r>
        <w:r w:rsidR="008713F0">
          <w:rPr>
            <w:webHidden/>
          </w:rPr>
          <w:tab/>
        </w:r>
        <w:r w:rsidR="008713F0">
          <w:rPr>
            <w:webHidden/>
          </w:rPr>
          <w:fldChar w:fldCharType="begin"/>
        </w:r>
        <w:r w:rsidR="008713F0">
          <w:rPr>
            <w:webHidden/>
          </w:rPr>
          <w:instrText xml:space="preserve"> PAGEREF _Toc183698829 \h </w:instrText>
        </w:r>
        <w:r w:rsidR="008713F0">
          <w:rPr>
            <w:webHidden/>
          </w:rPr>
        </w:r>
        <w:r w:rsidR="008713F0">
          <w:rPr>
            <w:webHidden/>
          </w:rPr>
          <w:fldChar w:fldCharType="separate"/>
        </w:r>
        <w:r w:rsidR="008713F0">
          <w:rPr>
            <w:webHidden/>
          </w:rPr>
          <w:t>21</w:t>
        </w:r>
        <w:r w:rsidR="008713F0">
          <w:rPr>
            <w:webHidden/>
          </w:rPr>
          <w:fldChar w:fldCharType="end"/>
        </w:r>
      </w:hyperlink>
    </w:p>
    <w:p w14:paraId="676856B9" w14:textId="0E68077E"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30" w:history="1">
        <w:r w:rsidR="008713F0" w:rsidRPr="0017505D">
          <w:rPr>
            <w:rStyle w:val="Hyperlink"/>
          </w:rPr>
          <w:t>5.6.</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Work with stakeholders and other interested parties</w:t>
        </w:r>
        <w:r w:rsidR="008713F0">
          <w:rPr>
            <w:webHidden/>
          </w:rPr>
          <w:tab/>
        </w:r>
        <w:r w:rsidR="008713F0">
          <w:rPr>
            <w:webHidden/>
          </w:rPr>
          <w:fldChar w:fldCharType="begin"/>
        </w:r>
        <w:r w:rsidR="008713F0">
          <w:rPr>
            <w:webHidden/>
          </w:rPr>
          <w:instrText xml:space="preserve"> PAGEREF _Toc183698830 \h </w:instrText>
        </w:r>
        <w:r w:rsidR="008713F0">
          <w:rPr>
            <w:webHidden/>
          </w:rPr>
        </w:r>
        <w:r w:rsidR="008713F0">
          <w:rPr>
            <w:webHidden/>
          </w:rPr>
          <w:fldChar w:fldCharType="separate"/>
        </w:r>
        <w:r w:rsidR="008713F0">
          <w:rPr>
            <w:webHidden/>
          </w:rPr>
          <w:t>25</w:t>
        </w:r>
        <w:r w:rsidR="008713F0">
          <w:rPr>
            <w:webHidden/>
          </w:rPr>
          <w:fldChar w:fldCharType="end"/>
        </w:r>
      </w:hyperlink>
    </w:p>
    <w:p w14:paraId="28D3EEB8" w14:textId="03A36874" w:rsidR="008713F0" w:rsidRDefault="00D02158">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698831" w:history="1">
        <w:r w:rsidR="008713F0" w:rsidRPr="0017505D">
          <w:rPr>
            <w:rStyle w:val="Hyperlink"/>
          </w:rPr>
          <w:t>5.7.</w:t>
        </w:r>
        <w:r w:rsidR="008713F0">
          <w:rPr>
            <w:rFonts w:asciiTheme="minorHAnsi" w:eastAsiaTheme="minorEastAsia" w:hAnsiTheme="minorHAnsi" w:cstheme="minorBidi"/>
            <w:kern w:val="2"/>
            <w:sz w:val="22"/>
            <w:lang w:eastAsia="en-GB" w:bidi="ar-SA"/>
            <w14:ligatures w14:val="standardContextual"/>
          </w:rPr>
          <w:tab/>
        </w:r>
        <w:r w:rsidR="008713F0" w:rsidRPr="0017505D">
          <w:rPr>
            <w:rStyle w:val="Hyperlink"/>
          </w:rPr>
          <w:t>Maintenance of records</w:t>
        </w:r>
        <w:r w:rsidR="008713F0">
          <w:rPr>
            <w:webHidden/>
          </w:rPr>
          <w:tab/>
        </w:r>
        <w:r w:rsidR="008713F0">
          <w:rPr>
            <w:webHidden/>
          </w:rPr>
          <w:fldChar w:fldCharType="begin"/>
        </w:r>
        <w:r w:rsidR="008713F0">
          <w:rPr>
            <w:webHidden/>
          </w:rPr>
          <w:instrText xml:space="preserve"> PAGEREF _Toc183698831 \h </w:instrText>
        </w:r>
        <w:r w:rsidR="008713F0">
          <w:rPr>
            <w:webHidden/>
          </w:rPr>
        </w:r>
        <w:r w:rsidR="008713F0">
          <w:rPr>
            <w:webHidden/>
          </w:rPr>
          <w:fldChar w:fldCharType="separate"/>
        </w:r>
        <w:r w:rsidR="008713F0">
          <w:rPr>
            <w:webHidden/>
          </w:rPr>
          <w:t>26</w:t>
        </w:r>
        <w:r w:rsidR="008713F0">
          <w:rPr>
            <w:webHidden/>
          </w:rPr>
          <w:fldChar w:fldCharType="end"/>
        </w:r>
      </w:hyperlink>
    </w:p>
    <w:p w14:paraId="6579D7D1" w14:textId="5756214E" w:rsidR="008713F0" w:rsidRDefault="00D02158">
      <w:pPr>
        <w:pStyle w:val="TOC1"/>
        <w:rPr>
          <w:rFonts w:asciiTheme="minorHAnsi" w:eastAsiaTheme="minorEastAsia" w:hAnsiTheme="minorHAnsi" w:cstheme="minorBidi"/>
          <w:kern w:val="2"/>
          <w:sz w:val="22"/>
          <w:lang w:eastAsia="en-GB" w:bidi="ar-SA"/>
          <w14:ligatures w14:val="standardContextual"/>
        </w:rPr>
      </w:pPr>
      <w:hyperlink w:anchor="_Toc183698832" w:history="1">
        <w:r w:rsidR="008713F0" w:rsidRPr="0017505D">
          <w:rPr>
            <w:rStyle w:val="Hyperlink"/>
          </w:rPr>
          <w:t>Appendix 1 – Additional relevant licence conditions</w:t>
        </w:r>
        <w:r w:rsidR="008713F0">
          <w:rPr>
            <w:webHidden/>
          </w:rPr>
          <w:tab/>
        </w:r>
        <w:r w:rsidR="008713F0">
          <w:rPr>
            <w:webHidden/>
          </w:rPr>
          <w:fldChar w:fldCharType="begin"/>
        </w:r>
        <w:r w:rsidR="008713F0">
          <w:rPr>
            <w:webHidden/>
          </w:rPr>
          <w:instrText xml:space="preserve"> PAGEREF _Toc183698832 \h </w:instrText>
        </w:r>
        <w:r w:rsidR="008713F0">
          <w:rPr>
            <w:webHidden/>
          </w:rPr>
        </w:r>
        <w:r w:rsidR="008713F0">
          <w:rPr>
            <w:webHidden/>
          </w:rPr>
          <w:fldChar w:fldCharType="separate"/>
        </w:r>
        <w:r w:rsidR="008713F0">
          <w:rPr>
            <w:webHidden/>
          </w:rPr>
          <w:t>28</w:t>
        </w:r>
        <w:r w:rsidR="008713F0">
          <w:rPr>
            <w:webHidden/>
          </w:rPr>
          <w:fldChar w:fldCharType="end"/>
        </w:r>
      </w:hyperlink>
    </w:p>
    <w:p w14:paraId="0E595800" w14:textId="50856E08" w:rsidR="008713F0" w:rsidRDefault="00D02158">
      <w:pPr>
        <w:pStyle w:val="TOC1"/>
        <w:rPr>
          <w:rFonts w:asciiTheme="minorHAnsi" w:eastAsiaTheme="minorEastAsia" w:hAnsiTheme="minorHAnsi" w:cstheme="minorBidi"/>
          <w:kern w:val="2"/>
          <w:sz w:val="22"/>
          <w:lang w:eastAsia="en-GB" w:bidi="ar-SA"/>
          <w14:ligatures w14:val="standardContextual"/>
        </w:rPr>
      </w:pPr>
      <w:hyperlink w:anchor="_Toc183698833" w:history="1">
        <w:r w:rsidR="008713F0" w:rsidRPr="0017505D">
          <w:rPr>
            <w:rStyle w:val="Hyperlink"/>
          </w:rPr>
          <w:t>Appendix 2 – Sources of relevant good practice</w:t>
        </w:r>
        <w:r w:rsidR="008713F0">
          <w:rPr>
            <w:webHidden/>
          </w:rPr>
          <w:tab/>
        </w:r>
        <w:r w:rsidR="008713F0">
          <w:rPr>
            <w:webHidden/>
          </w:rPr>
          <w:fldChar w:fldCharType="begin"/>
        </w:r>
        <w:r w:rsidR="008713F0">
          <w:rPr>
            <w:webHidden/>
          </w:rPr>
          <w:instrText xml:space="preserve"> PAGEREF _Toc183698833 \h </w:instrText>
        </w:r>
        <w:r w:rsidR="008713F0">
          <w:rPr>
            <w:webHidden/>
          </w:rPr>
        </w:r>
        <w:r w:rsidR="008713F0">
          <w:rPr>
            <w:webHidden/>
          </w:rPr>
          <w:fldChar w:fldCharType="separate"/>
        </w:r>
        <w:r w:rsidR="008713F0">
          <w:rPr>
            <w:webHidden/>
          </w:rPr>
          <w:t>31</w:t>
        </w:r>
        <w:r w:rsidR="008713F0">
          <w:rPr>
            <w:webHidden/>
          </w:rPr>
          <w:fldChar w:fldCharType="end"/>
        </w:r>
      </w:hyperlink>
    </w:p>
    <w:p w14:paraId="1491C122" w14:textId="1160FFF1" w:rsidR="008713F0" w:rsidRDefault="00D02158">
      <w:pPr>
        <w:pStyle w:val="TOC1"/>
        <w:rPr>
          <w:rFonts w:asciiTheme="minorHAnsi" w:eastAsiaTheme="minorEastAsia" w:hAnsiTheme="minorHAnsi" w:cstheme="minorBidi"/>
          <w:kern w:val="2"/>
          <w:sz w:val="22"/>
          <w:lang w:eastAsia="en-GB" w:bidi="ar-SA"/>
          <w14:ligatures w14:val="standardContextual"/>
        </w:rPr>
      </w:pPr>
      <w:hyperlink w:anchor="_Toc183698834" w:history="1">
        <w:r w:rsidR="008713F0" w:rsidRPr="0017505D">
          <w:rPr>
            <w:rStyle w:val="Hyperlink"/>
          </w:rPr>
          <w:t>References</w:t>
        </w:r>
        <w:r w:rsidR="008713F0">
          <w:rPr>
            <w:webHidden/>
          </w:rPr>
          <w:tab/>
        </w:r>
        <w:r w:rsidR="008713F0">
          <w:rPr>
            <w:webHidden/>
          </w:rPr>
          <w:fldChar w:fldCharType="begin"/>
        </w:r>
        <w:r w:rsidR="008713F0">
          <w:rPr>
            <w:webHidden/>
          </w:rPr>
          <w:instrText xml:space="preserve"> PAGEREF _Toc183698834 \h </w:instrText>
        </w:r>
        <w:r w:rsidR="008713F0">
          <w:rPr>
            <w:webHidden/>
          </w:rPr>
        </w:r>
        <w:r w:rsidR="008713F0">
          <w:rPr>
            <w:webHidden/>
          </w:rPr>
          <w:fldChar w:fldCharType="separate"/>
        </w:r>
        <w:r w:rsidR="008713F0">
          <w:rPr>
            <w:webHidden/>
          </w:rPr>
          <w:t>37</w:t>
        </w:r>
        <w:r w:rsidR="008713F0">
          <w:rPr>
            <w:webHidden/>
          </w:rPr>
          <w:fldChar w:fldCharType="end"/>
        </w:r>
      </w:hyperlink>
    </w:p>
    <w:p w14:paraId="36AAF39E" w14:textId="48A754CD" w:rsidR="008713F0" w:rsidRDefault="00D02158">
      <w:pPr>
        <w:pStyle w:val="TOC1"/>
        <w:rPr>
          <w:rFonts w:asciiTheme="minorHAnsi" w:eastAsiaTheme="minorEastAsia" w:hAnsiTheme="minorHAnsi" w:cstheme="minorBidi"/>
          <w:kern w:val="2"/>
          <w:sz w:val="22"/>
          <w:lang w:eastAsia="en-GB" w:bidi="ar-SA"/>
          <w14:ligatures w14:val="standardContextual"/>
        </w:rPr>
      </w:pPr>
      <w:hyperlink w:anchor="_Toc183698835" w:history="1">
        <w:r w:rsidR="008713F0" w:rsidRPr="0017505D">
          <w:rPr>
            <w:rStyle w:val="Hyperlink"/>
          </w:rPr>
          <w:t>Glossary and abbreviations</w:t>
        </w:r>
        <w:r w:rsidR="008713F0">
          <w:rPr>
            <w:webHidden/>
          </w:rPr>
          <w:tab/>
        </w:r>
        <w:r w:rsidR="008713F0">
          <w:rPr>
            <w:webHidden/>
          </w:rPr>
          <w:fldChar w:fldCharType="begin"/>
        </w:r>
        <w:r w:rsidR="008713F0">
          <w:rPr>
            <w:webHidden/>
          </w:rPr>
          <w:instrText xml:space="preserve"> PAGEREF _Toc183698835 \h </w:instrText>
        </w:r>
        <w:r w:rsidR="008713F0">
          <w:rPr>
            <w:webHidden/>
          </w:rPr>
        </w:r>
        <w:r w:rsidR="008713F0">
          <w:rPr>
            <w:webHidden/>
          </w:rPr>
          <w:fldChar w:fldCharType="separate"/>
        </w:r>
        <w:r w:rsidR="008713F0">
          <w:rPr>
            <w:webHidden/>
          </w:rPr>
          <w:t>43</w:t>
        </w:r>
        <w:r w:rsidR="008713F0">
          <w:rPr>
            <w:webHidden/>
          </w:rPr>
          <w:fldChar w:fldCharType="end"/>
        </w:r>
      </w:hyperlink>
    </w:p>
    <w:p w14:paraId="0CC4B54A" w14:textId="5750CC10" w:rsidR="00267815" w:rsidRDefault="00266CD6"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endnotePr>
            <w:numFmt w:val="decimal"/>
          </w:endnotePr>
          <w:pgSz w:w="11906" w:h="16838" w:code="9"/>
          <w:pgMar w:top="1440" w:right="1440" w:bottom="1440" w:left="1440" w:header="397" w:footer="397" w:gutter="0"/>
          <w:cols w:space="312"/>
          <w:docGrid w:linePitch="360"/>
        </w:sectPr>
      </w:pPr>
    </w:p>
    <w:p w14:paraId="43A875A4" w14:textId="5DEDA49A" w:rsidR="008D49A5" w:rsidRDefault="008D49A5" w:rsidP="002D5F2E">
      <w:pPr>
        <w:pStyle w:val="Heading1"/>
        <w:numPr>
          <w:ilvl w:val="0"/>
          <w:numId w:val="36"/>
        </w:numPr>
        <w:ind w:left="851" w:hanging="851"/>
      </w:pPr>
      <w:bookmarkStart w:id="1" w:name="_Toc183698812"/>
      <w:bookmarkEnd w:id="0"/>
      <w:r w:rsidRPr="00E90780">
        <w:lastRenderedPageBreak/>
        <w:t>Introduction</w:t>
      </w:r>
      <w:bookmarkEnd w:id="1"/>
    </w:p>
    <w:p w14:paraId="39769A1F" w14:textId="6798A3DF" w:rsidR="008F7FA3" w:rsidRPr="008F7FA3" w:rsidRDefault="008D5BE2">
      <w:pPr>
        <w:pStyle w:val="F9-Paragraph"/>
        <w:numPr>
          <w:ilvl w:val="0"/>
          <w:numId w:val="29"/>
        </w:numPr>
        <w:spacing w:after="0"/>
        <w:ind w:left="851" w:hanging="851"/>
      </w:pPr>
      <w:bookmarkStart w:id="2" w:name="_Hlk64448648"/>
      <w:r>
        <w:t>T</w:t>
      </w:r>
      <w:r w:rsidRPr="00EE700F">
        <w:t>he Office for Nuclear Regulation (ONR)</w:t>
      </w:r>
      <w:r>
        <w:t xml:space="preserve"> </w:t>
      </w:r>
      <w:r w:rsidR="000950B3" w:rsidRPr="00712FD1">
        <w:t xml:space="preserve">has established its </w:t>
      </w:r>
      <w:r w:rsidR="000950B3" w:rsidRPr="001028BE">
        <w:t>Safety Assessment Principles</w:t>
      </w:r>
      <w:r w:rsidR="000950B3" w:rsidRPr="00712FD1">
        <w:t xml:space="preserve"> (SAPs)</w:t>
      </w:r>
      <w:r w:rsidR="00A9617A">
        <w:t xml:space="preserve"> </w:t>
      </w:r>
      <w:sdt>
        <w:sdtPr>
          <w:id w:val="631601588"/>
          <w:citation/>
        </w:sdtPr>
        <w:sdtEndPr/>
        <w:sdtContent>
          <w:r w:rsidR="00C048E8">
            <w:fldChar w:fldCharType="begin"/>
          </w:r>
          <w:r w:rsidR="00C048E8">
            <w:instrText xml:space="preserve"> CITATION Off20 \l 2057 </w:instrText>
          </w:r>
          <w:r w:rsidR="00C048E8">
            <w:fldChar w:fldCharType="separate"/>
          </w:r>
          <w:r w:rsidR="00B23A01">
            <w:rPr>
              <w:noProof/>
            </w:rPr>
            <w:t>[1]</w:t>
          </w:r>
          <w:r w:rsidR="00C048E8">
            <w:fldChar w:fldCharType="end"/>
          </w:r>
        </w:sdtContent>
      </w:sdt>
      <w:r w:rsidR="00562D5C">
        <w:t xml:space="preserve"> </w:t>
      </w:r>
      <w:r w:rsidR="000950B3" w:rsidRPr="00712FD1">
        <w:t>which apply to the assessment by ONR specialist inspectors of safety cases for nuclear facilities that may be operated by potential licensees, existing licensees, or other dutyholders.</w:t>
      </w:r>
      <w:r w:rsidR="000950B3">
        <w:t xml:space="preserve"> </w:t>
      </w:r>
      <w:r w:rsidR="00C048E8">
        <w:br/>
      </w:r>
      <w:r w:rsidR="000950B3" w:rsidRPr="00712FD1">
        <w:t>The principles presented in the SAPs are supported by a suite of guides to further assist ONR’s inspectors in their technical assessment work in support of making regulatory judgements and decisions. This technical assessment guide (TAG)</w:t>
      </w:r>
      <w:r w:rsidR="006816E0">
        <w:t xml:space="preserve"> </w:t>
      </w:r>
      <w:r w:rsidR="000950B3" w:rsidRPr="00712FD1">
        <w:t>is one of these guides.</w:t>
      </w:r>
      <w:r w:rsidR="008F7FA3">
        <w:t xml:space="preserve"> </w:t>
      </w:r>
      <w:bookmarkEnd w:id="2"/>
    </w:p>
    <w:p w14:paraId="126E6ACE" w14:textId="77777777" w:rsidR="00C048E8" w:rsidRDefault="00C048E8" w:rsidP="00E90780">
      <w:pPr>
        <w:pStyle w:val="Heading1"/>
        <w:sectPr w:rsidR="00C048E8" w:rsidSect="008A4D4B">
          <w:headerReference w:type="default" r:id="rId17"/>
          <w:footerReference w:type="default" r:id="rId18"/>
          <w:endnotePr>
            <w:numFmt w:val="decimal"/>
          </w:endnotePr>
          <w:pgSz w:w="11906" w:h="16838"/>
          <w:pgMar w:top="1440" w:right="1440" w:bottom="1440" w:left="1440" w:header="708" w:footer="708" w:gutter="0"/>
          <w:cols w:space="708"/>
          <w:docGrid w:linePitch="360"/>
        </w:sectPr>
      </w:pPr>
    </w:p>
    <w:p w14:paraId="05AAE39A" w14:textId="7002E0CA" w:rsidR="008D49A5" w:rsidRDefault="000950B3" w:rsidP="00E90780">
      <w:pPr>
        <w:pStyle w:val="Heading1"/>
      </w:pPr>
      <w:bookmarkStart w:id="3" w:name="_Toc183698813"/>
      <w:r>
        <w:lastRenderedPageBreak/>
        <w:t xml:space="preserve">Purpose and </w:t>
      </w:r>
      <w:r w:rsidR="001C19DE">
        <w:t>s</w:t>
      </w:r>
      <w:r>
        <w:t>cope</w:t>
      </w:r>
      <w:bookmarkEnd w:id="3"/>
    </w:p>
    <w:p w14:paraId="3D317436" w14:textId="77777777" w:rsidR="00EE700F" w:rsidRPr="00EE700F" w:rsidRDefault="00EE700F" w:rsidP="00EE700F">
      <w:pPr>
        <w:pStyle w:val="F9-Paragraph"/>
      </w:pPr>
      <w:r w:rsidRPr="00EE700F">
        <w:t>The purpose of this guidance is:</w:t>
      </w:r>
    </w:p>
    <w:p w14:paraId="2D441336" w14:textId="38F5A842" w:rsidR="00EE700F" w:rsidRPr="00EE700F" w:rsidRDefault="00EE700F" w:rsidP="006751A3">
      <w:pPr>
        <w:pStyle w:val="Bulletlist1"/>
      </w:pPr>
      <w:r w:rsidRPr="00EE700F">
        <w:t xml:space="preserve">to draw together those aspects of legislation, Government policy and international standards that are relevant to the work of </w:t>
      </w:r>
      <w:r w:rsidR="008D5BE2">
        <w:t>ONR</w:t>
      </w:r>
      <w:r w:rsidRPr="00EE700F">
        <w:t xml:space="preserve"> in regulating the management of land quality, including radioactively contaminated land</w:t>
      </w:r>
      <w:r w:rsidRPr="00EE700F">
        <w:rPr>
          <w:vertAlign w:val="superscript"/>
        </w:rPr>
        <w:footnoteReference w:id="2"/>
      </w:r>
      <w:r w:rsidRPr="00EE700F">
        <w:t xml:space="preserve"> and groundwater; </w:t>
      </w:r>
    </w:p>
    <w:p w14:paraId="27A1BF0F" w14:textId="311BFFBB" w:rsidR="00EE700F" w:rsidRPr="00EE700F" w:rsidRDefault="00EE700F" w:rsidP="006751A3">
      <w:pPr>
        <w:pStyle w:val="Bulletlist1"/>
      </w:pPr>
      <w:r w:rsidRPr="00EE700F">
        <w:t>to provide a framework for the assessment on a consistent basis of licensees’ arrangements for land quality management</w:t>
      </w:r>
      <w:r w:rsidR="008D0518">
        <w:t xml:space="preserve"> (LQM)</w:t>
      </w:r>
      <w:r w:rsidRPr="00EE700F">
        <w:t>; and</w:t>
      </w:r>
    </w:p>
    <w:p w14:paraId="032B5E05" w14:textId="29744EEF" w:rsidR="00EE700F" w:rsidRPr="00EE700F" w:rsidRDefault="00EE700F" w:rsidP="006751A3">
      <w:pPr>
        <w:pStyle w:val="Bulletlist1"/>
      </w:pPr>
      <w:r w:rsidRPr="00EE700F">
        <w:t>to outline the mechanisms of working with the environmental regulators</w:t>
      </w:r>
      <w:r w:rsidRPr="00EE700F">
        <w:rPr>
          <w:vertAlign w:val="superscript"/>
        </w:rPr>
        <w:footnoteReference w:id="3"/>
      </w:r>
      <w:r w:rsidRPr="00EE700F">
        <w:t xml:space="preserve"> or the local authority, with whom joint working on matters of land quality is essential.</w:t>
      </w:r>
    </w:p>
    <w:p w14:paraId="31C2A8CE" w14:textId="780ECDAB" w:rsidR="00EE700F" w:rsidRPr="00EE700F" w:rsidRDefault="00EE700F" w:rsidP="00EE700F">
      <w:pPr>
        <w:pStyle w:val="F9-Paragraph"/>
      </w:pPr>
      <w:r w:rsidRPr="00EE700F">
        <w:t>LQM is defined by ONR to include the prevention of new contamination and management of existing contamination of both land and groundwater and extends to remediation (including control and monitoring) of radioactive and non-radioactive contamination on the surface of the ground, in the ground, and in groundwater. As LQM includes preventative measures, it is required irrespective of whether or not any contamination currently exists.</w:t>
      </w:r>
    </w:p>
    <w:p w14:paraId="13D2A927" w14:textId="4B1CB518" w:rsidR="00EE700F" w:rsidRPr="00EE700F" w:rsidRDefault="00EE700F" w:rsidP="00EE700F">
      <w:pPr>
        <w:pStyle w:val="F9-Paragraph"/>
      </w:pPr>
      <w:r w:rsidRPr="00EE700F">
        <w:t xml:space="preserve">On </w:t>
      </w:r>
      <w:r w:rsidR="008D0518">
        <w:t>Great Britain (</w:t>
      </w:r>
      <w:r w:rsidRPr="00EE700F">
        <w:t>GB</w:t>
      </w:r>
      <w:r w:rsidR="008D0518">
        <w:t>)</w:t>
      </w:r>
      <w:r w:rsidRPr="00EE700F">
        <w:t xml:space="preserve"> nuclear sites, both ONR and the environmental regulators have roles for regulating land and groundwater contamination. When investigating and remediating such land, licensees must take account of all relevant UK legislation and policy when developing and executing plans for clean-up or on-site disposals. ONR will take the lead regulatory role for instances of radioactive contamination and this TAG deals solely with radioactively contaminated land and groundwater.</w:t>
      </w:r>
    </w:p>
    <w:p w14:paraId="13AFFE22" w14:textId="1EB92DEA" w:rsidR="00EE700F" w:rsidRPr="00EE700F" w:rsidRDefault="00EE700F" w:rsidP="00EE700F">
      <w:pPr>
        <w:pStyle w:val="F9-Paragraph"/>
      </w:pPr>
      <w:r w:rsidRPr="00EE700F">
        <w:t>ONR has a Memorandum of Understanding (MoU) with each of the environmental regulators on matters of mutual interest on nuclear licensed sites</w:t>
      </w:r>
      <w:r w:rsidR="00C048E8">
        <w:t xml:space="preserve"> </w:t>
      </w:r>
      <w:sdt>
        <w:sdtPr>
          <w:id w:val="-900902474"/>
          <w:citation/>
        </w:sdtPr>
        <w:sdtEndPr/>
        <w:sdtContent>
          <w:r w:rsidR="00C048E8">
            <w:fldChar w:fldCharType="begin"/>
          </w:r>
          <w:r w:rsidR="00C048E8">
            <w:instrText xml:space="preserve"> CITATION ONR15 \l 2057  \m ONR19 \m ONR151</w:instrText>
          </w:r>
          <w:r w:rsidR="00C048E8">
            <w:fldChar w:fldCharType="separate"/>
          </w:r>
          <w:r w:rsidR="00B23A01">
            <w:rPr>
              <w:noProof/>
            </w:rPr>
            <w:t>[2, 3, 4]</w:t>
          </w:r>
          <w:r w:rsidR="00C048E8">
            <w:fldChar w:fldCharType="end"/>
          </w:r>
        </w:sdtContent>
      </w:sdt>
      <w:r w:rsidRPr="00EE700F">
        <w:t xml:space="preserve">, and supporting joint regulatory guidance to their inspectors concerning the working-level implementation of the MoUs </w:t>
      </w:r>
      <w:sdt>
        <w:sdtPr>
          <w:id w:val="31085335"/>
          <w:citation/>
        </w:sdtPr>
        <w:sdtEndPr/>
        <w:sdtContent>
          <w:r w:rsidR="00C048E8">
            <w:fldChar w:fldCharType="begin"/>
          </w:r>
          <w:r w:rsidR="00C048E8">
            <w:instrText xml:space="preserve">CITATION ONR18 \m ONR191 \m ONR192 \l 2057 </w:instrText>
          </w:r>
          <w:r w:rsidR="00C048E8">
            <w:fldChar w:fldCharType="separate"/>
          </w:r>
          <w:r w:rsidR="00B23A01">
            <w:rPr>
              <w:noProof/>
            </w:rPr>
            <w:t>[5, 6, 7]</w:t>
          </w:r>
          <w:r w:rsidR="00C048E8">
            <w:fldChar w:fldCharType="end"/>
          </w:r>
        </w:sdtContent>
      </w:sdt>
      <w:r w:rsidR="00562D5C">
        <w:t>.</w:t>
      </w:r>
    </w:p>
    <w:p w14:paraId="46CD5E96" w14:textId="5E375DC5" w:rsidR="00C048E8" w:rsidRDefault="00EE700F" w:rsidP="00B27F3C">
      <w:pPr>
        <w:pStyle w:val="F9-Paragraph"/>
        <w:sectPr w:rsidR="00C048E8" w:rsidSect="008A4D4B">
          <w:endnotePr>
            <w:numFmt w:val="decimal"/>
          </w:endnotePr>
          <w:pgSz w:w="11906" w:h="16838"/>
          <w:pgMar w:top="1440" w:right="1440" w:bottom="1440" w:left="1440" w:header="708" w:footer="708" w:gutter="0"/>
          <w:cols w:space="708"/>
          <w:docGrid w:linePitch="360"/>
        </w:sectPr>
      </w:pPr>
      <w:r w:rsidRPr="00EE700F">
        <w:t xml:space="preserve">ONR does not prescribe targets or methodologies for licensees to follow to achieve compliance with the Licence Conditions </w:t>
      </w:r>
      <w:r w:rsidR="009C76BE">
        <w:t xml:space="preserve">(LCs) </w:t>
      </w:r>
      <w:r w:rsidRPr="00EE700F">
        <w:t>or the SAPs. It is the licensee’s responsibility to set out how it will achieve compliance and for ONR to assess whether the arrangements are adequate.</w:t>
      </w:r>
      <w:r w:rsidR="004B00F2">
        <w:t xml:space="preserve"> </w:t>
      </w:r>
    </w:p>
    <w:p w14:paraId="6E712D03" w14:textId="227B32C1" w:rsidR="009E0E52" w:rsidRDefault="000950B3" w:rsidP="00E90780">
      <w:pPr>
        <w:pStyle w:val="Heading1"/>
      </w:pPr>
      <w:bookmarkStart w:id="4" w:name="_Ref183687968"/>
      <w:bookmarkStart w:id="5" w:name="_Toc183698814"/>
      <w:r>
        <w:lastRenderedPageBreak/>
        <w:t xml:space="preserve">Relationship to </w:t>
      </w:r>
      <w:r w:rsidR="001C19DE">
        <w:t>l</w:t>
      </w:r>
      <w:r>
        <w:t xml:space="preserve">icence and other </w:t>
      </w:r>
      <w:r w:rsidR="001C19DE">
        <w:t>r</w:t>
      </w:r>
      <w:r>
        <w:t xml:space="preserve">elevant </w:t>
      </w:r>
      <w:r w:rsidR="001C19DE">
        <w:t>l</w:t>
      </w:r>
      <w:r>
        <w:t>egislation</w:t>
      </w:r>
      <w:bookmarkEnd w:id="4"/>
      <w:bookmarkEnd w:id="5"/>
      <w:r>
        <w:t xml:space="preserve"> </w:t>
      </w:r>
    </w:p>
    <w:p w14:paraId="078DAAE6" w14:textId="4286CC52" w:rsidR="008B2C9C" w:rsidRPr="00BA1FE9" w:rsidRDefault="008B2C9C" w:rsidP="008B2C9C">
      <w:pPr>
        <w:pStyle w:val="F9-Paragraph"/>
      </w:pPr>
      <w:r>
        <w:t>A</w:t>
      </w:r>
      <w:r w:rsidRPr="002534D7">
        <w:t xml:space="preserve">s stated in </w:t>
      </w:r>
      <w:r>
        <w:t>Licence Condition (LC)</w:t>
      </w:r>
      <w:r w:rsidRPr="002534D7">
        <w:t xml:space="preserve"> 1 in the </w:t>
      </w:r>
      <w:r w:rsidR="009C76BE">
        <w:t>‘</w:t>
      </w:r>
      <w:r>
        <w:t>Licence Condition</w:t>
      </w:r>
      <w:r w:rsidRPr="002534D7">
        <w:t xml:space="preserve"> Handbook</w:t>
      </w:r>
      <w:r w:rsidR="009C76BE">
        <w:t>’</w:t>
      </w:r>
      <w:r w:rsidR="00C048E8">
        <w:t xml:space="preserve"> </w:t>
      </w:r>
      <w:sdt>
        <w:sdtPr>
          <w:id w:val="-1362347521"/>
          <w:citation/>
        </w:sdtPr>
        <w:sdtEndPr/>
        <w:sdtContent>
          <w:r w:rsidR="00C048E8">
            <w:fldChar w:fldCharType="begin"/>
          </w:r>
          <w:r w:rsidR="00C048E8">
            <w:instrText xml:space="preserve"> CITATION ONR172 \l 2057 </w:instrText>
          </w:r>
          <w:r w:rsidR="00C048E8">
            <w:fldChar w:fldCharType="separate"/>
          </w:r>
          <w:r w:rsidR="00B23A01">
            <w:rPr>
              <w:noProof/>
            </w:rPr>
            <w:t>[8]</w:t>
          </w:r>
          <w:r w:rsidR="00C048E8">
            <w:fldChar w:fldCharType="end"/>
          </w:r>
        </w:sdtContent>
      </w:sdt>
      <w:r w:rsidRPr="002534D7">
        <w:t xml:space="preserve">, ONR has chosen to adopt similar definitions of </w:t>
      </w:r>
      <w:r w:rsidR="00B440E3">
        <w:t>‘</w:t>
      </w:r>
      <w:r w:rsidRPr="002534D7">
        <w:t>radioactive material</w:t>
      </w:r>
      <w:r w:rsidR="00B440E3">
        <w:t>’</w:t>
      </w:r>
      <w:r w:rsidRPr="002534D7">
        <w:t xml:space="preserve"> and </w:t>
      </w:r>
      <w:r w:rsidR="00B440E3">
        <w:t>‘</w:t>
      </w:r>
      <w:r w:rsidRPr="002534D7">
        <w:t>radioactive waste</w:t>
      </w:r>
      <w:r w:rsidR="00B440E3">
        <w:t>’</w:t>
      </w:r>
      <w:r w:rsidRPr="002534D7">
        <w:t xml:space="preserve"> to those </w:t>
      </w:r>
      <w:r>
        <w:t>contained with</w:t>
      </w:r>
      <w:r w:rsidRPr="002534D7">
        <w:t xml:space="preserve">in the </w:t>
      </w:r>
      <w:r w:rsidRPr="00792D13">
        <w:t>Radioactive Substances Regulation</w:t>
      </w:r>
      <w:r>
        <w:t xml:space="preserve"> (RSR)</w:t>
      </w:r>
      <w:r w:rsidR="00B440E3">
        <w:t>,</w:t>
      </w:r>
      <w:r>
        <w:t xml:space="preserve"> enforced by the environmental regulators</w:t>
      </w:r>
      <w:r w:rsidRPr="002534D7">
        <w:t>,</w:t>
      </w:r>
      <w:r>
        <w:t xml:space="preserve"> encompassing </w:t>
      </w:r>
      <w:r w:rsidR="00B440E3">
        <w:t>T</w:t>
      </w:r>
      <w:r>
        <w:t xml:space="preserve">he </w:t>
      </w:r>
      <w:r w:rsidRPr="00BA1FE9">
        <w:t xml:space="preserve">Environmental Permitting (England and Wales) Regulations 2016 (EPR16) and </w:t>
      </w:r>
      <w:r w:rsidR="00B440E3">
        <w:t>T</w:t>
      </w:r>
      <w:r w:rsidRPr="00BA1FE9">
        <w:t>he Environmental Authorisations (Scotland) Regulations 2018 (EASR</w:t>
      </w:r>
      <w:r w:rsidR="00F00B8C">
        <w:t>18</w:t>
      </w:r>
      <w:r w:rsidRPr="00BA1FE9">
        <w:t>)</w:t>
      </w:r>
      <w:r>
        <w:t xml:space="preserve">. </w:t>
      </w:r>
      <w:r w:rsidRPr="00BA1FE9">
        <w:t>These regulations differ in some aspects of detail but are sufficiently similar in aims and implementation that they can be regarded as providing a common framework</w:t>
      </w:r>
      <w:r>
        <w:t>.</w:t>
      </w:r>
    </w:p>
    <w:p w14:paraId="60E1FB31" w14:textId="0B761B70" w:rsidR="008B2C9C" w:rsidRDefault="008B2C9C" w:rsidP="008B2C9C">
      <w:pPr>
        <w:pStyle w:val="F9-Paragraph"/>
      </w:pPr>
      <w:r>
        <w:t>It should be noted that LC</w:t>
      </w:r>
      <w:r w:rsidR="00C048E8">
        <w:t xml:space="preserve"> </w:t>
      </w:r>
      <w:r>
        <w:t>1 is yet to be amended to reflect EASR</w:t>
      </w:r>
      <w:r w:rsidR="00F00B8C">
        <w:t>18</w:t>
      </w:r>
      <w:r>
        <w:t xml:space="preserve"> which came into force on 1 September 2018, replacing the </w:t>
      </w:r>
      <w:r w:rsidRPr="00F00826">
        <w:t xml:space="preserve">Radioactive Substances Act 1993 (RSA93), associated Exemption Order and </w:t>
      </w:r>
      <w:r w:rsidR="00B440E3">
        <w:t>T</w:t>
      </w:r>
      <w:r w:rsidRPr="00F00826">
        <w:t>he High-Activity Sealed Sources and Orphan Sources Regulations 2005.</w:t>
      </w:r>
      <w:r>
        <w:t xml:space="preserve"> LC</w:t>
      </w:r>
      <w:r w:rsidR="00C048E8">
        <w:t xml:space="preserve"> </w:t>
      </w:r>
      <w:r>
        <w:t>1 will be updated in due course</w:t>
      </w:r>
      <w:r w:rsidR="00DA3272">
        <w:t xml:space="preserve"> but references to </w:t>
      </w:r>
      <w:r w:rsidR="00F00B8C">
        <w:t>RSA93 should be construed as meaning EASR18</w:t>
      </w:r>
      <w:r>
        <w:t>.</w:t>
      </w:r>
    </w:p>
    <w:p w14:paraId="586E6522" w14:textId="35A0BFC7" w:rsidR="008B2C9C" w:rsidRDefault="00991209" w:rsidP="000B40B5">
      <w:pPr>
        <w:pStyle w:val="F9-Paragraph"/>
      </w:pPr>
      <w:r>
        <w:t xml:space="preserve">Government </w:t>
      </w:r>
      <w:r w:rsidR="00346A80">
        <w:t>guidance</w:t>
      </w:r>
      <w:r w:rsidR="008F48EC">
        <w:t xml:space="preserve"> </w:t>
      </w:r>
      <w:r w:rsidR="00346A80">
        <w:t xml:space="preserve"> on radioactive</w:t>
      </w:r>
      <w:r>
        <w:t xml:space="preserve"> substances legislation </w:t>
      </w:r>
      <w:r w:rsidR="00D053A6">
        <w:t xml:space="preserve">shows that </w:t>
      </w:r>
      <w:r w:rsidR="00B2703D">
        <w:t xml:space="preserve">material that is </w:t>
      </w:r>
      <w:r w:rsidR="00D62C87">
        <w:t xml:space="preserve">unintentionally </w:t>
      </w:r>
      <w:r w:rsidR="00B2703D">
        <w:t xml:space="preserve">contaminated </w:t>
      </w:r>
      <w:r w:rsidR="00D62C87">
        <w:t xml:space="preserve">with radioactivity and which remains on the premises cannot be considered radioactive material and is out of scope </w:t>
      </w:r>
      <w:r w:rsidR="000B40B5">
        <w:t>of the legislation</w:t>
      </w:r>
      <w:r w:rsidR="00C048E8" w:rsidRPr="00C048E8">
        <w:t xml:space="preserve"> </w:t>
      </w:r>
      <w:sdt>
        <w:sdtPr>
          <w:id w:val="614955590"/>
          <w:citation/>
        </w:sdtPr>
        <w:sdtEndPr/>
        <w:sdtContent>
          <w:r w:rsidR="00C048E8">
            <w:fldChar w:fldCharType="begin"/>
          </w:r>
          <w:r w:rsidR="00C048E8">
            <w:instrText xml:space="preserve"> CITATION UKG18 \l 2057 </w:instrText>
          </w:r>
          <w:r w:rsidR="00C048E8">
            <w:fldChar w:fldCharType="separate"/>
          </w:r>
          <w:r w:rsidR="00B23A01">
            <w:rPr>
              <w:noProof/>
            </w:rPr>
            <w:t>[9]</w:t>
          </w:r>
          <w:r w:rsidR="00C048E8">
            <w:fldChar w:fldCharType="end"/>
          </w:r>
        </w:sdtContent>
      </w:sdt>
      <w:r w:rsidR="000B40B5">
        <w:t xml:space="preserve">. </w:t>
      </w:r>
      <w:r w:rsidR="002D3F6F">
        <w:t xml:space="preserve">The </w:t>
      </w:r>
      <w:r w:rsidR="008B2C9C">
        <w:t>LC</w:t>
      </w:r>
      <w:r w:rsidR="008B2C9C" w:rsidRPr="009A1B78">
        <w:t xml:space="preserve"> 1 definition of </w:t>
      </w:r>
      <w:r w:rsidR="00B440E3">
        <w:t>‘</w:t>
      </w:r>
      <w:r w:rsidR="008B2C9C" w:rsidRPr="009A1B78">
        <w:t>radioactive material</w:t>
      </w:r>
      <w:r w:rsidR="00B440E3">
        <w:t>’</w:t>
      </w:r>
      <w:r w:rsidR="008B2C9C">
        <w:t xml:space="preserve"> </w:t>
      </w:r>
      <w:r w:rsidR="002D3F6F">
        <w:t>disregards</w:t>
      </w:r>
      <w:r w:rsidR="008B2C9C">
        <w:t xml:space="preserve"> the </w:t>
      </w:r>
      <w:r w:rsidR="00EE556B">
        <w:t xml:space="preserve">EPR16 </w:t>
      </w:r>
      <w:r w:rsidR="008B2C9C">
        <w:t>exception for contaminated articles and substances</w:t>
      </w:r>
      <w:r w:rsidR="00E4554C">
        <w:t xml:space="preserve"> to ensure ONR retains regulatory control over the nuclear matter causing </w:t>
      </w:r>
      <w:r w:rsidR="00CE06FE">
        <w:t>such</w:t>
      </w:r>
      <w:r w:rsidR="00E4554C">
        <w:t xml:space="preserve"> contaminati</w:t>
      </w:r>
      <w:r w:rsidR="00876A47">
        <w:t>o</w:t>
      </w:r>
      <w:r w:rsidR="00E4554C">
        <w:t>n</w:t>
      </w:r>
      <w:r w:rsidR="008B2C9C">
        <w:t xml:space="preserve">. </w:t>
      </w:r>
      <w:r w:rsidR="00D32BAA">
        <w:t xml:space="preserve">There is no such exemption under EASR18. </w:t>
      </w:r>
      <w:r w:rsidR="008B2C9C">
        <w:t>T</w:t>
      </w:r>
      <w:r w:rsidR="008B2C9C" w:rsidRPr="009A1B78">
        <w:t xml:space="preserve">he effect of </w:t>
      </w:r>
      <w:r w:rsidR="008B2C9C">
        <w:t xml:space="preserve">this </w:t>
      </w:r>
      <w:r w:rsidR="00876A47">
        <w:t>i</w:t>
      </w:r>
      <w:r w:rsidR="008B2C9C" w:rsidRPr="009A1B78">
        <w:t xml:space="preserve">s </w:t>
      </w:r>
      <w:r w:rsidR="008B2C9C">
        <w:t>radioactively contaminated</w:t>
      </w:r>
      <w:r w:rsidR="008B2C9C" w:rsidRPr="009A1B78">
        <w:t xml:space="preserve"> land and groundwater </w:t>
      </w:r>
      <w:r w:rsidR="008B2C9C">
        <w:t>can be</w:t>
      </w:r>
      <w:r w:rsidR="008B2C9C" w:rsidRPr="009A1B78">
        <w:t xml:space="preserve"> regulated by ONR under relevant </w:t>
      </w:r>
      <w:r w:rsidR="00557E6B">
        <w:t>LCs</w:t>
      </w:r>
      <w:r w:rsidR="008B2C9C" w:rsidRPr="009A1B78">
        <w:t xml:space="preserve"> as radioactive material.</w:t>
      </w:r>
      <w:r w:rsidR="00AC7A90">
        <w:t xml:space="preserve"> </w:t>
      </w:r>
      <w:r w:rsidR="00175B79">
        <w:t>LQM activities may lead to the generation of radioactive waste which would be regulated</w:t>
      </w:r>
      <w:r w:rsidR="00754B67">
        <w:t xml:space="preserve"> under the permit as normal.</w:t>
      </w:r>
    </w:p>
    <w:p w14:paraId="742A9437" w14:textId="0A648067" w:rsidR="000950B3" w:rsidRPr="00140E1C" w:rsidRDefault="008B2C9C" w:rsidP="00E63168">
      <w:pPr>
        <w:pStyle w:val="F9-Paragraph"/>
      </w:pPr>
      <w:r>
        <w:t xml:space="preserve">ONR considers radioactively contaminated land and groundwater to be accumulations of nuclear matter, </w:t>
      </w:r>
      <w:r w:rsidR="00AF3E4F">
        <w:t xml:space="preserve">since </w:t>
      </w:r>
      <w:r w:rsidR="00836761">
        <w:t xml:space="preserve">any </w:t>
      </w:r>
      <w:r w:rsidR="004C4CC1">
        <w:t>radioactivit</w:t>
      </w:r>
      <w:r w:rsidR="00836761">
        <w:t>y</w:t>
      </w:r>
      <w:r w:rsidR="00C869CD">
        <w:t xml:space="preserve"> </w:t>
      </w:r>
      <w:r w:rsidR="00836761">
        <w:t xml:space="preserve">in the ground or groundwater </w:t>
      </w:r>
      <w:r w:rsidR="0021793F">
        <w:t xml:space="preserve">would not normally be </w:t>
      </w:r>
      <w:r w:rsidR="00C869CD">
        <w:t xml:space="preserve">considered to </w:t>
      </w:r>
      <w:r w:rsidR="00836761">
        <w:t>meet the general expectations for</w:t>
      </w:r>
      <w:r w:rsidR="00C869CD">
        <w:t xml:space="preserve"> stor</w:t>
      </w:r>
      <w:r w:rsidR="00836761">
        <w:t>age</w:t>
      </w:r>
      <w:r w:rsidR="0021793F">
        <w:t xml:space="preserve"> (</w:t>
      </w:r>
      <w:r w:rsidR="00C048E8">
        <w:t>refer to</w:t>
      </w:r>
      <w:r w:rsidR="0021793F">
        <w:t xml:space="preserve"> </w:t>
      </w:r>
      <w:hyperlink w:anchor="_Appendix_1_-" w:history="1">
        <w:r w:rsidR="0021793F" w:rsidRPr="00C048E8">
          <w:rPr>
            <w:rStyle w:val="Hyperlink"/>
          </w:rPr>
          <w:t>Appendix 1</w:t>
        </w:r>
      </w:hyperlink>
      <w:r w:rsidR="0021793F">
        <w:t>)</w:t>
      </w:r>
      <w:r>
        <w:t>.</w:t>
      </w:r>
    </w:p>
    <w:p w14:paraId="3AC1FAA9" w14:textId="14019556" w:rsidR="002C3A91" w:rsidRPr="008E0E29" w:rsidRDefault="002C3A91" w:rsidP="002C3A91">
      <w:pPr>
        <w:pStyle w:val="Heading2"/>
      </w:pPr>
      <w:bookmarkStart w:id="6" w:name="_Toc88037108"/>
      <w:bookmarkStart w:id="7" w:name="_Toc183698815"/>
      <w:r w:rsidRPr="008E0E29">
        <w:t xml:space="preserve">ONR’s </w:t>
      </w:r>
      <w:r w:rsidR="00C048E8">
        <w:t>n</w:t>
      </w:r>
      <w:r w:rsidRPr="008E0E29">
        <w:t xml:space="preserve">uclear </w:t>
      </w:r>
      <w:r w:rsidR="00C048E8">
        <w:t>s</w:t>
      </w:r>
      <w:r w:rsidRPr="008E0E29">
        <w:t xml:space="preserve">afety </w:t>
      </w:r>
      <w:r w:rsidR="00C048E8">
        <w:t>p</w:t>
      </w:r>
      <w:r w:rsidRPr="008E0E29">
        <w:t>urpose</w:t>
      </w:r>
      <w:r>
        <w:t>s</w:t>
      </w:r>
      <w:bookmarkEnd w:id="6"/>
      <w:bookmarkEnd w:id="7"/>
    </w:p>
    <w:p w14:paraId="3BA3D190" w14:textId="6A7FB93B" w:rsidR="008B2C9C" w:rsidRDefault="002C3A91" w:rsidP="00557E6B">
      <w:pPr>
        <w:pStyle w:val="F9-Paragraph"/>
      </w:pPr>
      <w:bookmarkStart w:id="8" w:name="_Ref411495844"/>
      <w:r w:rsidRPr="00D171EF">
        <w:t>Section 68 of the Energy Act 2013 (EA13) sets out ONR’s nuclear safety purposes to mean the purposes of protecting persons against risks of harm from ionising radiations from GB nuclear sites, and these include through arrangements to minimise those risks in the event of an escape or release of such ionising radiations. An escape or release of ionising radiations from a GB nuclear site includes ionising radiations from nuclear matter that has escaped or been released on or from a GB nuclear site.</w:t>
      </w:r>
      <w:bookmarkEnd w:id="8"/>
    </w:p>
    <w:p w14:paraId="1E8DF645" w14:textId="116F7B22" w:rsidR="005B1DD0" w:rsidRPr="00884AFF" w:rsidRDefault="005B1DD0" w:rsidP="00884AFF">
      <w:pPr>
        <w:pStyle w:val="Heading2"/>
      </w:pPr>
      <w:bookmarkStart w:id="9" w:name="_Toc88037109"/>
      <w:bookmarkStart w:id="10" w:name="_Toc183698816"/>
      <w:r w:rsidRPr="00884AFF">
        <w:lastRenderedPageBreak/>
        <w:t xml:space="preserve">Nuclear </w:t>
      </w:r>
      <w:r w:rsidR="00C048E8">
        <w:t>s</w:t>
      </w:r>
      <w:r w:rsidRPr="00884AFF">
        <w:t xml:space="preserve">ite </w:t>
      </w:r>
      <w:r w:rsidR="00C048E8">
        <w:t>li</w:t>
      </w:r>
      <w:r w:rsidRPr="00884AFF">
        <w:t>censing</w:t>
      </w:r>
      <w:bookmarkEnd w:id="9"/>
      <w:bookmarkEnd w:id="10"/>
    </w:p>
    <w:p w14:paraId="26F41DDF" w14:textId="3612F085" w:rsidR="00DD7752" w:rsidRDefault="005B1DD0" w:rsidP="005B1DD0">
      <w:pPr>
        <w:pStyle w:val="F9-Paragraph"/>
      </w:pPr>
      <w:r>
        <w:t>Under section 4 of NIA65, ONR has attached</w:t>
      </w:r>
      <w:r w:rsidRPr="002534D7">
        <w:t xml:space="preserve"> 36 </w:t>
      </w:r>
      <w:r>
        <w:t>standard condition</w:t>
      </w:r>
      <w:r w:rsidRPr="002534D7">
        <w:t xml:space="preserve">s to </w:t>
      </w:r>
      <w:r>
        <w:t>each nuclear</w:t>
      </w:r>
      <w:r w:rsidRPr="002534D7">
        <w:t xml:space="preserve"> site licence, </w:t>
      </w:r>
      <w:r w:rsidR="00B95A83">
        <w:t xml:space="preserve">as </w:t>
      </w:r>
      <w:r w:rsidRPr="002534D7">
        <w:t xml:space="preserve">described in the </w:t>
      </w:r>
      <w:r w:rsidR="00B95A83">
        <w:t>‘</w:t>
      </w:r>
      <w:r>
        <w:t>LC</w:t>
      </w:r>
      <w:r w:rsidRPr="002534D7">
        <w:t xml:space="preserve"> Handbook</w:t>
      </w:r>
      <w:r w:rsidR="00B95A83">
        <w:t>’</w:t>
      </w:r>
      <w:r w:rsidR="00557E6B">
        <w:t xml:space="preserve"> </w:t>
      </w:r>
      <w:sdt>
        <w:sdtPr>
          <w:id w:val="-494732592"/>
          <w:citation/>
        </w:sdtPr>
        <w:sdtEndPr/>
        <w:sdtContent>
          <w:r w:rsidR="00557E6B">
            <w:fldChar w:fldCharType="begin"/>
          </w:r>
          <w:r w:rsidR="00557E6B">
            <w:instrText xml:space="preserve"> CITATION ONR172 \l 2057 </w:instrText>
          </w:r>
          <w:r w:rsidR="00557E6B">
            <w:fldChar w:fldCharType="separate"/>
          </w:r>
          <w:r w:rsidR="00B23A01">
            <w:rPr>
              <w:noProof/>
            </w:rPr>
            <w:t>[8]</w:t>
          </w:r>
          <w:r w:rsidR="00557E6B">
            <w:fldChar w:fldCharType="end"/>
          </w:r>
        </w:sdtContent>
      </w:sdt>
      <w:r w:rsidRPr="002534D7">
        <w:t>.</w:t>
      </w:r>
      <w:r>
        <w:t xml:space="preserve"> </w:t>
      </w:r>
    </w:p>
    <w:p w14:paraId="472D82C4" w14:textId="1CF3E203" w:rsidR="005B1DD0" w:rsidRDefault="005B1DD0" w:rsidP="005B1DD0">
      <w:pPr>
        <w:pStyle w:val="F9-Paragraph"/>
      </w:pPr>
      <w:r>
        <w:t>All LCs apply to the extent that they are relevant. However</w:t>
      </w:r>
      <w:r w:rsidRPr="002534D7">
        <w:t xml:space="preserve">, </w:t>
      </w:r>
      <w:r>
        <w:t xml:space="preserve">several LCs have general applicability for the regulation of </w:t>
      </w:r>
      <w:r w:rsidRPr="002534D7">
        <w:t xml:space="preserve">LQM </w:t>
      </w:r>
      <w:r>
        <w:t>matters</w:t>
      </w:r>
      <w:r w:rsidR="006D1D5B">
        <w:t>;</w:t>
      </w:r>
      <w:r w:rsidR="00E42490">
        <w:t xml:space="preserve"> </w:t>
      </w:r>
      <w:r w:rsidR="006D1D5B">
        <w:t>these</w:t>
      </w:r>
      <w:r w:rsidR="00AE0A77">
        <w:t xml:space="preserve">, along with </w:t>
      </w:r>
      <w:r w:rsidR="00E42490">
        <w:t xml:space="preserve">their relationship to the LQM </w:t>
      </w:r>
      <w:r w:rsidR="006C7D16">
        <w:t>principles</w:t>
      </w:r>
      <w:r>
        <w:t xml:space="preserve"> </w:t>
      </w:r>
      <w:r w:rsidR="006C7D16">
        <w:t>set out in the joint expectations</w:t>
      </w:r>
      <w:r w:rsidR="00DD7752">
        <w:t>,</w:t>
      </w:r>
      <w:r w:rsidR="006C7D16">
        <w:t xml:space="preserve"> </w:t>
      </w:r>
      <w:r w:rsidR="00AE0A77">
        <w:t xml:space="preserve">are illustrated </w:t>
      </w:r>
      <w:r w:rsidR="006C7D16">
        <w:t xml:space="preserve">in </w:t>
      </w:r>
      <w:r w:rsidR="003170F3">
        <w:fldChar w:fldCharType="begin"/>
      </w:r>
      <w:r w:rsidR="003170F3">
        <w:instrText xml:space="preserve"> REF _Ref183683982 </w:instrText>
      </w:r>
      <w:r w:rsidR="003170F3">
        <w:fldChar w:fldCharType="separate"/>
      </w:r>
      <w:r w:rsidR="003170F3">
        <w:t xml:space="preserve">Figure </w:t>
      </w:r>
      <w:r w:rsidR="003170F3">
        <w:rPr>
          <w:noProof/>
        </w:rPr>
        <w:t>1</w:t>
      </w:r>
      <w:r w:rsidR="003170F3">
        <w:fldChar w:fldCharType="end"/>
      </w:r>
      <w:r w:rsidR="006D1D5B">
        <w:t xml:space="preserve">. </w:t>
      </w:r>
    </w:p>
    <w:p w14:paraId="463B11C5" w14:textId="77777777" w:rsidR="00E92958" w:rsidRDefault="00E92958" w:rsidP="00E14323">
      <w:pPr>
        <w:pStyle w:val="F9-Paragraph"/>
        <w:keepNext/>
        <w:numPr>
          <w:ilvl w:val="0"/>
          <w:numId w:val="0"/>
        </w:numPr>
        <w:ind w:left="851"/>
        <w:jc w:val="center"/>
      </w:pPr>
      <w:r>
        <w:rPr>
          <w:noProof/>
        </w:rPr>
        <w:drawing>
          <wp:inline distT="0" distB="0" distL="0" distR="0" wp14:anchorId="1C130D80" wp14:editId="460684D5">
            <wp:extent cx="5058888" cy="4979650"/>
            <wp:effectExtent l="0" t="0" r="8890" b="0"/>
            <wp:docPr id="705913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13274" name="Picture 7059132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0536" cy="4991115"/>
                    </a:xfrm>
                    <a:prstGeom prst="rect">
                      <a:avLst/>
                    </a:prstGeom>
                  </pic:spPr>
                </pic:pic>
              </a:graphicData>
            </a:graphic>
          </wp:inline>
        </w:drawing>
      </w:r>
    </w:p>
    <w:p w14:paraId="7253766B" w14:textId="68DDB98F" w:rsidR="00E92958" w:rsidRPr="002534D7" w:rsidRDefault="00E92958" w:rsidP="00E14323">
      <w:pPr>
        <w:pStyle w:val="Caption"/>
        <w:ind w:left="851"/>
        <w:jc w:val="center"/>
      </w:pPr>
      <w:bookmarkStart w:id="11" w:name="_Ref183683982"/>
      <w:r>
        <w:t xml:space="preserve">Figure </w:t>
      </w:r>
      <w:r>
        <w:fldChar w:fldCharType="begin"/>
      </w:r>
      <w:r>
        <w:instrText xml:space="preserve"> SEQ Figure \* ARABIC </w:instrText>
      </w:r>
      <w:r>
        <w:fldChar w:fldCharType="separate"/>
      </w:r>
      <w:r w:rsidR="003170F3">
        <w:rPr>
          <w:noProof/>
        </w:rPr>
        <w:t>1</w:t>
      </w:r>
      <w:r>
        <w:fldChar w:fldCharType="end"/>
      </w:r>
      <w:bookmarkEnd w:id="11"/>
      <w:r w:rsidR="00E14323">
        <w:t xml:space="preserve"> -</w:t>
      </w:r>
      <w:r>
        <w:t xml:space="preserve"> LQM principles and their relationship to key </w:t>
      </w:r>
      <w:r w:rsidR="00E14323">
        <w:t>LCs.</w:t>
      </w:r>
    </w:p>
    <w:p w14:paraId="3FD57CD5" w14:textId="77777777" w:rsidR="00557E6B" w:rsidRDefault="00557E6B" w:rsidP="006751A3">
      <w:pPr>
        <w:pStyle w:val="Bulletlist1"/>
        <w:rPr>
          <w:b/>
        </w:rPr>
        <w:sectPr w:rsidR="00557E6B" w:rsidSect="008A4D4B">
          <w:endnotePr>
            <w:numFmt w:val="decimal"/>
          </w:endnotePr>
          <w:pgSz w:w="11906" w:h="16838"/>
          <w:pgMar w:top="1440" w:right="1440" w:bottom="1440" w:left="1440" w:header="708" w:footer="708" w:gutter="0"/>
          <w:cols w:space="708"/>
          <w:docGrid w:linePitch="360"/>
        </w:sectPr>
      </w:pPr>
    </w:p>
    <w:p w14:paraId="37FE80E8" w14:textId="69C9CF3E" w:rsidR="005B1DD0" w:rsidRPr="00FB3CD3" w:rsidRDefault="005B1DD0" w:rsidP="006751A3">
      <w:pPr>
        <w:pStyle w:val="Bulletlist1"/>
        <w:rPr>
          <w:b/>
        </w:rPr>
      </w:pPr>
      <w:r>
        <w:rPr>
          <w:b/>
        </w:rPr>
        <w:lastRenderedPageBreak/>
        <w:t>LC</w:t>
      </w:r>
      <w:r w:rsidR="00557E6B">
        <w:rPr>
          <w:b/>
        </w:rPr>
        <w:t xml:space="preserve"> </w:t>
      </w:r>
      <w:r w:rsidRPr="002534D7">
        <w:rPr>
          <w:b/>
        </w:rPr>
        <w:t>34: Leakage and escape of radioactive material and radioactive waste</w:t>
      </w:r>
      <w:r w:rsidR="00E84675">
        <w:rPr>
          <w:b/>
        </w:rPr>
        <w:t xml:space="preserve"> - </w:t>
      </w:r>
      <w:r w:rsidRPr="002534D7">
        <w:t xml:space="preserve">This </w:t>
      </w:r>
      <w:r>
        <w:t xml:space="preserve">condition requires the licensee, so far as is reasonably practicable, to ensure adequate control and containment of radioactive </w:t>
      </w:r>
      <w:r w:rsidR="00BD217B">
        <w:t xml:space="preserve">material </w:t>
      </w:r>
      <w:r>
        <w:t xml:space="preserve">and radioactive </w:t>
      </w:r>
      <w:r w:rsidR="00BD217B">
        <w:t xml:space="preserve">waste </w:t>
      </w:r>
      <w:r>
        <w:t>so as to prevent the creation of radioactively contaminated land and groundwater, and to ensure appropriate management of existing radioactively contaminated land and groundwater. However, this condition will also be used if a leak or escape of radioactive material or radioactive waste to land or groundwater on a nuclear licensed site (a) occurs; (b) has not been detected by the licensee; or (c) is not notified, recorded, investigated or reported by the licensee under its LC</w:t>
      </w:r>
      <w:r w:rsidR="00557E6B">
        <w:t xml:space="preserve"> </w:t>
      </w:r>
      <w:r>
        <w:t>7 arrangements.</w:t>
      </w:r>
    </w:p>
    <w:p w14:paraId="39A406BE" w14:textId="4FC19FFB" w:rsidR="005B1DD0" w:rsidRPr="00710A6B" w:rsidRDefault="005B1DD0" w:rsidP="006751A3">
      <w:pPr>
        <w:pStyle w:val="Bulletlist1"/>
        <w:rPr>
          <w:b/>
        </w:rPr>
      </w:pPr>
      <w:r w:rsidRPr="00710A6B">
        <w:rPr>
          <w:b/>
        </w:rPr>
        <w:t>LC</w:t>
      </w:r>
      <w:r w:rsidR="00557E6B">
        <w:rPr>
          <w:b/>
        </w:rPr>
        <w:t xml:space="preserve"> </w:t>
      </w:r>
      <w:r w:rsidRPr="00710A6B">
        <w:rPr>
          <w:b/>
        </w:rPr>
        <w:t>35: Decommissioning</w:t>
      </w:r>
      <w:r w:rsidR="00E84675">
        <w:rPr>
          <w:b/>
        </w:rPr>
        <w:t xml:space="preserve"> - </w:t>
      </w:r>
      <w:r w:rsidRPr="002534D7">
        <w:t>The</w:t>
      </w:r>
      <w:r>
        <w:t xml:space="preserve"> licensee’s decommissioning</w:t>
      </w:r>
      <w:r w:rsidRPr="002534D7">
        <w:t xml:space="preserve"> </w:t>
      </w:r>
      <w:r>
        <w:t xml:space="preserve">arrangements and </w:t>
      </w:r>
      <w:r w:rsidRPr="002534D7">
        <w:t xml:space="preserve">programmes should </w:t>
      </w:r>
      <w:r>
        <w:t xml:space="preserve">consider (a) the risks to decommissioning workers from any existing radioactively contaminated land and groundwater; (b) measures to avoid or minimise the creation of new radioactively contaminated land or groundwater from decommissioning activities; and (c) the remediation of radioactively contaminated land and groundwater as an integral part of the decommissioning programme. It should be noted that although LQM is integral to decommissioning, it is not the intention that LQM </w:t>
      </w:r>
      <w:r w:rsidR="00930F6D">
        <w:t xml:space="preserve">activities </w:t>
      </w:r>
      <w:r>
        <w:t xml:space="preserve">should be confined to </w:t>
      </w:r>
      <w:r w:rsidR="001C2409">
        <w:t xml:space="preserve">being delivered </w:t>
      </w:r>
      <w:r w:rsidR="00296126">
        <w:t xml:space="preserve">only </w:t>
      </w:r>
      <w:r w:rsidR="001C2409">
        <w:t xml:space="preserve">during </w:t>
      </w:r>
      <w:r w:rsidR="00296126">
        <w:t xml:space="preserve">the </w:t>
      </w:r>
      <w:r>
        <w:t>decommissioning</w:t>
      </w:r>
      <w:r w:rsidR="00296126">
        <w:t xml:space="preserve"> phase</w:t>
      </w:r>
      <w:r>
        <w:t>.</w:t>
      </w:r>
    </w:p>
    <w:p w14:paraId="64A38548" w14:textId="4BE949D0" w:rsidR="005B1DD0" w:rsidRPr="00896EF4" w:rsidRDefault="005B1DD0" w:rsidP="006751A3">
      <w:pPr>
        <w:pStyle w:val="Bulletlist1"/>
        <w:rPr>
          <w:b/>
        </w:rPr>
      </w:pPr>
      <w:r>
        <w:rPr>
          <w:b/>
        </w:rPr>
        <w:t>LC</w:t>
      </w:r>
      <w:r w:rsidR="00557E6B">
        <w:rPr>
          <w:b/>
        </w:rPr>
        <w:t xml:space="preserve"> </w:t>
      </w:r>
      <w:r>
        <w:rPr>
          <w:b/>
        </w:rPr>
        <w:t>23</w:t>
      </w:r>
      <w:r w:rsidRPr="002534D7">
        <w:rPr>
          <w:b/>
        </w:rPr>
        <w:t xml:space="preserve">: </w:t>
      </w:r>
      <w:r>
        <w:rPr>
          <w:b/>
        </w:rPr>
        <w:t>Safety documentation</w:t>
      </w:r>
      <w:r w:rsidR="00E84675">
        <w:rPr>
          <w:b/>
        </w:rPr>
        <w:t xml:space="preserve"> - </w:t>
      </w:r>
      <w:r w:rsidRPr="002534D7">
        <w:t xml:space="preserve">The safety case should identify the relevant structures, systems and components (SSCs) that are important to </w:t>
      </w:r>
      <w:r w:rsidR="00EB6C7C">
        <w:t xml:space="preserve">the </w:t>
      </w:r>
      <w:r w:rsidRPr="002534D7">
        <w:t xml:space="preserve">prevention </w:t>
      </w:r>
      <w:r>
        <w:t>of leak and escape of radioactive material and radioactive waste</w:t>
      </w:r>
      <w:r w:rsidR="00EF6C77">
        <w:t>,</w:t>
      </w:r>
      <w:r>
        <w:t xml:space="preserve"> </w:t>
      </w:r>
      <w:r w:rsidRPr="002534D7">
        <w:t xml:space="preserve">and </w:t>
      </w:r>
      <w:r w:rsidR="00EF6C77">
        <w:t xml:space="preserve">to the </w:t>
      </w:r>
      <w:r w:rsidRPr="002534D7">
        <w:t>control of land quality, includ</w:t>
      </w:r>
      <w:r w:rsidR="00296126">
        <w:t>ing</w:t>
      </w:r>
      <w:r w:rsidRPr="002534D7">
        <w:t xml:space="preserve"> the potential impact to the quality of land and groundwater from operations</w:t>
      </w:r>
      <w:r w:rsidR="00136873">
        <w:t xml:space="preserve">. The SSCs should </w:t>
      </w:r>
      <w:r w:rsidRPr="002534D7">
        <w:t>be complemented by the licensee’s plans for characterisation, monitoring, and remediation of any contamination arising.</w:t>
      </w:r>
      <w:r>
        <w:t xml:space="preserve"> In general, licensees’ safety cases should demonstrate how the risks </w:t>
      </w:r>
      <w:r w:rsidR="003019E8">
        <w:t xml:space="preserve">to </w:t>
      </w:r>
      <w:r>
        <w:t>and from land and groundwater contamination are minimised. Where appropriate</w:t>
      </w:r>
      <w:r w:rsidR="00173B56">
        <w:t>,</w:t>
      </w:r>
      <w:r>
        <w:t xml:space="preserve"> for any areas of contaminated land and groundwater that exist, licensees should produce a safety case demonstrating how the safety of employees and other persons has been achieved.</w:t>
      </w:r>
      <w:r w:rsidR="00173B56">
        <w:t xml:space="preserve"> This may be demonstrated through the Site Wides </w:t>
      </w:r>
      <w:r w:rsidR="00B8052A">
        <w:t>Environment</w:t>
      </w:r>
      <w:r w:rsidR="00173B56">
        <w:t xml:space="preserve"> Safety Case</w:t>
      </w:r>
      <w:r w:rsidR="00F66741">
        <w:t xml:space="preserve"> (SWESC) required under the </w:t>
      </w:r>
      <w:r w:rsidR="00B8052A">
        <w:t>environment</w:t>
      </w:r>
      <w:r w:rsidR="00B7572F">
        <w:t>al</w:t>
      </w:r>
      <w:r w:rsidR="00F66741">
        <w:t xml:space="preserve"> permit.</w:t>
      </w:r>
    </w:p>
    <w:p w14:paraId="0B57437F" w14:textId="77777777" w:rsidR="00557E6B" w:rsidRDefault="00557E6B" w:rsidP="006751A3">
      <w:pPr>
        <w:pStyle w:val="Bulletlist1"/>
        <w:rPr>
          <w:b/>
        </w:rPr>
        <w:sectPr w:rsidR="00557E6B" w:rsidSect="008A4D4B">
          <w:endnotePr>
            <w:numFmt w:val="decimal"/>
          </w:endnotePr>
          <w:pgSz w:w="11906" w:h="16838"/>
          <w:pgMar w:top="1440" w:right="1440" w:bottom="1440" w:left="1440" w:header="708" w:footer="708" w:gutter="0"/>
          <w:cols w:space="708"/>
          <w:docGrid w:linePitch="360"/>
        </w:sectPr>
      </w:pPr>
    </w:p>
    <w:p w14:paraId="703D0853" w14:textId="3958080F" w:rsidR="005B1DD0" w:rsidRDefault="005B1DD0" w:rsidP="006751A3">
      <w:pPr>
        <w:pStyle w:val="Bulletlist1"/>
      </w:pPr>
      <w:r>
        <w:rPr>
          <w:b/>
        </w:rPr>
        <w:lastRenderedPageBreak/>
        <w:t>LC</w:t>
      </w:r>
      <w:r w:rsidR="00557E6B">
        <w:rPr>
          <w:b/>
        </w:rPr>
        <w:t xml:space="preserve"> </w:t>
      </w:r>
      <w:r w:rsidRPr="002534D7">
        <w:rPr>
          <w:b/>
        </w:rPr>
        <w:t>25: Operational records</w:t>
      </w:r>
      <w:r w:rsidR="00E84675">
        <w:rPr>
          <w:b/>
        </w:rPr>
        <w:t xml:space="preserve"> - </w:t>
      </w:r>
      <w:r w:rsidRPr="002534D7">
        <w:t xml:space="preserve">The licensee must undertake </w:t>
      </w:r>
      <w:r>
        <w:t xml:space="preserve">appropriate </w:t>
      </w:r>
      <w:r w:rsidRPr="002534D7">
        <w:t xml:space="preserve">characterisation of any known or suspected contaminated land or groundwater to determine the extent of such contamination in respect of the quantity of </w:t>
      </w:r>
      <w:r>
        <w:t>radioactive</w:t>
      </w:r>
      <w:r w:rsidRPr="002534D7">
        <w:t xml:space="preserve"> material and its location</w:t>
      </w:r>
      <w:r>
        <w:t xml:space="preserve"> upon the site</w:t>
      </w:r>
      <w:r>
        <w:rPr>
          <w:rStyle w:val="FootnoteReference"/>
        </w:rPr>
        <w:footnoteReference w:id="4"/>
      </w:r>
      <w:r>
        <w:t>, which should be kept up to date through adequate on-going monitoring</w:t>
      </w:r>
      <w:r w:rsidRPr="002534D7">
        <w:t>.</w:t>
      </w:r>
      <w:r>
        <w:t xml:space="preserve"> Additionally, the licensee should make and implement adequate arrangements for recording and preserving information needed for safe and effective control and remediation of radioactively contaminated land, now and in the future.</w:t>
      </w:r>
    </w:p>
    <w:p w14:paraId="70754AF1" w14:textId="07279FB4" w:rsidR="005B1DD0" w:rsidRDefault="005B1DD0" w:rsidP="005B1DD0">
      <w:pPr>
        <w:pStyle w:val="F9-Paragraph"/>
      </w:pPr>
      <w:r>
        <w:t>Other LCs</w:t>
      </w:r>
      <w:r w:rsidRPr="002534D7">
        <w:t xml:space="preserve"> </w:t>
      </w:r>
      <w:r>
        <w:t xml:space="preserve">relevant to LQM are considered </w:t>
      </w:r>
      <w:r w:rsidRPr="007D6071">
        <w:t xml:space="preserve">in </w:t>
      </w:r>
      <w:hyperlink w:anchor="_Appendix_1_-" w:history="1">
        <w:r w:rsidRPr="00557E6B">
          <w:rPr>
            <w:rStyle w:val="Hyperlink"/>
          </w:rPr>
          <w:t>Appendix 1</w:t>
        </w:r>
      </w:hyperlink>
      <w:r>
        <w:t>.</w:t>
      </w:r>
    </w:p>
    <w:p w14:paraId="5EC8E3E1" w14:textId="0CC44551" w:rsidR="005B1DD0" w:rsidRDefault="005B1DD0" w:rsidP="005B1DD0">
      <w:pPr>
        <w:pStyle w:val="F9-Paragraph"/>
      </w:pPr>
      <w:r>
        <w:t xml:space="preserve">ONR expects that licensees will implement </w:t>
      </w:r>
      <w:r w:rsidR="00AE45FA">
        <w:t xml:space="preserve">LQM </w:t>
      </w:r>
      <w:r>
        <w:t xml:space="preserve">arrangements that are proportionate to the hazard and risk on the site and reflect the scope of operations being undertaken, </w:t>
      </w:r>
      <w:r w:rsidR="00241E04">
        <w:t xml:space="preserve">during </w:t>
      </w:r>
      <w:r>
        <w:t>construction and operation of a</w:t>
      </w:r>
      <w:r w:rsidR="00AE45FA">
        <w:t>ny</w:t>
      </w:r>
      <w:r>
        <w:t xml:space="preserve"> new nuclear facility. </w:t>
      </w:r>
    </w:p>
    <w:p w14:paraId="5BDB10F8" w14:textId="184FCA7F" w:rsidR="005B1DD0" w:rsidRPr="000D626F" w:rsidRDefault="005B1DD0" w:rsidP="00DB5405">
      <w:pPr>
        <w:pStyle w:val="Heading2"/>
      </w:pPr>
      <w:bookmarkStart w:id="12" w:name="_Toc88037110"/>
      <w:bookmarkStart w:id="13" w:name="_Toc183698817"/>
      <w:r w:rsidRPr="000D626F">
        <w:t xml:space="preserve">Health and </w:t>
      </w:r>
      <w:r w:rsidR="00557E6B">
        <w:t>s</w:t>
      </w:r>
      <w:r w:rsidRPr="000D626F">
        <w:t xml:space="preserve">afety </w:t>
      </w:r>
      <w:r w:rsidR="00557E6B">
        <w:t>l</w:t>
      </w:r>
      <w:r w:rsidRPr="000D626F">
        <w:t>egislation</w:t>
      </w:r>
      <w:bookmarkEnd w:id="12"/>
      <w:bookmarkEnd w:id="13"/>
    </w:p>
    <w:p w14:paraId="7E26D8F3" w14:textId="5444B10A" w:rsidR="005B1DD0" w:rsidRPr="00A07307" w:rsidRDefault="005B1DD0" w:rsidP="005B1DD0">
      <w:pPr>
        <w:pStyle w:val="F9-Paragraph"/>
      </w:pPr>
      <w:r w:rsidRPr="002534D7">
        <w:t xml:space="preserve">Activities for safe and effective LQM must be undertaken by licensees to ensure that, so far as is reasonably practicable, the health, safety and welfare of </w:t>
      </w:r>
      <w:r>
        <w:t xml:space="preserve">their </w:t>
      </w:r>
      <w:r w:rsidRPr="002534D7">
        <w:t xml:space="preserve">employees and the </w:t>
      </w:r>
      <w:r>
        <w:t>health and safety of other persons</w:t>
      </w:r>
      <w:r w:rsidRPr="002534D7">
        <w:t xml:space="preserve"> are protected, as </w:t>
      </w:r>
      <w:r>
        <w:t>required by s</w:t>
      </w:r>
      <w:r w:rsidRPr="002534D7">
        <w:t>ections 2(1) and 3(1) of H</w:t>
      </w:r>
      <w:r>
        <w:t>SWA</w:t>
      </w:r>
      <w:r w:rsidRPr="002534D7">
        <w:t xml:space="preserve">74. Licensees and operators must reduce the risks associated with </w:t>
      </w:r>
      <w:r>
        <w:t>radioactively contaminated</w:t>
      </w:r>
      <w:r w:rsidRPr="002534D7">
        <w:t xml:space="preserve"> land or groundwater, so far as is reasonably practicable, through </w:t>
      </w:r>
      <w:r>
        <w:t xml:space="preserve">the </w:t>
      </w:r>
      <w:r w:rsidRPr="002534D7">
        <w:t xml:space="preserve">production of a justification for the work to be done that demonstrates that </w:t>
      </w:r>
      <w:r>
        <w:t xml:space="preserve">the </w:t>
      </w:r>
      <w:r w:rsidRPr="002534D7">
        <w:t xml:space="preserve">risk to </w:t>
      </w:r>
      <w:r>
        <w:t>employees or other persons</w:t>
      </w:r>
      <w:r w:rsidRPr="002534D7">
        <w:t xml:space="preserve"> is </w:t>
      </w:r>
      <w:r w:rsidR="00165FA4">
        <w:t>‘</w:t>
      </w:r>
      <w:r w:rsidRPr="002534D7">
        <w:t>as low as reasonably practicable</w:t>
      </w:r>
      <w:r w:rsidR="00165FA4">
        <w:t>’</w:t>
      </w:r>
      <w:r w:rsidRPr="002534D7">
        <w:t xml:space="preserve"> (</w:t>
      </w:r>
      <w:r w:rsidR="00165FA4">
        <w:t>‘</w:t>
      </w:r>
      <w:r w:rsidRPr="002534D7">
        <w:t>ALARP</w:t>
      </w:r>
      <w:r w:rsidR="00165FA4">
        <w:t>’</w:t>
      </w:r>
      <w:r w:rsidRPr="002534D7">
        <w:t>). More guidance on the demonstration of ALARP is av</w:t>
      </w:r>
      <w:r>
        <w:t>ailable in the relevant TAG (NS</w:t>
      </w:r>
      <w:r>
        <w:noBreakHyphen/>
      </w:r>
      <w:r w:rsidRPr="002534D7">
        <w:t>TAST-GD-005)</w:t>
      </w:r>
      <w:r w:rsidR="00E24D61">
        <w:t xml:space="preserve"> </w:t>
      </w:r>
      <w:sdt>
        <w:sdtPr>
          <w:id w:val="31774647"/>
          <w:citation/>
        </w:sdtPr>
        <w:sdtEndPr/>
        <w:sdtContent>
          <w:r w:rsidR="00557E6B">
            <w:fldChar w:fldCharType="begin"/>
          </w:r>
          <w:r w:rsidR="00557E6B">
            <w:instrText xml:space="preserve"> CITATION ONR16 \l 2057 </w:instrText>
          </w:r>
          <w:r w:rsidR="00557E6B">
            <w:fldChar w:fldCharType="separate"/>
          </w:r>
          <w:r w:rsidR="00B23A01">
            <w:rPr>
              <w:noProof/>
            </w:rPr>
            <w:t>[10]</w:t>
          </w:r>
          <w:r w:rsidR="00557E6B">
            <w:fldChar w:fldCharType="end"/>
          </w:r>
        </w:sdtContent>
      </w:sdt>
      <w:r>
        <w:t>.</w:t>
      </w:r>
    </w:p>
    <w:p w14:paraId="3AFC8564" w14:textId="25B78387" w:rsidR="00677EA4" w:rsidRPr="002534D7" w:rsidRDefault="00677EA4" w:rsidP="00677EA4">
      <w:pPr>
        <w:pStyle w:val="F9-Paragraph"/>
      </w:pPr>
      <w:r w:rsidRPr="002534D7">
        <w:t>In addition to HSWA74</w:t>
      </w:r>
      <w:r w:rsidR="00F322BF">
        <w:t>,</w:t>
      </w:r>
      <w:r w:rsidRPr="002534D7">
        <w:t xml:space="preserve"> the following regulations a</w:t>
      </w:r>
      <w:r>
        <w:t>lso</w:t>
      </w:r>
      <w:r w:rsidRPr="002534D7">
        <w:t xml:space="preserve"> have relevance to LQM:</w:t>
      </w:r>
    </w:p>
    <w:p w14:paraId="04962D77" w14:textId="77777777" w:rsidR="00677EA4" w:rsidRPr="002534D7" w:rsidRDefault="00677EA4" w:rsidP="006751A3">
      <w:pPr>
        <w:pStyle w:val="Bulletlist1"/>
      </w:pPr>
      <w:r w:rsidRPr="002534D7">
        <w:t xml:space="preserve">The Ionising Radiations Regulations </w:t>
      </w:r>
      <w:r>
        <w:t>2017</w:t>
      </w:r>
      <w:r w:rsidRPr="002534D7">
        <w:t xml:space="preserve"> (IRR</w:t>
      </w:r>
      <w:r>
        <w:t>17</w:t>
      </w:r>
      <w:r w:rsidRPr="002534D7">
        <w:t xml:space="preserve">) control the use of ionising radiation in the workplace with the intent of restricting exposure and limiting dose to the workforce and the public. </w:t>
      </w:r>
      <w:r>
        <w:t>Regulations 8</w:t>
      </w:r>
      <w:r w:rsidRPr="002534D7">
        <w:t xml:space="preserve"> </w:t>
      </w:r>
      <w:r>
        <w:t>(radiation risk assessments), 9 (</w:t>
      </w:r>
      <w:r w:rsidRPr="002534D7">
        <w:t>restrict</w:t>
      </w:r>
      <w:r>
        <w:t>ion of</w:t>
      </w:r>
      <w:r w:rsidRPr="002534D7">
        <w:t xml:space="preserve"> exposure</w:t>
      </w:r>
      <w:r>
        <w:t xml:space="preserve">), 12 (dose limitation) and </w:t>
      </w:r>
      <w:r w:rsidRPr="002534D7">
        <w:t>2</w:t>
      </w:r>
      <w:r>
        <w:t>9</w:t>
      </w:r>
      <w:r w:rsidRPr="002534D7">
        <w:t xml:space="preserve"> </w:t>
      </w:r>
      <w:r>
        <w:t>(</w:t>
      </w:r>
      <w:r w:rsidRPr="002534D7">
        <w:t>account</w:t>
      </w:r>
      <w:r>
        <w:t>ing</w:t>
      </w:r>
      <w:r w:rsidRPr="002534D7">
        <w:t xml:space="preserve"> for </w:t>
      </w:r>
      <w:r>
        <w:t>radioactive substances) are particularly relevant to LQM activities.</w:t>
      </w:r>
    </w:p>
    <w:p w14:paraId="5506532C" w14:textId="77777777" w:rsidR="00557E6B" w:rsidRDefault="00557E6B" w:rsidP="006751A3">
      <w:pPr>
        <w:pStyle w:val="Bulletlist1"/>
        <w:sectPr w:rsidR="00557E6B" w:rsidSect="008A4D4B">
          <w:endnotePr>
            <w:numFmt w:val="decimal"/>
          </w:endnotePr>
          <w:pgSz w:w="11906" w:h="16838"/>
          <w:pgMar w:top="1440" w:right="1440" w:bottom="1440" w:left="1440" w:header="708" w:footer="708" w:gutter="0"/>
          <w:cols w:space="708"/>
          <w:docGrid w:linePitch="360"/>
        </w:sectPr>
      </w:pPr>
    </w:p>
    <w:p w14:paraId="105AE36F" w14:textId="77777777" w:rsidR="00677EA4" w:rsidRDefault="00677EA4" w:rsidP="006751A3">
      <w:pPr>
        <w:pStyle w:val="Bulletlist1"/>
      </w:pPr>
      <w:r w:rsidRPr="002534D7">
        <w:lastRenderedPageBreak/>
        <w:t>The Management of Health and Safety at Work Regulations 1999 (MHSWR</w:t>
      </w:r>
      <w:r>
        <w:t>99</w:t>
      </w:r>
      <w:r w:rsidRPr="002534D7">
        <w:t xml:space="preserve">) require employers to carry out an assessment of the risks resulting from work activity to the health and safety of employees, and others, such as the public, volunteers and external contractors visiting the premises, and then implement measures to control the risks identified. The </w:t>
      </w:r>
      <w:r>
        <w:t xml:space="preserve">more specific </w:t>
      </w:r>
      <w:r w:rsidRPr="002534D7">
        <w:t xml:space="preserve">requirement for a </w:t>
      </w:r>
      <w:r>
        <w:t xml:space="preserve">prior </w:t>
      </w:r>
      <w:r w:rsidRPr="002534D7">
        <w:t xml:space="preserve">risk assessment under </w:t>
      </w:r>
      <w:r>
        <w:t>regulation 8 of IRR17</w:t>
      </w:r>
      <w:r w:rsidRPr="002534D7">
        <w:t xml:space="preserve"> is </w:t>
      </w:r>
      <w:r>
        <w:t>complementary</w:t>
      </w:r>
      <w:r w:rsidRPr="002534D7">
        <w:t xml:space="preserve"> to </w:t>
      </w:r>
      <w:r>
        <w:t>the more general risk assessments required by regulation 3 of MHSWR99.</w:t>
      </w:r>
    </w:p>
    <w:p w14:paraId="09D3CB74" w14:textId="302C4937" w:rsidR="00677EA4" w:rsidRPr="00677EA4" w:rsidRDefault="00677EA4" w:rsidP="00677EA4">
      <w:pPr>
        <w:pStyle w:val="Heading2"/>
      </w:pPr>
      <w:bookmarkStart w:id="14" w:name="_Toc88037111"/>
      <w:bookmarkStart w:id="15" w:name="_Toc183698818"/>
      <w:r w:rsidRPr="00677EA4">
        <w:t xml:space="preserve">Environmental </w:t>
      </w:r>
      <w:r w:rsidR="00557E6B">
        <w:t>l</w:t>
      </w:r>
      <w:r w:rsidRPr="00677EA4">
        <w:t>egislation</w:t>
      </w:r>
      <w:bookmarkEnd w:id="14"/>
      <w:bookmarkEnd w:id="15"/>
    </w:p>
    <w:p w14:paraId="5625ED1B" w14:textId="7D97B681" w:rsidR="009018AA" w:rsidRPr="00A07307" w:rsidRDefault="009018AA" w:rsidP="009018AA">
      <w:pPr>
        <w:pStyle w:val="F9-Paragraph"/>
      </w:pPr>
      <w:r w:rsidRPr="00A07307">
        <w:t>ONR and the environment</w:t>
      </w:r>
      <w:r>
        <w:t>al</w:t>
      </w:r>
      <w:r w:rsidRPr="00A07307">
        <w:t xml:space="preserve"> regulators</w:t>
      </w:r>
      <w:r w:rsidRPr="002534D7" w:rsidDel="00EE2AF9">
        <w:t xml:space="preserve"> </w:t>
      </w:r>
      <w:r>
        <w:t xml:space="preserve">have published </w:t>
      </w:r>
      <w:r w:rsidR="00557E6B">
        <w:t xml:space="preserve">a </w:t>
      </w:r>
      <w:r>
        <w:t xml:space="preserve">joint </w:t>
      </w:r>
      <w:r w:rsidR="00557E6B">
        <w:t>document titled, ‘</w:t>
      </w:r>
      <w:r w:rsidRPr="002534D7">
        <w:t xml:space="preserve">Regulatory </w:t>
      </w:r>
      <w:r w:rsidR="00557E6B">
        <w:t>e</w:t>
      </w:r>
      <w:r w:rsidRPr="002534D7">
        <w:t xml:space="preserve">xpectations for </w:t>
      </w:r>
      <w:r w:rsidR="00557E6B">
        <w:t>s</w:t>
      </w:r>
      <w:r w:rsidRPr="002534D7">
        <w:t xml:space="preserve">uccessful </w:t>
      </w:r>
      <w:r w:rsidR="00557E6B">
        <w:t xml:space="preserve">LQM </w:t>
      </w:r>
      <w:r w:rsidRPr="00A07307">
        <w:t xml:space="preserve">at </w:t>
      </w:r>
      <w:r w:rsidR="00557E6B">
        <w:t>n</w:t>
      </w:r>
      <w:r w:rsidRPr="00A07307">
        <w:t xml:space="preserve">uclear </w:t>
      </w:r>
      <w:r w:rsidR="00557E6B">
        <w:t>l</w:t>
      </w:r>
      <w:r w:rsidRPr="00A07307">
        <w:t xml:space="preserve">icensed </w:t>
      </w:r>
      <w:r w:rsidR="00557E6B">
        <w:t>s</w:t>
      </w:r>
      <w:r w:rsidRPr="00A07307">
        <w:t>ites</w:t>
      </w:r>
      <w:r w:rsidR="00557E6B">
        <w:t>’</w:t>
      </w:r>
      <w:r w:rsidRPr="00A07307">
        <w:t xml:space="preserve"> </w:t>
      </w:r>
      <w:sdt>
        <w:sdtPr>
          <w:id w:val="-428657428"/>
          <w:citation/>
        </w:sdtPr>
        <w:sdtEndPr/>
        <w:sdtContent>
          <w:r w:rsidR="00557E6B">
            <w:fldChar w:fldCharType="begin"/>
          </w:r>
          <w:r w:rsidR="00557E6B">
            <w:instrText xml:space="preserve"> CITATION ONR14 \l 2057 </w:instrText>
          </w:r>
          <w:r w:rsidR="00557E6B">
            <w:fldChar w:fldCharType="separate"/>
          </w:r>
          <w:r w:rsidR="00B23A01">
            <w:rPr>
              <w:noProof/>
            </w:rPr>
            <w:t>[11]</w:t>
          </w:r>
          <w:r w:rsidR="00557E6B">
            <w:fldChar w:fldCharType="end"/>
          </w:r>
        </w:sdtContent>
      </w:sdt>
      <w:r w:rsidR="00557E6B">
        <w:t xml:space="preserve">; </w:t>
      </w:r>
      <w:r w:rsidRPr="00A07307">
        <w:t xml:space="preserve">outlining the overall objective for LQM on nuclear licensed sites in </w:t>
      </w:r>
      <w:r w:rsidR="008D0518">
        <w:t>GB</w:t>
      </w:r>
      <w:r w:rsidRPr="00A07307">
        <w:t xml:space="preserve">. The joint expectations laid out in that document apply to radioactive and </w:t>
      </w:r>
      <w:r w:rsidR="00527C7B">
        <w:br/>
      </w:r>
      <w:r w:rsidRPr="00A07307">
        <w:t>non-radioactive contamination of land and groundwater. It is expected that a joint regulatory approach will be adopted, especially in instances where radiological and non-radiological contamination is co-located.</w:t>
      </w:r>
    </w:p>
    <w:p w14:paraId="393F150B" w14:textId="6738EC33" w:rsidR="005C23E6" w:rsidRPr="00065066" w:rsidRDefault="005C23E6" w:rsidP="008F48EC">
      <w:pPr>
        <w:pStyle w:val="F9-Paragraph"/>
      </w:pPr>
      <w:r w:rsidRPr="00065066">
        <w:t xml:space="preserve">A permit </w:t>
      </w:r>
      <w:r w:rsidR="00E07CFE">
        <w:t xml:space="preserve">from the </w:t>
      </w:r>
      <w:r w:rsidR="00E07CFE" w:rsidRPr="00065066">
        <w:t xml:space="preserve">relevant environmental regulator </w:t>
      </w:r>
      <w:r w:rsidR="00803DDB">
        <w:t xml:space="preserve">is required </w:t>
      </w:r>
      <w:r w:rsidRPr="00065066">
        <w:t>to dispose of radioactive waste on or from a nuclear licensed site</w:t>
      </w:r>
      <w:r w:rsidR="00E07CFE">
        <w:t xml:space="preserve">. </w:t>
      </w:r>
      <w:r w:rsidR="00F24544">
        <w:t xml:space="preserve">Any radioactivity </w:t>
      </w:r>
      <w:r w:rsidR="00D954B4">
        <w:t xml:space="preserve">in the ground or groundwater attributable to a lawful disposal is not considered to be radioactive material or radioactive, </w:t>
      </w:r>
      <w:r w:rsidR="007E708D">
        <w:t xml:space="preserve">unless a process which was not foreseen at the time of disposal results in a substantial increase </w:t>
      </w:r>
      <w:r w:rsidR="00CE01E7">
        <w:t>in radiation exposure</w:t>
      </w:r>
      <w:r w:rsidR="00E53157">
        <w:t xml:space="preserve"> to the public or contamination of the environment</w:t>
      </w:r>
      <w:r w:rsidR="00CE01E7">
        <w:t xml:space="preserve"> </w:t>
      </w:r>
      <w:sdt>
        <w:sdtPr>
          <w:id w:val="-860738062"/>
          <w:citation/>
        </w:sdtPr>
        <w:sdtEndPr/>
        <w:sdtContent>
          <w:r w:rsidR="00557E6B">
            <w:fldChar w:fldCharType="begin"/>
          </w:r>
          <w:r w:rsidR="00557E6B">
            <w:instrText xml:space="preserve"> CITATION ONR212 \l 2057 </w:instrText>
          </w:r>
          <w:r w:rsidR="00557E6B">
            <w:fldChar w:fldCharType="separate"/>
          </w:r>
          <w:r w:rsidR="00B23A01">
            <w:rPr>
              <w:noProof/>
            </w:rPr>
            <w:t>[12]</w:t>
          </w:r>
          <w:r w:rsidR="00557E6B">
            <w:fldChar w:fldCharType="end"/>
          </w:r>
        </w:sdtContent>
      </w:sdt>
      <w:r w:rsidR="00CE01E7">
        <w:t>.</w:t>
      </w:r>
    </w:p>
    <w:p w14:paraId="44171E10" w14:textId="4A672D8B" w:rsidR="005C23E6" w:rsidRPr="00065066" w:rsidRDefault="005C23E6" w:rsidP="005C23E6">
      <w:pPr>
        <w:pStyle w:val="F9-Paragraph"/>
      </w:pPr>
      <w:r w:rsidRPr="00065066">
        <w:t>A leak or escape of either radioactive material or radioactive waste is liable to be a breach of LC</w:t>
      </w:r>
      <w:r w:rsidR="00557E6B">
        <w:t xml:space="preserve"> </w:t>
      </w:r>
      <w:r w:rsidRPr="00065066">
        <w:t>34 if the licensee is unable to demonstrate adequate control or containment, so far as is reasonably practicable</w:t>
      </w:r>
      <w:r w:rsidR="00681EA8">
        <w:t xml:space="preserve"> (SFAIRP)</w:t>
      </w:r>
      <w:r w:rsidRPr="00065066">
        <w:t xml:space="preserve">. Such a leak or escape may also be a breach of </w:t>
      </w:r>
      <w:r w:rsidR="00E53157">
        <w:t xml:space="preserve">the </w:t>
      </w:r>
      <w:r w:rsidRPr="00065066">
        <w:t>environmental permit.</w:t>
      </w:r>
    </w:p>
    <w:p w14:paraId="45E92833" w14:textId="1242E929" w:rsidR="005C23E6" w:rsidRPr="00065066" w:rsidRDefault="005C23E6" w:rsidP="009758BC">
      <w:pPr>
        <w:pStyle w:val="F9-Paragraph"/>
      </w:pPr>
      <w:r w:rsidRPr="00065066">
        <w:t xml:space="preserve">If a leak or escape of radioactive material or radioactive waste to land or groundwater occurs on a nuclear licensed site ONR shall </w:t>
      </w:r>
      <w:r w:rsidR="00E80B8D">
        <w:t>work</w:t>
      </w:r>
      <w:r w:rsidRPr="00065066">
        <w:t xml:space="preserve"> closely with the relevant environmental regulator to ensure a coordinated regulatory response. Inspectors are referred to the relevant </w:t>
      </w:r>
      <w:r w:rsidR="00822B11">
        <w:t>technical inspection guide (</w:t>
      </w:r>
      <w:r w:rsidR="009758BC">
        <w:t>TIG</w:t>
      </w:r>
      <w:r w:rsidR="00822B11">
        <w:t>)</w:t>
      </w:r>
      <w:r w:rsidRPr="00065066">
        <w:t xml:space="preserve"> for further guidance</w:t>
      </w:r>
      <w:r>
        <w:t xml:space="preserve"> </w:t>
      </w:r>
      <w:sdt>
        <w:sdtPr>
          <w:id w:val="-692447217"/>
          <w:citation/>
        </w:sdtPr>
        <w:sdtEndPr/>
        <w:sdtContent>
          <w:r w:rsidR="00557E6B">
            <w:fldChar w:fldCharType="begin"/>
          </w:r>
          <w:r w:rsidR="00557E6B">
            <w:instrText xml:space="preserve"> CITATION ONR18 \l 2057  \m ONR191 \m ONR192</w:instrText>
          </w:r>
          <w:r w:rsidR="00557E6B">
            <w:fldChar w:fldCharType="separate"/>
          </w:r>
          <w:r w:rsidR="00B23A01">
            <w:rPr>
              <w:noProof/>
            </w:rPr>
            <w:t>[5, 6, 7]</w:t>
          </w:r>
          <w:r w:rsidR="00557E6B">
            <w:fldChar w:fldCharType="end"/>
          </w:r>
        </w:sdtContent>
      </w:sdt>
      <w:r w:rsidRPr="00065066">
        <w:t>.</w:t>
      </w:r>
    </w:p>
    <w:p w14:paraId="1D30E87A" w14:textId="46BD142B" w:rsidR="00677EA4" w:rsidRDefault="00677EA4" w:rsidP="002451D3">
      <w:pPr>
        <w:pStyle w:val="F9-Paragraph"/>
      </w:pPr>
      <w:r>
        <w:t xml:space="preserve">The Environmental Protection Act 1990 (EPA90) Part IIA contaminated land </w:t>
      </w:r>
      <w:r w:rsidRPr="00C207D0">
        <w:t>regime</w:t>
      </w:r>
      <w:r>
        <w:t xml:space="preserve"> was extended in 2006 to cover radioactive contaminated land but it </w:t>
      </w:r>
      <w:r w:rsidRPr="00C207D0">
        <w:t>do</w:t>
      </w:r>
      <w:r>
        <w:t>es</w:t>
      </w:r>
      <w:r w:rsidRPr="00C207D0">
        <w:t xml:space="preserve"> not apply </w:t>
      </w:r>
      <w:r>
        <w:t xml:space="preserve">to such land </w:t>
      </w:r>
      <w:r w:rsidRPr="00C207D0">
        <w:t xml:space="preserve">within a nuclear licensed site or an MoD nuclear </w:t>
      </w:r>
      <w:r w:rsidRPr="002451D3">
        <w:t xml:space="preserve">site </w:t>
      </w:r>
      <w:sdt>
        <w:sdtPr>
          <w:id w:val="-994873155"/>
          <w:citation/>
        </w:sdtPr>
        <w:sdtEndPr/>
        <w:sdtContent>
          <w:r w:rsidR="00557E6B">
            <w:fldChar w:fldCharType="begin"/>
          </w:r>
          <w:r w:rsidR="00557E6B">
            <w:instrText xml:space="preserve"> CITATION BEI181 \l 2057  \m Sco10 \m Wel12</w:instrText>
          </w:r>
          <w:r w:rsidR="00557E6B">
            <w:fldChar w:fldCharType="separate"/>
          </w:r>
          <w:r w:rsidR="00B23A01">
            <w:rPr>
              <w:noProof/>
            </w:rPr>
            <w:t>[13, 14, 15]</w:t>
          </w:r>
          <w:r w:rsidR="00557E6B">
            <w:fldChar w:fldCharType="end"/>
          </w:r>
        </w:sdtContent>
      </w:sdt>
      <w:r w:rsidRPr="002451D3">
        <w:t>.</w:t>
      </w:r>
      <w:r w:rsidR="00557E6B">
        <w:t xml:space="preserve"> </w:t>
      </w:r>
      <w:r w:rsidR="008872CD" w:rsidRPr="00DB5405">
        <w:t xml:space="preserve">Public Health England (PHE; previously Health Protection Agency) </w:t>
      </w:r>
      <w:r w:rsidR="009C1C5C" w:rsidRPr="002534D7">
        <w:t xml:space="preserve">considers that an annual effective dose of 3 mSv </w:t>
      </w:r>
      <w:r w:rsidR="000E7785">
        <w:t xml:space="preserve">or above </w:t>
      </w:r>
      <w:r w:rsidR="009C1C5C" w:rsidRPr="002534D7">
        <w:t>is appropriate for designation of land as radioactively contaminated</w:t>
      </w:r>
      <w:r w:rsidR="009C1C5C" w:rsidRPr="006055B0">
        <w:t xml:space="preserve"> </w:t>
      </w:r>
      <w:r w:rsidR="009C1C5C">
        <w:t xml:space="preserve">under the Part IIA </w:t>
      </w:r>
      <w:r w:rsidR="00BA1B0B">
        <w:t>RCL</w:t>
      </w:r>
      <w:r w:rsidR="009903C5">
        <w:t xml:space="preserve"> </w:t>
      </w:r>
      <w:r w:rsidR="009C1C5C">
        <w:t>regime</w:t>
      </w:r>
      <w:r w:rsidR="003409C4">
        <w:t xml:space="preserve"> </w:t>
      </w:r>
      <w:sdt>
        <w:sdtPr>
          <w:id w:val="-714351020"/>
          <w:citation/>
        </w:sdtPr>
        <w:sdtEndPr/>
        <w:sdtContent>
          <w:r w:rsidR="00557E6B">
            <w:fldChar w:fldCharType="begin"/>
          </w:r>
          <w:r w:rsidR="00557E6B">
            <w:instrText xml:space="preserve"> CITATION INC07 \l 2057 </w:instrText>
          </w:r>
          <w:r w:rsidR="00557E6B">
            <w:fldChar w:fldCharType="separate"/>
          </w:r>
          <w:r w:rsidR="00B23A01">
            <w:rPr>
              <w:noProof/>
            </w:rPr>
            <w:t>[16]</w:t>
          </w:r>
          <w:r w:rsidR="00557E6B">
            <w:fldChar w:fldCharType="end"/>
          </w:r>
        </w:sdtContent>
      </w:sdt>
      <w:r w:rsidR="00EE426E">
        <w:t>,</w:t>
      </w:r>
      <w:r w:rsidR="009C1C5C">
        <w:t xml:space="preserve"> </w:t>
      </w:r>
      <w:r w:rsidR="00EE426E">
        <w:t xml:space="preserve">which </w:t>
      </w:r>
      <w:r w:rsidR="000E7785">
        <w:t xml:space="preserve">is </w:t>
      </w:r>
      <w:r w:rsidR="00EE426E">
        <w:t>more conservative than</w:t>
      </w:r>
      <w:r w:rsidR="00C12773">
        <w:t xml:space="preserve"> guidance from the</w:t>
      </w:r>
      <w:r w:rsidR="008872CD" w:rsidRPr="00DB5405">
        <w:t xml:space="preserve"> International Commission on Radiological Protection (ICRP) </w:t>
      </w:r>
      <w:sdt>
        <w:sdtPr>
          <w:id w:val="-996568985"/>
          <w:citation/>
        </w:sdtPr>
        <w:sdtEndPr/>
        <w:sdtContent>
          <w:r w:rsidR="00557E6B">
            <w:fldChar w:fldCharType="begin"/>
          </w:r>
          <w:r w:rsidR="00557E6B">
            <w:instrText xml:space="preserve"> CITATION INC07 \l 2057 </w:instrText>
          </w:r>
          <w:r w:rsidR="00557E6B">
            <w:fldChar w:fldCharType="separate"/>
          </w:r>
          <w:r w:rsidR="00B23A01">
            <w:rPr>
              <w:noProof/>
            </w:rPr>
            <w:t>[16]</w:t>
          </w:r>
          <w:r w:rsidR="00557E6B">
            <w:fldChar w:fldCharType="end"/>
          </w:r>
        </w:sdtContent>
      </w:sdt>
      <w:r w:rsidR="008872CD" w:rsidRPr="00DB5405">
        <w:t>.</w:t>
      </w:r>
      <w:r w:rsidR="009903C5">
        <w:t xml:space="preserve"> </w:t>
      </w:r>
      <w:r w:rsidR="00557E6B">
        <w:br/>
      </w:r>
      <w:r w:rsidR="008872CD" w:rsidRPr="00DB5405">
        <w:t xml:space="preserve">However, </w:t>
      </w:r>
      <w:r w:rsidR="009903C5">
        <w:t>since</w:t>
      </w:r>
      <w:r w:rsidR="008872CD" w:rsidRPr="00DB5405">
        <w:t xml:space="preserve"> the Part IIA </w:t>
      </w:r>
      <w:r w:rsidR="00BA1B0B">
        <w:t xml:space="preserve">RCL </w:t>
      </w:r>
      <w:r w:rsidR="008872CD" w:rsidRPr="00DB5405">
        <w:t>regime does not apply to nuclear licensed sites, neither do the criteria</w:t>
      </w:r>
      <w:r w:rsidR="00CF6E86">
        <w:t xml:space="preserve"> and licensees should use a </w:t>
      </w:r>
      <w:r w:rsidR="00E40827">
        <w:t>risk-based</w:t>
      </w:r>
      <w:r w:rsidR="00CF6E86">
        <w:t xml:space="preserve"> approach to </w:t>
      </w:r>
      <w:r w:rsidR="00DB43E9">
        <w:t>managing radioactively contaminated land on nuclear licensed sites</w:t>
      </w:r>
      <w:r w:rsidR="008872CD" w:rsidRPr="00DB5405">
        <w:t>.</w:t>
      </w:r>
      <w:r w:rsidR="002451D3" w:rsidRPr="00DB5405">
        <w:t xml:space="preserve"> </w:t>
      </w:r>
    </w:p>
    <w:p w14:paraId="457F0C50" w14:textId="2C27FB1C" w:rsidR="009004D2" w:rsidRPr="00A07307" w:rsidRDefault="00677EA4" w:rsidP="00DB5405">
      <w:pPr>
        <w:pStyle w:val="F9-Paragraph"/>
        <w:spacing w:after="0"/>
      </w:pPr>
      <w:r>
        <w:lastRenderedPageBreak/>
        <w:t xml:space="preserve">Radioactive substances are considered to be hazardous substances for the purposes of the groundwater legislation </w:t>
      </w:r>
      <w:sdt>
        <w:sdtPr>
          <w:id w:val="1040095325"/>
          <w:citation/>
        </w:sdtPr>
        <w:sdtEndPr/>
        <w:sdtContent>
          <w:r w:rsidR="001B3237">
            <w:fldChar w:fldCharType="begin"/>
          </w:r>
          <w:r w:rsidR="001B3237">
            <w:instrText xml:space="preserve"> CITATION DEF10 \l 2057 </w:instrText>
          </w:r>
          <w:r w:rsidR="001B3237">
            <w:fldChar w:fldCharType="separate"/>
          </w:r>
          <w:r w:rsidR="00B23A01">
            <w:rPr>
              <w:noProof/>
            </w:rPr>
            <w:t>[17]</w:t>
          </w:r>
          <w:r w:rsidR="001B3237">
            <w:fldChar w:fldCharType="end"/>
          </w:r>
        </w:sdtContent>
      </w:sdt>
      <w:r w:rsidR="00464048">
        <w:t xml:space="preserve"> </w:t>
      </w:r>
      <w:r>
        <w:t xml:space="preserve">and so their discharge to groundwater must be prevented. For planned disposals of </w:t>
      </w:r>
      <w:r w:rsidRPr="00A07307">
        <w:t xml:space="preserve">radioactive waste this is achieved through conditions in environmental permits and enforced by the environmental regulators. </w:t>
      </w:r>
    </w:p>
    <w:p w14:paraId="553B3334" w14:textId="7C89E914" w:rsidR="009004D2" w:rsidRDefault="009004D2" w:rsidP="00DB5405">
      <w:pPr>
        <w:pStyle w:val="Heading2"/>
      </w:pPr>
      <w:bookmarkStart w:id="16" w:name="_Toc183698819"/>
      <w:r w:rsidRPr="002534D7">
        <w:t xml:space="preserve">Interface with </w:t>
      </w:r>
      <w:r>
        <w:t xml:space="preserve">end states and </w:t>
      </w:r>
      <w:r w:rsidR="00165E8A">
        <w:t>removal of regulatory control</w:t>
      </w:r>
      <w:bookmarkEnd w:id="16"/>
    </w:p>
    <w:p w14:paraId="5B28231D" w14:textId="3F76B021" w:rsidR="009004D2" w:rsidRDefault="009004D2" w:rsidP="009004D2">
      <w:pPr>
        <w:pStyle w:val="F9-Paragraph"/>
      </w:pPr>
      <w:r>
        <w:t xml:space="preserve">ONR regulates radioactively contaminated land and groundwater under NIA65 and conditions attached to nuclear site licences for the nuclear safety purposes of </w:t>
      </w:r>
      <w:r w:rsidRPr="002534D7">
        <w:t>protecting persons against risks of harm from ionising radiations</w:t>
      </w:r>
      <w:r>
        <w:t xml:space="preserve">, as described in paragraph </w:t>
      </w:r>
      <w:r>
        <w:fldChar w:fldCharType="begin"/>
      </w:r>
      <w:r>
        <w:instrText xml:space="preserve"> REF _Ref411495844 \n </w:instrText>
      </w:r>
      <w:r>
        <w:fldChar w:fldCharType="separate"/>
      </w:r>
      <w:r w:rsidR="004E3E45">
        <w:rPr>
          <w:cs/>
        </w:rPr>
        <w:t>‎</w:t>
      </w:r>
      <w:r w:rsidR="004E3E45">
        <w:t>11</w:t>
      </w:r>
      <w:r>
        <w:fldChar w:fldCharType="end"/>
      </w:r>
      <w:r>
        <w:t>. Inspectors and assessors need to be aware that licensees may also be working to define or achieve site end states for other related but different purposes:</w:t>
      </w:r>
    </w:p>
    <w:p w14:paraId="2DD7E57B" w14:textId="71A31CD0" w:rsidR="009004D2" w:rsidRPr="004302E2" w:rsidRDefault="009004D2" w:rsidP="009004D2">
      <w:pPr>
        <w:pStyle w:val="Bulletlist1"/>
      </w:pPr>
      <w:r>
        <w:t xml:space="preserve">A licensee wishing to end its </w:t>
      </w:r>
      <w:r w:rsidR="00527C7B">
        <w:t>‘</w:t>
      </w:r>
      <w:r w:rsidRPr="00527C7B">
        <w:t>period of responsibility</w:t>
      </w:r>
      <w:r w:rsidR="00527C7B">
        <w:t>’</w:t>
      </w:r>
      <w:r>
        <w:t xml:space="preserve"> under NIA65 for all or part of its nuclear licensed site is required to demonstrate to ONR that the site (or part of the site) meets the relevant criteria. </w:t>
      </w:r>
      <w:r w:rsidR="00557E6B">
        <w:br/>
      </w:r>
      <w:r>
        <w:t>Further information on delicensing is provided in ONR’s</w:t>
      </w:r>
      <w:r w:rsidR="00527C7B">
        <w:t xml:space="preserve"> policy,</w:t>
      </w:r>
      <w:r w:rsidRPr="00C207D0">
        <w:t xml:space="preserve"> </w:t>
      </w:r>
      <w:r w:rsidR="0097654B">
        <w:t>‘</w:t>
      </w:r>
      <w:r>
        <w:t>C</w:t>
      </w:r>
      <w:r w:rsidRPr="00C207D0">
        <w:t xml:space="preserve">riterion for </w:t>
      </w:r>
      <w:r>
        <w:t>D</w:t>
      </w:r>
      <w:r w:rsidRPr="00C207D0">
        <w:t xml:space="preserve">elicensing </w:t>
      </w:r>
      <w:r>
        <w:t>N</w:t>
      </w:r>
      <w:r w:rsidRPr="00C207D0">
        <w:t xml:space="preserve">uclear </w:t>
      </w:r>
      <w:r>
        <w:t>S</w:t>
      </w:r>
      <w:r w:rsidRPr="00C207D0">
        <w:t>ites</w:t>
      </w:r>
      <w:r w:rsidR="0097654B">
        <w:t>’</w:t>
      </w:r>
      <w:r>
        <w:t xml:space="preserve"> </w:t>
      </w:r>
      <w:sdt>
        <w:sdtPr>
          <w:id w:val="1292711594"/>
          <w:citation/>
        </w:sdtPr>
        <w:sdtEndPr/>
        <w:sdtContent>
          <w:r w:rsidR="0097654B">
            <w:fldChar w:fldCharType="begin"/>
          </w:r>
          <w:r w:rsidR="0097654B">
            <w:instrText xml:space="preserve"> CITATION ONR286 \l 2057 </w:instrText>
          </w:r>
          <w:r w:rsidR="0097654B">
            <w:fldChar w:fldCharType="separate"/>
          </w:r>
          <w:r w:rsidR="00B23A01" w:rsidRPr="00B23A01">
            <w:rPr>
              <w:noProof/>
            </w:rPr>
            <w:t>[18]</w:t>
          </w:r>
          <w:r w:rsidR="0097654B">
            <w:fldChar w:fldCharType="end"/>
          </w:r>
        </w:sdtContent>
      </w:sdt>
      <w:r>
        <w:t xml:space="preserve">, and associated guidance </w:t>
      </w:r>
      <w:sdt>
        <w:sdtPr>
          <w:id w:val="120582519"/>
          <w:citation/>
        </w:sdtPr>
        <w:sdtEndPr/>
        <w:sdtContent>
          <w:r w:rsidR="0097654B">
            <w:fldChar w:fldCharType="begin"/>
          </w:r>
          <w:r w:rsidR="0097654B">
            <w:instrText xml:space="preserve"> CITATION ONR287 \l 2057 </w:instrText>
          </w:r>
          <w:r w:rsidR="0097654B">
            <w:fldChar w:fldCharType="separate"/>
          </w:r>
          <w:r w:rsidR="00B23A01" w:rsidRPr="00B23A01">
            <w:rPr>
              <w:noProof/>
            </w:rPr>
            <w:t>[19]</w:t>
          </w:r>
          <w:r w:rsidR="0097654B">
            <w:fldChar w:fldCharType="end"/>
          </w:r>
        </w:sdtContent>
      </w:sdt>
      <w:r w:rsidR="004302E2">
        <w:t xml:space="preserve">. </w:t>
      </w:r>
      <w:r w:rsidR="004302E2" w:rsidRPr="00DB5405">
        <w:rPr>
          <w:rFonts w:eastAsia="Times New Roman"/>
          <w:szCs w:val="24"/>
          <w:lang w:bidi="ar-SA"/>
        </w:rPr>
        <w:t xml:space="preserve">Note that government is making amendments to the regulatory framework for the final stages of decommissioning and clean-up which will potentially allow sites to be delicensed earlier and when they </w:t>
      </w:r>
      <w:r w:rsidR="00935FB0">
        <w:rPr>
          <w:rFonts w:eastAsia="Times New Roman"/>
          <w:szCs w:val="24"/>
          <w:lang w:bidi="ar-SA"/>
        </w:rPr>
        <w:t xml:space="preserve">may </w:t>
      </w:r>
      <w:r w:rsidR="004302E2" w:rsidRPr="00DB5405">
        <w:rPr>
          <w:rFonts w:eastAsia="Times New Roman"/>
          <w:szCs w:val="24"/>
          <w:lang w:bidi="ar-SA"/>
        </w:rPr>
        <w:t>still have some areas of contaminated land</w:t>
      </w:r>
      <w:r w:rsidR="00CD0D01">
        <w:rPr>
          <w:rFonts w:eastAsia="Times New Roman"/>
          <w:szCs w:val="24"/>
          <w:lang w:bidi="ar-SA"/>
        </w:rPr>
        <w:t xml:space="preserve"> that will be managed under the </w:t>
      </w:r>
      <w:r w:rsidR="00880B75">
        <w:rPr>
          <w:rFonts w:eastAsia="Times New Roman"/>
          <w:szCs w:val="24"/>
          <w:lang w:bidi="ar-SA"/>
        </w:rPr>
        <w:t>environment</w:t>
      </w:r>
      <w:r w:rsidR="00333E37">
        <w:rPr>
          <w:rFonts w:eastAsia="Times New Roman"/>
          <w:szCs w:val="24"/>
          <w:lang w:bidi="ar-SA"/>
        </w:rPr>
        <w:t>al</w:t>
      </w:r>
      <w:r w:rsidR="00880B75">
        <w:rPr>
          <w:rFonts w:eastAsia="Times New Roman"/>
          <w:szCs w:val="24"/>
          <w:lang w:bidi="ar-SA"/>
        </w:rPr>
        <w:t xml:space="preserve"> </w:t>
      </w:r>
      <w:r w:rsidR="00CD0D01">
        <w:rPr>
          <w:rFonts w:eastAsia="Times New Roman"/>
          <w:szCs w:val="24"/>
          <w:lang w:bidi="ar-SA"/>
        </w:rPr>
        <w:t>permit following release from the nuclear site licence</w:t>
      </w:r>
      <w:r w:rsidR="004302E2" w:rsidRPr="00DB5405">
        <w:rPr>
          <w:rFonts w:eastAsia="Times New Roman"/>
          <w:szCs w:val="24"/>
          <w:lang w:bidi="ar-SA"/>
        </w:rPr>
        <w:t>.</w:t>
      </w:r>
    </w:p>
    <w:p w14:paraId="4E8B6045" w14:textId="31431670" w:rsidR="009004D2" w:rsidRDefault="009004D2" w:rsidP="009004D2">
      <w:pPr>
        <w:pStyle w:val="Bulletlist1"/>
      </w:pPr>
      <w:r w:rsidRPr="00A07307">
        <w:t xml:space="preserve">A licensee may be working with the relevant environmental regulator to meet </w:t>
      </w:r>
      <w:r w:rsidR="00165E8A">
        <w:t>the</w:t>
      </w:r>
      <w:r>
        <w:t xml:space="preserve"> requirements for release of the site from radioactive substances regulation </w:t>
      </w:r>
      <w:sdt>
        <w:sdtPr>
          <w:id w:val="2097518201"/>
          <w:citation/>
        </w:sdtPr>
        <w:sdtEndPr/>
        <w:sdtContent>
          <w:r w:rsidR="0097654B">
            <w:fldChar w:fldCharType="begin"/>
          </w:r>
          <w:r w:rsidR="0097654B">
            <w:instrText xml:space="preserve"> CITATION EAS18 \l 2057 </w:instrText>
          </w:r>
          <w:r w:rsidR="0097654B">
            <w:fldChar w:fldCharType="separate"/>
          </w:r>
          <w:r w:rsidR="00B23A01" w:rsidRPr="00B23A01">
            <w:rPr>
              <w:noProof/>
            </w:rPr>
            <w:t>[20]</w:t>
          </w:r>
          <w:r w:rsidR="0097654B">
            <w:fldChar w:fldCharType="end"/>
          </w:r>
        </w:sdtContent>
      </w:sdt>
      <w:r>
        <w:t>.</w:t>
      </w:r>
      <w:r w:rsidR="00B57691">
        <w:t xml:space="preserve"> </w:t>
      </w:r>
      <w:r w:rsidR="00D51B30">
        <w:t xml:space="preserve">The </w:t>
      </w:r>
      <w:r w:rsidR="00D51B30" w:rsidRPr="00FF337E">
        <w:t>environment</w:t>
      </w:r>
      <w:r w:rsidR="00D51B30">
        <w:t>al permit</w:t>
      </w:r>
      <w:r w:rsidR="00D51B30" w:rsidRPr="00FF337E">
        <w:t xml:space="preserve"> requires </w:t>
      </w:r>
      <w:r w:rsidR="00D51B30">
        <w:t xml:space="preserve">dutyholders to produce and maintain </w:t>
      </w:r>
      <w:r w:rsidR="00D51B30" w:rsidRPr="00FF337E">
        <w:t>a site wide envi</w:t>
      </w:r>
      <w:r w:rsidR="00D51B30">
        <w:t>ronmental safety case (SWESC) and Waste Management Plan (WMP)</w:t>
      </w:r>
      <w:r w:rsidR="00BD689F">
        <w:t>.</w:t>
      </w:r>
    </w:p>
    <w:p w14:paraId="53F926EF" w14:textId="341309DD" w:rsidR="009004D2" w:rsidRDefault="009004D2" w:rsidP="009004D2">
      <w:pPr>
        <w:pStyle w:val="Bulletlist1"/>
      </w:pPr>
      <w:r>
        <w:t>A licensee that is also one of the Nuclear Decommissioning Authority (NDA) operating companies may be working towards achieving an end state for the purposes of revocation of a designating direction given by the Secretary of State to the NDA under the Energy Act 2004, and if the site is in Scotland, the Scottish Ministers also.</w:t>
      </w:r>
    </w:p>
    <w:p w14:paraId="18577FEF" w14:textId="326EF315" w:rsidR="009004D2" w:rsidRPr="002534D7" w:rsidRDefault="009004D2" w:rsidP="00DB5405">
      <w:pPr>
        <w:pStyle w:val="Heading3"/>
      </w:pPr>
      <w:r>
        <w:t xml:space="preserve">On-site </w:t>
      </w:r>
      <w:r w:rsidR="0097654B">
        <w:t>d</w:t>
      </w:r>
      <w:r w:rsidRPr="00FB159E">
        <w:t xml:space="preserve">isposal of </w:t>
      </w:r>
      <w:r w:rsidR="0097654B">
        <w:t>r</w:t>
      </w:r>
      <w:r w:rsidRPr="00FB159E">
        <w:t xml:space="preserve">adioactive </w:t>
      </w:r>
      <w:r w:rsidR="0097654B">
        <w:t>w</w:t>
      </w:r>
      <w:r w:rsidRPr="00FB159E">
        <w:t xml:space="preserve">aste on </w:t>
      </w:r>
      <w:r w:rsidR="0097654B">
        <w:t>n</w:t>
      </w:r>
      <w:r w:rsidRPr="00FB159E">
        <w:t xml:space="preserve">uclear </w:t>
      </w:r>
      <w:r w:rsidR="0097654B">
        <w:t>s</w:t>
      </w:r>
      <w:r w:rsidRPr="00FB159E">
        <w:t xml:space="preserve">ites by </w:t>
      </w:r>
      <w:r w:rsidR="0097654B">
        <w:t>d</w:t>
      </w:r>
      <w:r w:rsidRPr="00FB159E">
        <w:t xml:space="preserve">eposit or </w:t>
      </w:r>
      <w:r w:rsidR="0097654B">
        <w:t>b</w:t>
      </w:r>
      <w:r w:rsidRPr="00FB159E">
        <w:t>urial</w:t>
      </w:r>
    </w:p>
    <w:p w14:paraId="6FD3B6E2" w14:textId="0895EA21" w:rsidR="009004D2" w:rsidRDefault="009004D2" w:rsidP="009004D2">
      <w:pPr>
        <w:pStyle w:val="F9-Paragraph"/>
      </w:pPr>
      <w:r>
        <w:t xml:space="preserve">ONR and the environmental regulators have jointly published a statement of common understanding (updated in 2021) which sets out the harmonised regulatory approach taken for the regulation of the on-site disposal of solid radioactive waste on nuclear sites </w:t>
      </w:r>
      <w:sdt>
        <w:sdtPr>
          <w:id w:val="-1140415302"/>
          <w:citation/>
        </w:sdtPr>
        <w:sdtEndPr/>
        <w:sdtContent>
          <w:r w:rsidR="001B3237">
            <w:fldChar w:fldCharType="begin"/>
          </w:r>
          <w:r w:rsidR="001B3237">
            <w:instrText xml:space="preserve"> CITATION ONR212 \l 2057 </w:instrText>
          </w:r>
          <w:r w:rsidR="001B3237">
            <w:fldChar w:fldCharType="separate"/>
          </w:r>
          <w:r w:rsidR="00B23A01">
            <w:rPr>
              <w:noProof/>
            </w:rPr>
            <w:t>[12]</w:t>
          </w:r>
          <w:r w:rsidR="001B3237">
            <w:fldChar w:fldCharType="end"/>
          </w:r>
        </w:sdtContent>
      </w:sdt>
      <w:r>
        <w:t xml:space="preserve">, to ensure the safety of the public, workers and the environment. </w:t>
      </w:r>
    </w:p>
    <w:p w14:paraId="696BD90F" w14:textId="24CAC39B" w:rsidR="004B00F2" w:rsidRDefault="009004D2" w:rsidP="009004D2">
      <w:pPr>
        <w:pStyle w:val="F9-Paragraph"/>
        <w:spacing w:after="0"/>
      </w:pPr>
      <w:r>
        <w:lastRenderedPageBreak/>
        <w:t xml:space="preserve">The approach ensures that any proposals for such disposals will need to demonstrate that human health and the environment will be protected. </w:t>
      </w:r>
      <w:r w:rsidR="0097654B">
        <w:br/>
      </w:r>
      <w:r>
        <w:t xml:space="preserve">The statement explains the interface between the permitting of radioactive waste disposals by the environment agencies, and the regulation of the safety of disposal activities by ONR. The document also clarifies the terminology used in this context for </w:t>
      </w:r>
      <w:r w:rsidR="00527C7B">
        <w:t>‘</w:t>
      </w:r>
      <w:r>
        <w:t>radioactive waste</w:t>
      </w:r>
      <w:r w:rsidR="00527C7B">
        <w:t>’</w:t>
      </w:r>
      <w:r>
        <w:t xml:space="preserve">, </w:t>
      </w:r>
      <w:r w:rsidR="00527C7B">
        <w:t>‘</w:t>
      </w:r>
      <w:r>
        <w:t>disposal</w:t>
      </w:r>
      <w:r w:rsidR="00527C7B">
        <w:t>’</w:t>
      </w:r>
      <w:r>
        <w:t xml:space="preserve"> and </w:t>
      </w:r>
      <w:r w:rsidR="00527C7B">
        <w:t>‘</w:t>
      </w:r>
      <w:r>
        <w:t>storage</w:t>
      </w:r>
      <w:r w:rsidR="00527C7B">
        <w:t>’</w:t>
      </w:r>
      <w:r>
        <w:t xml:space="preserve"> and sets out regulatory expectations for the timing of applications to the agencies for disposal activities. </w:t>
      </w:r>
      <w:r w:rsidR="004B00F2">
        <w:br w:type="page"/>
      </w:r>
    </w:p>
    <w:p w14:paraId="219A98D5" w14:textId="061EDF5E" w:rsidR="00140E1C" w:rsidRDefault="000950B3" w:rsidP="00E90780">
      <w:pPr>
        <w:pStyle w:val="Heading1"/>
      </w:pPr>
      <w:bookmarkStart w:id="17" w:name="_Toc183698820"/>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w:t>
      </w:r>
      <w:r w:rsidR="001C19DE">
        <w:t>G</w:t>
      </w:r>
      <w:r w:rsidR="00F7687C">
        <w:t>uides</w:t>
      </w:r>
      <w:bookmarkEnd w:id="17"/>
    </w:p>
    <w:p w14:paraId="77AE7C1A" w14:textId="77777777" w:rsidR="006D2D95" w:rsidRPr="000D626F" w:rsidRDefault="006D2D95" w:rsidP="00DB5405">
      <w:pPr>
        <w:pStyle w:val="Heading2"/>
      </w:pPr>
      <w:bookmarkStart w:id="18" w:name="_Toc88037113"/>
      <w:bookmarkStart w:id="19" w:name="_Toc183698821"/>
      <w:r w:rsidRPr="000D626F">
        <w:t>Safety Assessment Principles</w:t>
      </w:r>
      <w:bookmarkEnd w:id="18"/>
      <w:bookmarkEnd w:id="19"/>
    </w:p>
    <w:p w14:paraId="7BDBE249" w14:textId="52855831" w:rsidR="006D2D95" w:rsidRPr="002534D7" w:rsidRDefault="006D2D95" w:rsidP="006D2D95">
      <w:pPr>
        <w:pStyle w:val="F9-Paragraph"/>
      </w:pPr>
      <w:bookmarkStart w:id="20" w:name="_Ref414959518"/>
      <w:r w:rsidRPr="002534D7">
        <w:t>The Safety Assessment Principles (SAPs)</w:t>
      </w:r>
      <w:sdt>
        <w:sdtPr>
          <w:id w:val="865638040"/>
          <w:citation/>
        </w:sdtPr>
        <w:sdtEndPr/>
        <w:sdtContent>
          <w:r w:rsidR="0097654B">
            <w:fldChar w:fldCharType="begin"/>
          </w:r>
          <w:r w:rsidR="0097654B">
            <w:instrText xml:space="preserve"> CITATION Off20 \l 2057 </w:instrText>
          </w:r>
          <w:r w:rsidR="0097654B">
            <w:fldChar w:fldCharType="separate"/>
          </w:r>
          <w:r w:rsidR="00B23A01">
            <w:rPr>
              <w:noProof/>
            </w:rPr>
            <w:t xml:space="preserve"> [1]</w:t>
          </w:r>
          <w:r w:rsidR="0097654B">
            <w:fldChar w:fldCharType="end"/>
          </w:r>
        </w:sdtContent>
      </w:sdt>
      <w:r w:rsidR="00A9161F">
        <w:t xml:space="preserve"> </w:t>
      </w:r>
      <w:r w:rsidRPr="002534D7">
        <w:t xml:space="preserve">provide nuclear inspectors with a framework for making consistent regulatory judgements on the safety of activities and </w:t>
      </w:r>
      <w:r w:rsidRPr="009A13FB">
        <w:t>include</w:t>
      </w:r>
      <w:r w:rsidRPr="002534D7">
        <w:t xml:space="preserve"> the legal duty to reduce risk so far as is reasonably practicable (SFAIRP). The SAPs are split into sections relating to different aspects of nuclear safety</w:t>
      </w:r>
      <w:r>
        <w:t>. O</w:t>
      </w:r>
      <w:r w:rsidRPr="002534D7">
        <w:t xml:space="preserve">ne section </w:t>
      </w:r>
      <w:r>
        <w:t xml:space="preserve">of the SAPs is </w:t>
      </w:r>
      <w:r w:rsidRPr="002534D7">
        <w:t>dedicated to LQM</w:t>
      </w:r>
      <w:r>
        <w:t xml:space="preserve"> and those principles are summarised here</w:t>
      </w:r>
      <w:r w:rsidRPr="002534D7">
        <w:t>:</w:t>
      </w:r>
      <w:bookmarkEnd w:id="20"/>
    </w:p>
    <w:p w14:paraId="3D84F9A3" w14:textId="11BED965" w:rsidR="006D2D95" w:rsidRPr="002534D7" w:rsidRDefault="006D2D95" w:rsidP="006751A3">
      <w:pPr>
        <w:pStyle w:val="Bulletlist1"/>
      </w:pPr>
      <w:r w:rsidRPr="002534D7">
        <w:rPr>
          <w:b/>
        </w:rPr>
        <w:t>RL.1</w:t>
      </w:r>
      <w:r w:rsidRPr="002534D7">
        <w:t xml:space="preserve"> – this principle relates to the production of a strategy for the control and remediation of any known or suspected radioactively contaminated land on the site, which should be integrated with other related strategies (</w:t>
      </w:r>
      <w:r w:rsidR="00CF1935">
        <w:t>for example</w:t>
      </w:r>
      <w:r w:rsidR="00527C7B">
        <w:t>,</w:t>
      </w:r>
      <w:r w:rsidRPr="002534D7">
        <w:t xml:space="preserve"> radioactive waste or decommissioning).</w:t>
      </w:r>
    </w:p>
    <w:p w14:paraId="3169CA71" w14:textId="77777777" w:rsidR="006D2D95" w:rsidRPr="002534D7" w:rsidRDefault="006D2D95" w:rsidP="006751A3">
      <w:pPr>
        <w:pStyle w:val="Bulletlist1"/>
      </w:pPr>
      <w:r w:rsidRPr="002534D7">
        <w:rPr>
          <w:b/>
        </w:rPr>
        <w:t>RL.2</w:t>
      </w:r>
      <w:r w:rsidRPr="002534D7">
        <w:t xml:space="preserve"> – this principle relates to licensees understand</w:t>
      </w:r>
      <w:r>
        <w:t>ing</w:t>
      </w:r>
      <w:r w:rsidRPr="002534D7">
        <w:t xml:space="preserve"> the extent and nature of radioactively contaminated land on and adjacent to the site.</w:t>
      </w:r>
    </w:p>
    <w:p w14:paraId="42881DED" w14:textId="77777777" w:rsidR="006D2D95" w:rsidRPr="002534D7" w:rsidRDefault="006D2D95" w:rsidP="006751A3">
      <w:pPr>
        <w:pStyle w:val="Bulletlist1"/>
      </w:pPr>
      <w:r w:rsidRPr="002534D7">
        <w:rPr>
          <w:b/>
        </w:rPr>
        <w:t>RL.3</w:t>
      </w:r>
      <w:r w:rsidRPr="002534D7">
        <w:t xml:space="preserve"> – this principle relates to licensees hav</w:t>
      </w:r>
      <w:r>
        <w:t>ing</w:t>
      </w:r>
      <w:r w:rsidRPr="002534D7">
        <w:t xml:space="preserve"> suitable arrangements for detection of leaks and escapes giving rise to radioactive land contamination, such that they can be controlled.</w:t>
      </w:r>
    </w:p>
    <w:p w14:paraId="7AF0F4DF" w14:textId="77777777" w:rsidR="006D2D95" w:rsidRPr="002534D7" w:rsidRDefault="006D2D95" w:rsidP="006751A3">
      <w:pPr>
        <w:pStyle w:val="Bulletlist1"/>
      </w:pPr>
      <w:r w:rsidRPr="002534D7">
        <w:rPr>
          <w:b/>
        </w:rPr>
        <w:t>RL.4</w:t>
      </w:r>
      <w:r w:rsidRPr="002534D7">
        <w:t xml:space="preserve"> – this principle relates to characteris</w:t>
      </w:r>
      <w:r>
        <w:t>ation</w:t>
      </w:r>
      <w:r w:rsidRPr="002534D7">
        <w:t xml:space="preserve"> </w:t>
      </w:r>
      <w:r>
        <w:t xml:space="preserve">of </w:t>
      </w:r>
      <w:r w:rsidRPr="002534D7">
        <w:t xml:space="preserve">radioactively contaminated land to facilitate its safe and effective control and remediation. </w:t>
      </w:r>
    </w:p>
    <w:p w14:paraId="08EEFECF" w14:textId="77777777" w:rsidR="006D2D95" w:rsidRPr="002534D7" w:rsidRDefault="006D2D95" w:rsidP="006751A3">
      <w:pPr>
        <w:pStyle w:val="Bulletlist1"/>
      </w:pPr>
      <w:r w:rsidRPr="002534D7">
        <w:rPr>
          <w:b/>
        </w:rPr>
        <w:t>RL.5</w:t>
      </w:r>
      <w:r w:rsidRPr="002534D7">
        <w:t xml:space="preserve"> – this principle relates to characterisation of any radioactively contaminated land </w:t>
      </w:r>
      <w:r>
        <w:t xml:space="preserve">such that it </w:t>
      </w:r>
      <w:r w:rsidRPr="002534D7">
        <w:t>is kept up to date.</w:t>
      </w:r>
    </w:p>
    <w:p w14:paraId="53B1FEF9" w14:textId="77777777" w:rsidR="006D2D95" w:rsidRPr="002534D7" w:rsidRDefault="006D2D95" w:rsidP="006751A3">
      <w:pPr>
        <w:pStyle w:val="Bulletlist1"/>
      </w:pPr>
      <w:r w:rsidRPr="002534D7">
        <w:rPr>
          <w:b/>
        </w:rPr>
        <w:t>RL.6</w:t>
      </w:r>
      <w:r w:rsidRPr="002534D7">
        <w:t xml:space="preserve"> – this principle relates to </w:t>
      </w:r>
      <w:r>
        <w:t xml:space="preserve">preparation </w:t>
      </w:r>
      <w:r w:rsidRPr="002534D7">
        <w:t>and implement</w:t>
      </w:r>
      <w:r>
        <w:t>ation of a</w:t>
      </w:r>
      <w:r w:rsidRPr="002534D7">
        <w:t xml:space="preserve"> plan for safe control and remediation of radioactively contaminated land, and which is subject to appropriate stakeholder engagement.</w:t>
      </w:r>
    </w:p>
    <w:p w14:paraId="6E8F8400" w14:textId="77777777" w:rsidR="006D2D95" w:rsidRPr="002534D7" w:rsidRDefault="006D2D95" w:rsidP="006751A3">
      <w:pPr>
        <w:pStyle w:val="Bulletlist1"/>
      </w:pPr>
      <w:r w:rsidRPr="002534D7">
        <w:rPr>
          <w:b/>
        </w:rPr>
        <w:t>RL.7</w:t>
      </w:r>
      <w:r w:rsidRPr="002534D7">
        <w:t xml:space="preserve"> – this principle relates to </w:t>
      </w:r>
      <w:r>
        <w:t xml:space="preserve">the </w:t>
      </w:r>
      <w:r w:rsidRPr="002534D7">
        <w:t xml:space="preserve">records for safe and effective control and remediation </w:t>
      </w:r>
      <w:r>
        <w:t>of radioactively contaminated land</w:t>
      </w:r>
      <w:r w:rsidRPr="002534D7">
        <w:t>, now and in the future.</w:t>
      </w:r>
    </w:p>
    <w:p w14:paraId="1A1354D6" w14:textId="77777777" w:rsidR="006B40CA" w:rsidRPr="002534D7" w:rsidRDefault="006B40CA" w:rsidP="006B40CA">
      <w:pPr>
        <w:pStyle w:val="Bulletlist1"/>
        <w:rPr>
          <w:b/>
        </w:rPr>
      </w:pPr>
      <w:r w:rsidRPr="002534D7">
        <w:rPr>
          <w:b/>
        </w:rPr>
        <w:t>RL.8</w:t>
      </w:r>
      <w:r w:rsidRPr="002534D7">
        <w:t xml:space="preserve"> – this principle relates to </w:t>
      </w:r>
      <w:r>
        <w:t xml:space="preserve">appropriate remediation and control of </w:t>
      </w:r>
      <w:r w:rsidRPr="002534D7">
        <w:t>any radioactively contaminated land prior to construction of new facilities upon that land.</w:t>
      </w:r>
    </w:p>
    <w:p w14:paraId="12C7E346" w14:textId="77777777" w:rsidR="006D2D95" w:rsidRPr="002534D7" w:rsidRDefault="006D2D95" w:rsidP="006751A3">
      <w:pPr>
        <w:pStyle w:val="Bulletlist1"/>
      </w:pPr>
      <w:r w:rsidRPr="002534D7">
        <w:rPr>
          <w:b/>
        </w:rPr>
        <w:lastRenderedPageBreak/>
        <w:t>RL.9</w:t>
      </w:r>
      <w:r w:rsidRPr="002534D7">
        <w:t xml:space="preserve"> – this principle relates to the produc</w:t>
      </w:r>
      <w:r>
        <w:t>tion of</w:t>
      </w:r>
      <w:r w:rsidRPr="002534D7">
        <w:t xml:space="preserve"> a safety case to demonstrate safety of LQM activities, which is kept up to date as work progresses.</w:t>
      </w:r>
    </w:p>
    <w:p w14:paraId="10C31249" w14:textId="77777777" w:rsidR="006D2D95" w:rsidRPr="002534D7" w:rsidRDefault="006D2D95" w:rsidP="006D2D95">
      <w:pPr>
        <w:pStyle w:val="F9-Paragraph"/>
      </w:pPr>
      <w:bookmarkStart w:id="21" w:name="_Ref414959530"/>
      <w:r w:rsidRPr="002534D7">
        <w:t>In addition to the LQM SAPs, the following SAPs may also be of relevance to LQM:</w:t>
      </w:r>
      <w:bookmarkEnd w:id="21"/>
    </w:p>
    <w:p w14:paraId="26A13CAF" w14:textId="77777777" w:rsidR="006D2D95" w:rsidRPr="002534D7" w:rsidRDefault="006D2D95" w:rsidP="006751A3">
      <w:pPr>
        <w:pStyle w:val="Bulletlist1"/>
      </w:pPr>
      <w:r w:rsidRPr="002534D7">
        <w:rPr>
          <w:b/>
        </w:rPr>
        <w:t>SC.1, SC.3 to SC.8</w:t>
      </w:r>
      <w:r w:rsidRPr="002534D7">
        <w:t xml:space="preserve"> – these principles relate to the process for producing safety cases, including their characteristics, content, maintenance and ownership.</w:t>
      </w:r>
    </w:p>
    <w:p w14:paraId="12A1C7F7" w14:textId="77777777" w:rsidR="006D2D95" w:rsidRPr="002534D7" w:rsidRDefault="006D2D95" w:rsidP="006751A3">
      <w:pPr>
        <w:pStyle w:val="Bulletlist1"/>
        <w:rPr>
          <w:b/>
        </w:rPr>
      </w:pPr>
      <w:r w:rsidRPr="002534D7">
        <w:rPr>
          <w:b/>
        </w:rPr>
        <w:t>RP.1 to RP.7</w:t>
      </w:r>
      <w:r w:rsidRPr="002534D7">
        <w:t xml:space="preserve"> – these principles relate to radiation protection and control of areas to limit spread of radioactive contamination.</w:t>
      </w:r>
    </w:p>
    <w:p w14:paraId="6380FFA8" w14:textId="77777777" w:rsidR="006D2D95" w:rsidRPr="002534D7" w:rsidRDefault="006D2D95" w:rsidP="006751A3">
      <w:pPr>
        <w:pStyle w:val="Bulletlist1"/>
      </w:pPr>
      <w:r w:rsidRPr="002534D7">
        <w:rPr>
          <w:b/>
        </w:rPr>
        <w:t>ENM.1 to ENM.6</w:t>
      </w:r>
      <w:r w:rsidRPr="002534D7">
        <w:t xml:space="preserve"> – these principles relate to the control of nuclear matter on the nuclear licensed site.</w:t>
      </w:r>
    </w:p>
    <w:p w14:paraId="66DCC152" w14:textId="77777777" w:rsidR="006D2D95" w:rsidRPr="002534D7" w:rsidRDefault="006D2D95" w:rsidP="006751A3">
      <w:pPr>
        <w:pStyle w:val="Bulletlist1"/>
      </w:pPr>
      <w:r w:rsidRPr="002534D7">
        <w:rPr>
          <w:b/>
        </w:rPr>
        <w:t>RW.1 to RW.7</w:t>
      </w:r>
      <w:r w:rsidRPr="002534D7">
        <w:t xml:space="preserve"> – these principles relate to the management of radioactive waste at all stages of the lifecycle of a facility.</w:t>
      </w:r>
    </w:p>
    <w:p w14:paraId="3DF15934" w14:textId="77777777" w:rsidR="006D2D95" w:rsidRPr="002534D7" w:rsidRDefault="006D2D95" w:rsidP="006751A3">
      <w:pPr>
        <w:pStyle w:val="Bulletlist1"/>
      </w:pPr>
      <w:r w:rsidRPr="002534D7">
        <w:rPr>
          <w:b/>
        </w:rPr>
        <w:t>DC.1 to DC.6, DC.9</w:t>
      </w:r>
      <w:r w:rsidRPr="002534D7">
        <w:t xml:space="preserve"> – these principles relate to arrangements for decommissioning of a facility, which apply at all stages of the lifecycle of a facility.</w:t>
      </w:r>
    </w:p>
    <w:p w14:paraId="6EF807BD" w14:textId="4B73E605" w:rsidR="006D2D95" w:rsidRPr="002534D7" w:rsidRDefault="006D2D95" w:rsidP="006751A3">
      <w:pPr>
        <w:pStyle w:val="Bulletlist1"/>
        <w:rPr>
          <w:b/>
        </w:rPr>
      </w:pPr>
      <w:r w:rsidRPr="002534D7">
        <w:rPr>
          <w:b/>
        </w:rPr>
        <w:t>ECS.1 to ECS.5</w:t>
      </w:r>
      <w:r w:rsidRPr="002534D7">
        <w:t xml:space="preserve"> – these principles relate to classification and standards of SSC</w:t>
      </w:r>
      <w:r w:rsidR="008C59F4">
        <w:t>s</w:t>
      </w:r>
      <w:r w:rsidRPr="002534D7">
        <w:t xml:space="preserve"> employed to deliver safety functions, which </w:t>
      </w:r>
      <w:r>
        <w:t xml:space="preserve">may </w:t>
      </w:r>
      <w:r w:rsidRPr="002534D7">
        <w:t>include, for instance, leak detection systems and groundwater monitoring networks.</w:t>
      </w:r>
    </w:p>
    <w:p w14:paraId="3C4DD46C" w14:textId="30D5C5EE" w:rsidR="006D2D95" w:rsidRPr="002534D7" w:rsidRDefault="006D2D95" w:rsidP="006751A3">
      <w:pPr>
        <w:pStyle w:val="Bulletlist1"/>
        <w:rPr>
          <w:b/>
        </w:rPr>
      </w:pPr>
      <w:r w:rsidRPr="002534D7">
        <w:rPr>
          <w:b/>
        </w:rPr>
        <w:t>EMT.2</w:t>
      </w:r>
      <w:r w:rsidRPr="002534D7">
        <w:t xml:space="preserve"> – this principle relates to the regular and systematic examination, inspection, maintenance and testing</w:t>
      </w:r>
      <w:r>
        <w:t xml:space="preserve"> of SSC</w:t>
      </w:r>
      <w:r w:rsidR="008C59F4">
        <w:t>s</w:t>
      </w:r>
      <w:r>
        <w:t xml:space="preserve"> e</w:t>
      </w:r>
      <w:r w:rsidRPr="002534D7">
        <w:t>mployed in, for instance, preventing land contamination and delivering LQM plans, as defined in the safety case.</w:t>
      </w:r>
    </w:p>
    <w:p w14:paraId="10DB0955" w14:textId="77777777" w:rsidR="006D2D95" w:rsidRPr="002534D7" w:rsidRDefault="006D2D95" w:rsidP="006751A3">
      <w:pPr>
        <w:pStyle w:val="Bulletlist1"/>
        <w:rPr>
          <w:b/>
        </w:rPr>
      </w:pPr>
      <w:r w:rsidRPr="002534D7">
        <w:rPr>
          <w:b/>
        </w:rPr>
        <w:t>ESR.8</w:t>
      </w:r>
      <w:r w:rsidRPr="002534D7">
        <w:t xml:space="preserve"> – this principle relates to the </w:t>
      </w:r>
      <w:r>
        <w:t xml:space="preserve">provision of </w:t>
      </w:r>
      <w:r w:rsidRPr="002534D7">
        <w:t xml:space="preserve">leak detection systems, which includes instrumentation to enable monitoring of the location and quantity of escaped radioactive material. </w:t>
      </w:r>
    </w:p>
    <w:p w14:paraId="59A59132" w14:textId="77777777" w:rsidR="006D2D95" w:rsidRDefault="006D2D95" w:rsidP="006751A3">
      <w:pPr>
        <w:pStyle w:val="Bulletlist1"/>
      </w:pPr>
      <w:r w:rsidRPr="006D2D95">
        <w:rPr>
          <w:b/>
        </w:rPr>
        <w:t>FP.1 to FP.5, FP.8</w:t>
      </w:r>
      <w:r w:rsidRPr="002534D7">
        <w:t xml:space="preserve"> – these are the fundamental principles which underpin the SAPs and outline ONR’s expectations regarding responsibility, leadership and management for safety, optimisation of protection measures, safety assessment, limitation of risks to individuals and protection of present and future generations.</w:t>
      </w:r>
      <w:bookmarkStart w:id="22" w:name="_Toc88037114"/>
    </w:p>
    <w:p w14:paraId="52D66386" w14:textId="77777777" w:rsidR="003A6709" w:rsidRDefault="003A6709" w:rsidP="006D2D95">
      <w:pPr>
        <w:pStyle w:val="Heading2"/>
        <w:sectPr w:rsidR="003A6709" w:rsidSect="008A4D4B">
          <w:endnotePr>
            <w:numFmt w:val="decimal"/>
          </w:endnotePr>
          <w:pgSz w:w="11906" w:h="16838"/>
          <w:pgMar w:top="1440" w:right="1440" w:bottom="1440" w:left="1440" w:header="708" w:footer="708" w:gutter="0"/>
          <w:cols w:space="708"/>
          <w:docGrid w:linePitch="360"/>
        </w:sectPr>
      </w:pPr>
      <w:bookmarkStart w:id="23" w:name="_Toc183698822"/>
    </w:p>
    <w:p w14:paraId="526CAAD5" w14:textId="11FE08D5" w:rsidR="006D2D95" w:rsidRPr="002534D7" w:rsidRDefault="006D2D95" w:rsidP="006D2D95">
      <w:pPr>
        <w:pStyle w:val="Heading2"/>
      </w:pPr>
      <w:r w:rsidRPr="002534D7">
        <w:lastRenderedPageBreak/>
        <w:t>Technical Assessment Guides</w:t>
      </w:r>
      <w:bookmarkEnd w:id="22"/>
      <w:bookmarkEnd w:id="23"/>
    </w:p>
    <w:p w14:paraId="2DE28FC3" w14:textId="0F55D1E8" w:rsidR="006D2D95" w:rsidRPr="002534D7" w:rsidRDefault="006D2D95" w:rsidP="006D2D95">
      <w:pPr>
        <w:pStyle w:val="F9-Paragraph"/>
      </w:pPr>
      <w:r w:rsidRPr="002534D7">
        <w:t xml:space="preserve">There are many other TAGs which may be of relevance to LQM, due to the large number of SAPs which are of potential relevance. The full list of TAGs can be accessed </w:t>
      </w:r>
      <w:r w:rsidR="0097654B">
        <w:t>through the</w:t>
      </w:r>
      <w:r w:rsidRPr="002534D7">
        <w:t xml:space="preserve"> </w:t>
      </w:r>
      <w:hyperlink r:id="rId20" w:history="1">
        <w:r w:rsidRPr="00E14323">
          <w:rPr>
            <w:rStyle w:val="Hyperlink"/>
          </w:rPr>
          <w:t>ONR website</w:t>
        </w:r>
      </w:hyperlink>
      <w:r w:rsidRPr="002534D7">
        <w:t xml:space="preserve">, </w:t>
      </w:r>
      <w:r>
        <w:t>and</w:t>
      </w:r>
      <w:r w:rsidRPr="002534D7">
        <w:t xml:space="preserve"> the most relevant are listed </w:t>
      </w:r>
      <w:r w:rsidR="00577093">
        <w:t xml:space="preserve">in the </w:t>
      </w:r>
      <w:r w:rsidR="003A6709">
        <w:fldChar w:fldCharType="begin"/>
      </w:r>
      <w:r w:rsidR="003A6709">
        <w:instrText xml:space="preserve"> REF _Ref183699065 \h </w:instrText>
      </w:r>
      <w:r w:rsidR="003A6709">
        <w:fldChar w:fldCharType="separate"/>
      </w:r>
      <w:r w:rsidR="003A6709">
        <w:t xml:space="preserve">Table </w:t>
      </w:r>
      <w:r w:rsidR="003A6709">
        <w:rPr>
          <w:noProof/>
        </w:rPr>
        <w:t>1</w:t>
      </w:r>
      <w:r w:rsidR="003A6709">
        <w:fldChar w:fldCharType="end"/>
      </w:r>
      <w:r w:rsidR="00577093">
        <w:t>.</w:t>
      </w:r>
    </w:p>
    <w:p w14:paraId="6D1BE351" w14:textId="4BC69105" w:rsidR="003A6709" w:rsidRDefault="003A6709" w:rsidP="003A6709">
      <w:pPr>
        <w:pStyle w:val="Caption"/>
        <w:keepNext/>
        <w:spacing w:before="240" w:after="120"/>
        <w:ind w:left="851"/>
      </w:pPr>
      <w:bookmarkStart w:id="24" w:name="_Ref183699065"/>
      <w:r>
        <w:t xml:space="preserve">Table </w:t>
      </w:r>
      <w:r>
        <w:fldChar w:fldCharType="begin"/>
      </w:r>
      <w:r>
        <w:instrText xml:space="preserve"> SEQ Table \* ARABIC </w:instrText>
      </w:r>
      <w:r>
        <w:fldChar w:fldCharType="separate"/>
      </w:r>
      <w:r>
        <w:rPr>
          <w:noProof/>
        </w:rPr>
        <w:t>1</w:t>
      </w:r>
      <w:r>
        <w:fldChar w:fldCharType="end"/>
      </w:r>
      <w:bookmarkEnd w:id="24"/>
      <w:r>
        <w:t xml:space="preserve"> </w:t>
      </w:r>
      <w:r w:rsidR="006C2D10">
        <w:t>–</w:t>
      </w:r>
      <w:r>
        <w:t xml:space="preserve"> Relevant</w:t>
      </w:r>
      <w:r w:rsidR="006C2D10">
        <w:t xml:space="preserve"> </w:t>
      </w:r>
      <w:r>
        <w:t>TAGs</w:t>
      </w:r>
    </w:p>
    <w:tbl>
      <w:tblPr>
        <w:tblStyle w:val="ONRTable1"/>
        <w:tblW w:w="0" w:type="auto"/>
        <w:tblInd w:w="851" w:type="dxa"/>
        <w:tblLook w:val="04A0" w:firstRow="1" w:lastRow="0" w:firstColumn="1" w:lastColumn="0" w:noHBand="0" w:noVBand="1"/>
      </w:tblPr>
      <w:tblGrid>
        <w:gridCol w:w="2410"/>
        <w:gridCol w:w="5760"/>
      </w:tblGrid>
      <w:tr w:rsidR="00577093" w:rsidRPr="0097654B" w14:paraId="2CFF5BF8" w14:textId="77777777" w:rsidTr="003A6709">
        <w:trPr>
          <w:cnfStyle w:val="100000000000" w:firstRow="1" w:lastRow="0" w:firstColumn="0" w:lastColumn="0" w:oddVBand="0" w:evenVBand="0" w:oddHBand="0" w:evenHBand="0" w:firstRowFirstColumn="0" w:firstRowLastColumn="0" w:lastRowFirstColumn="0" w:lastRowLastColumn="0"/>
        </w:trPr>
        <w:tc>
          <w:tcPr>
            <w:tcW w:w="2410" w:type="dxa"/>
          </w:tcPr>
          <w:p w14:paraId="665D4653" w14:textId="184394C7" w:rsidR="00577093" w:rsidRPr="0097654B" w:rsidRDefault="0097654B" w:rsidP="0097654B">
            <w:pPr>
              <w:pStyle w:val="Bulletlist1"/>
              <w:numPr>
                <w:ilvl w:val="0"/>
                <w:numId w:val="0"/>
              </w:numPr>
              <w:spacing w:before="60" w:after="60"/>
              <w:rPr>
                <w:b w:val="0"/>
                <w:bCs w:val="0"/>
              </w:rPr>
            </w:pPr>
            <w:r>
              <w:rPr>
                <w:b w:val="0"/>
                <w:bCs w:val="0"/>
              </w:rPr>
              <w:t>Document r</w:t>
            </w:r>
            <w:r w:rsidR="000873F0" w:rsidRPr="0097654B">
              <w:rPr>
                <w:b w:val="0"/>
                <w:bCs w:val="0"/>
              </w:rPr>
              <w:t>eference</w:t>
            </w:r>
          </w:p>
        </w:tc>
        <w:tc>
          <w:tcPr>
            <w:tcW w:w="5760" w:type="dxa"/>
          </w:tcPr>
          <w:p w14:paraId="235FCB1A" w14:textId="430C2B9B" w:rsidR="00577093" w:rsidRPr="0097654B" w:rsidRDefault="000873F0" w:rsidP="0097654B">
            <w:pPr>
              <w:pStyle w:val="Bulletlist1"/>
              <w:numPr>
                <w:ilvl w:val="0"/>
                <w:numId w:val="0"/>
              </w:numPr>
              <w:spacing w:before="60" w:after="60"/>
              <w:rPr>
                <w:b w:val="0"/>
                <w:bCs w:val="0"/>
              </w:rPr>
            </w:pPr>
            <w:r w:rsidRPr="0097654B">
              <w:rPr>
                <w:b w:val="0"/>
                <w:bCs w:val="0"/>
              </w:rPr>
              <w:t>Title</w:t>
            </w:r>
          </w:p>
        </w:tc>
      </w:tr>
      <w:tr w:rsidR="00577093" w14:paraId="3C31C681" w14:textId="77777777" w:rsidTr="003A6709">
        <w:tc>
          <w:tcPr>
            <w:tcW w:w="2410" w:type="dxa"/>
          </w:tcPr>
          <w:p w14:paraId="1298784C" w14:textId="27BFF792" w:rsidR="00577093" w:rsidRDefault="006A2A9C" w:rsidP="0097654B">
            <w:pPr>
              <w:pStyle w:val="Bulletlist1"/>
              <w:numPr>
                <w:ilvl w:val="0"/>
                <w:numId w:val="0"/>
              </w:numPr>
              <w:spacing w:before="60" w:after="60"/>
            </w:pPr>
            <w:r w:rsidRPr="002534D7">
              <w:t>NS-TAST-GD-005</w:t>
            </w:r>
          </w:p>
        </w:tc>
        <w:tc>
          <w:tcPr>
            <w:tcW w:w="5760" w:type="dxa"/>
          </w:tcPr>
          <w:p w14:paraId="7E4BC782" w14:textId="5C40B69C" w:rsidR="00577093" w:rsidRDefault="00F810AB" w:rsidP="0097654B">
            <w:pPr>
              <w:pStyle w:val="Bulletlist1"/>
              <w:numPr>
                <w:ilvl w:val="0"/>
                <w:numId w:val="0"/>
              </w:numPr>
              <w:spacing w:before="60" w:after="60"/>
            </w:pPr>
            <w:r>
              <w:t>Regulating duties to reduce risks to ALARP</w:t>
            </w:r>
            <w:r w:rsidR="0097654B">
              <w:t xml:space="preserve"> </w:t>
            </w:r>
            <w:sdt>
              <w:sdtPr>
                <w:id w:val="-1845312171"/>
                <w:citation/>
              </w:sdtPr>
              <w:sdtEndPr/>
              <w:sdtContent>
                <w:r w:rsidR="0097654B">
                  <w:fldChar w:fldCharType="begin"/>
                </w:r>
                <w:r w:rsidR="0097654B">
                  <w:instrText xml:space="preserve"> CITATION ONR16 \l 2057 </w:instrText>
                </w:r>
                <w:r w:rsidR="0097654B">
                  <w:fldChar w:fldCharType="separate"/>
                </w:r>
                <w:r w:rsidR="00B23A01" w:rsidRPr="00B23A01">
                  <w:rPr>
                    <w:noProof/>
                  </w:rPr>
                  <w:t>[10]</w:t>
                </w:r>
                <w:r w:rsidR="0097654B">
                  <w:fldChar w:fldCharType="end"/>
                </w:r>
              </w:sdtContent>
            </w:sdt>
          </w:p>
        </w:tc>
      </w:tr>
      <w:tr w:rsidR="00577093" w14:paraId="1E225BF4" w14:textId="77777777" w:rsidTr="003A6709">
        <w:tc>
          <w:tcPr>
            <w:tcW w:w="2410" w:type="dxa"/>
          </w:tcPr>
          <w:p w14:paraId="5C991B81" w14:textId="59DBEAEA" w:rsidR="00577093" w:rsidRDefault="00525DC7" w:rsidP="0097654B">
            <w:pPr>
              <w:pStyle w:val="Bulletlist1"/>
              <w:numPr>
                <w:ilvl w:val="0"/>
                <w:numId w:val="0"/>
              </w:numPr>
              <w:spacing w:before="60" w:after="60"/>
            </w:pPr>
            <w:r>
              <w:t>NS-TAST-GD-009</w:t>
            </w:r>
          </w:p>
        </w:tc>
        <w:tc>
          <w:tcPr>
            <w:tcW w:w="5760" w:type="dxa"/>
          </w:tcPr>
          <w:p w14:paraId="78C0F921" w14:textId="397EA8FA" w:rsidR="00577093" w:rsidRDefault="006A2A9C" w:rsidP="0097654B">
            <w:pPr>
              <w:pStyle w:val="Bulletlist1"/>
              <w:numPr>
                <w:ilvl w:val="0"/>
                <w:numId w:val="0"/>
              </w:numPr>
              <w:spacing w:before="60" w:after="60"/>
            </w:pPr>
            <w:r w:rsidRPr="002534D7">
              <w:t>Examination, inspection, maintenance and testing of items important to safety</w:t>
            </w:r>
            <w:r w:rsidR="0097654B">
              <w:t xml:space="preserve"> </w:t>
            </w:r>
            <w:sdt>
              <w:sdtPr>
                <w:id w:val="1306356247"/>
                <w:citation/>
              </w:sdtPr>
              <w:sdtEndPr/>
              <w:sdtContent>
                <w:r w:rsidR="0097654B">
                  <w:fldChar w:fldCharType="begin"/>
                </w:r>
                <w:r w:rsidR="0097654B">
                  <w:instrText xml:space="preserve"> CITATION ONR128 \l 2057 </w:instrText>
                </w:r>
                <w:r w:rsidR="0097654B">
                  <w:fldChar w:fldCharType="separate"/>
                </w:r>
                <w:r w:rsidR="00B23A01" w:rsidRPr="00B23A01">
                  <w:rPr>
                    <w:noProof/>
                  </w:rPr>
                  <w:t>[21]</w:t>
                </w:r>
                <w:r w:rsidR="0097654B">
                  <w:fldChar w:fldCharType="end"/>
                </w:r>
              </w:sdtContent>
            </w:sdt>
          </w:p>
        </w:tc>
      </w:tr>
      <w:tr w:rsidR="00577093" w14:paraId="2669F309" w14:textId="77777777" w:rsidTr="003A6709">
        <w:tc>
          <w:tcPr>
            <w:tcW w:w="2410" w:type="dxa"/>
          </w:tcPr>
          <w:p w14:paraId="272E67F3" w14:textId="1CC1DB4E" w:rsidR="00577093" w:rsidRDefault="006A2A9C" w:rsidP="0097654B">
            <w:pPr>
              <w:pStyle w:val="Bulletlist1"/>
              <w:numPr>
                <w:ilvl w:val="0"/>
                <w:numId w:val="0"/>
              </w:numPr>
              <w:spacing w:before="60" w:after="60"/>
            </w:pPr>
            <w:r>
              <w:t>NS-TAST-GD-023</w:t>
            </w:r>
          </w:p>
        </w:tc>
        <w:tc>
          <w:tcPr>
            <w:tcW w:w="5760" w:type="dxa"/>
          </w:tcPr>
          <w:p w14:paraId="3A56939E" w14:textId="70932D29" w:rsidR="00577093" w:rsidRDefault="006A2A9C" w:rsidP="0097654B">
            <w:pPr>
              <w:pStyle w:val="Bulletlist1"/>
              <w:numPr>
                <w:ilvl w:val="0"/>
                <w:numId w:val="0"/>
              </w:numPr>
              <w:spacing w:before="60" w:after="60"/>
            </w:pPr>
            <w:r>
              <w:t>Control of processes involving nuclear matter</w:t>
            </w:r>
            <w:r w:rsidR="0097654B">
              <w:t xml:space="preserve"> </w:t>
            </w:r>
            <w:sdt>
              <w:sdtPr>
                <w:id w:val="-1185666336"/>
                <w:citation/>
              </w:sdtPr>
              <w:sdtEndPr/>
              <w:sdtContent>
                <w:r w:rsidR="0097654B">
                  <w:fldChar w:fldCharType="begin"/>
                </w:r>
                <w:r w:rsidR="0097654B">
                  <w:instrText xml:space="preserve"> CITATION ONR533 \l 2057 </w:instrText>
                </w:r>
                <w:r w:rsidR="0097654B">
                  <w:fldChar w:fldCharType="separate"/>
                </w:r>
                <w:r w:rsidR="00B23A01" w:rsidRPr="00B23A01">
                  <w:rPr>
                    <w:noProof/>
                  </w:rPr>
                  <w:t>[22]</w:t>
                </w:r>
                <w:r w:rsidR="0097654B">
                  <w:fldChar w:fldCharType="end"/>
                </w:r>
              </w:sdtContent>
            </w:sdt>
          </w:p>
        </w:tc>
      </w:tr>
      <w:tr w:rsidR="00577093" w14:paraId="63B997C4" w14:textId="77777777" w:rsidTr="003A6709">
        <w:tc>
          <w:tcPr>
            <w:tcW w:w="2410" w:type="dxa"/>
          </w:tcPr>
          <w:p w14:paraId="499D638E" w14:textId="5EF55924" w:rsidR="00577093" w:rsidRDefault="006A2A9C" w:rsidP="0097654B">
            <w:pPr>
              <w:pStyle w:val="Bulletlist1"/>
              <w:numPr>
                <w:ilvl w:val="0"/>
                <w:numId w:val="0"/>
              </w:numPr>
              <w:spacing w:before="60" w:after="60"/>
            </w:pPr>
            <w:r w:rsidRPr="002534D7">
              <w:t>NS-TAST-GD-024</w:t>
            </w:r>
          </w:p>
        </w:tc>
        <w:tc>
          <w:tcPr>
            <w:tcW w:w="5760" w:type="dxa"/>
          </w:tcPr>
          <w:p w14:paraId="36011CC6" w14:textId="536F5F7D" w:rsidR="00577093" w:rsidRDefault="006A2A9C" w:rsidP="0097654B">
            <w:pPr>
              <w:pStyle w:val="Bulletlist1"/>
              <w:numPr>
                <w:ilvl w:val="0"/>
                <w:numId w:val="0"/>
              </w:numPr>
              <w:spacing w:before="60" w:after="60"/>
            </w:pPr>
            <w:r w:rsidRPr="002534D7">
              <w:t>Management of radioactive material and radioactive waste on nuclear licensed sites</w:t>
            </w:r>
            <w:r w:rsidR="0097654B">
              <w:t xml:space="preserve"> </w:t>
            </w:r>
            <w:sdt>
              <w:sdtPr>
                <w:id w:val="-1812555306"/>
                <w:citation/>
              </w:sdtPr>
              <w:sdtEndPr/>
              <w:sdtContent>
                <w:r w:rsidR="0097654B">
                  <w:fldChar w:fldCharType="begin"/>
                </w:r>
                <w:r w:rsidR="0097654B">
                  <w:instrText xml:space="preserve"> CITATION ONR472 \l 2057 </w:instrText>
                </w:r>
                <w:r w:rsidR="0097654B">
                  <w:fldChar w:fldCharType="separate"/>
                </w:r>
                <w:r w:rsidR="00B23A01" w:rsidRPr="00B23A01">
                  <w:rPr>
                    <w:noProof/>
                  </w:rPr>
                  <w:t>[23]</w:t>
                </w:r>
                <w:r w:rsidR="0097654B">
                  <w:fldChar w:fldCharType="end"/>
                </w:r>
              </w:sdtContent>
            </w:sdt>
          </w:p>
        </w:tc>
      </w:tr>
      <w:tr w:rsidR="00577093" w14:paraId="249DE617" w14:textId="77777777" w:rsidTr="003A6709">
        <w:tc>
          <w:tcPr>
            <w:tcW w:w="2410" w:type="dxa"/>
          </w:tcPr>
          <w:p w14:paraId="6200311D" w14:textId="0090C715" w:rsidR="00577093" w:rsidRDefault="006A2A9C" w:rsidP="0097654B">
            <w:pPr>
              <w:pStyle w:val="Bulletlist1"/>
              <w:numPr>
                <w:ilvl w:val="0"/>
                <w:numId w:val="0"/>
              </w:numPr>
              <w:spacing w:before="60" w:after="60"/>
            </w:pPr>
            <w:r w:rsidRPr="002534D7">
              <w:t>NS-TAST-GD-026</w:t>
            </w:r>
          </w:p>
        </w:tc>
        <w:tc>
          <w:tcPr>
            <w:tcW w:w="5760" w:type="dxa"/>
          </w:tcPr>
          <w:p w14:paraId="3C69097D" w14:textId="4009CF73" w:rsidR="00577093" w:rsidRDefault="006A2A9C" w:rsidP="0097654B">
            <w:pPr>
              <w:pStyle w:val="Bulletlist1"/>
              <w:numPr>
                <w:ilvl w:val="0"/>
                <w:numId w:val="0"/>
              </w:numPr>
              <w:spacing w:before="60" w:after="60"/>
            </w:pPr>
            <w:r w:rsidRPr="002534D7">
              <w:t>Decommissioning</w:t>
            </w:r>
            <w:r w:rsidR="0097654B">
              <w:t xml:space="preserve"> </w:t>
            </w:r>
            <w:sdt>
              <w:sdtPr>
                <w:id w:val="1132988370"/>
                <w:citation/>
              </w:sdtPr>
              <w:sdtEndPr/>
              <w:sdtContent>
                <w:r w:rsidR="0097654B">
                  <w:fldChar w:fldCharType="begin"/>
                </w:r>
                <w:r w:rsidR="0097654B">
                  <w:instrText xml:space="preserve"> CITATION ONR156 \l 2057 </w:instrText>
                </w:r>
                <w:r w:rsidR="0097654B">
                  <w:fldChar w:fldCharType="separate"/>
                </w:r>
                <w:r w:rsidR="00B23A01" w:rsidRPr="00B23A01">
                  <w:rPr>
                    <w:noProof/>
                  </w:rPr>
                  <w:t>[24]</w:t>
                </w:r>
                <w:r w:rsidR="0097654B">
                  <w:fldChar w:fldCharType="end"/>
                </w:r>
              </w:sdtContent>
            </w:sdt>
          </w:p>
        </w:tc>
      </w:tr>
      <w:tr w:rsidR="00577093" w14:paraId="2DB5685E" w14:textId="77777777" w:rsidTr="003A6709">
        <w:tc>
          <w:tcPr>
            <w:tcW w:w="2410" w:type="dxa"/>
          </w:tcPr>
          <w:p w14:paraId="0E420B78" w14:textId="3BFA0BAF" w:rsidR="00577093" w:rsidRDefault="006A2A9C" w:rsidP="0097654B">
            <w:pPr>
              <w:pStyle w:val="Bulletlist1"/>
              <w:numPr>
                <w:ilvl w:val="0"/>
                <w:numId w:val="0"/>
              </w:numPr>
              <w:spacing w:before="60" w:after="60"/>
            </w:pPr>
            <w:r w:rsidRPr="002534D7">
              <w:t>NS-TAST-GD-033</w:t>
            </w:r>
          </w:p>
        </w:tc>
        <w:tc>
          <w:tcPr>
            <w:tcW w:w="5760" w:type="dxa"/>
          </w:tcPr>
          <w:p w14:paraId="16BEB86A" w14:textId="081057A9" w:rsidR="00577093" w:rsidRDefault="0005633C" w:rsidP="0097654B">
            <w:pPr>
              <w:pStyle w:val="Bulletlist1"/>
              <w:numPr>
                <w:ilvl w:val="0"/>
                <w:numId w:val="0"/>
              </w:numPr>
              <w:spacing w:before="60" w:after="60"/>
            </w:pPr>
            <w:r>
              <w:t>M</w:t>
            </w:r>
            <w:r w:rsidRPr="002534D7">
              <w:t xml:space="preserve">anagement </w:t>
            </w:r>
            <w:r w:rsidR="006A2A9C" w:rsidRPr="002534D7">
              <w:t>of records</w:t>
            </w:r>
            <w:r w:rsidR="0097654B">
              <w:t xml:space="preserve"> </w:t>
            </w:r>
            <w:sdt>
              <w:sdtPr>
                <w:id w:val="-1135398730"/>
                <w:citation/>
              </w:sdtPr>
              <w:sdtEndPr/>
              <w:sdtContent>
                <w:r w:rsidR="0097654B">
                  <w:fldChar w:fldCharType="begin"/>
                </w:r>
                <w:r w:rsidR="0097654B">
                  <w:instrText xml:space="preserve">CITATION ONR23 \l 2057 </w:instrText>
                </w:r>
                <w:r w:rsidR="0097654B">
                  <w:fldChar w:fldCharType="separate"/>
                </w:r>
                <w:r w:rsidR="00B23A01" w:rsidRPr="00B23A01">
                  <w:rPr>
                    <w:noProof/>
                  </w:rPr>
                  <w:t>[25]</w:t>
                </w:r>
                <w:r w:rsidR="0097654B">
                  <w:fldChar w:fldCharType="end"/>
                </w:r>
              </w:sdtContent>
            </w:sdt>
          </w:p>
        </w:tc>
      </w:tr>
      <w:tr w:rsidR="00577093" w14:paraId="0AC23AB2" w14:textId="77777777" w:rsidTr="003A6709">
        <w:tc>
          <w:tcPr>
            <w:tcW w:w="2410" w:type="dxa"/>
          </w:tcPr>
          <w:p w14:paraId="32DBF51A" w14:textId="3E85CC8D" w:rsidR="00577093" w:rsidRDefault="006A2A9C" w:rsidP="0097654B">
            <w:pPr>
              <w:pStyle w:val="Bulletlist1"/>
              <w:numPr>
                <w:ilvl w:val="0"/>
                <w:numId w:val="0"/>
              </w:numPr>
              <w:spacing w:before="60" w:after="60"/>
            </w:pPr>
            <w:r w:rsidRPr="002534D7">
              <w:t>NS-TAST-GD-038</w:t>
            </w:r>
          </w:p>
        </w:tc>
        <w:tc>
          <w:tcPr>
            <w:tcW w:w="5760" w:type="dxa"/>
          </w:tcPr>
          <w:p w14:paraId="3B56C4A1" w14:textId="70D4B01C" w:rsidR="00577093" w:rsidRDefault="006A2A9C" w:rsidP="0097654B">
            <w:pPr>
              <w:pStyle w:val="Bulletlist1"/>
              <w:numPr>
                <w:ilvl w:val="0"/>
                <w:numId w:val="0"/>
              </w:numPr>
              <w:spacing w:before="60" w:after="60"/>
            </w:pPr>
            <w:r w:rsidRPr="002534D7">
              <w:t>Radiological protection</w:t>
            </w:r>
            <w:r w:rsidR="0097654B">
              <w:t xml:space="preserve"> </w:t>
            </w:r>
            <w:sdt>
              <w:sdtPr>
                <w:id w:val="1189413709"/>
                <w:citation/>
              </w:sdtPr>
              <w:sdtEndPr/>
              <w:sdtContent>
                <w:r w:rsidR="0097654B">
                  <w:fldChar w:fldCharType="begin"/>
                </w:r>
                <w:r w:rsidR="0097654B">
                  <w:instrText xml:space="preserve"> CITATION ONR158 \l 2057 </w:instrText>
                </w:r>
                <w:r w:rsidR="0097654B">
                  <w:fldChar w:fldCharType="separate"/>
                </w:r>
                <w:r w:rsidR="00B23A01" w:rsidRPr="00B23A01">
                  <w:rPr>
                    <w:noProof/>
                  </w:rPr>
                  <w:t>[26]</w:t>
                </w:r>
                <w:r w:rsidR="0097654B">
                  <w:fldChar w:fldCharType="end"/>
                </w:r>
              </w:sdtContent>
            </w:sdt>
          </w:p>
        </w:tc>
      </w:tr>
    </w:tbl>
    <w:p w14:paraId="7E50E342" w14:textId="0952F579" w:rsidR="006D2D95" w:rsidRPr="000D626F" w:rsidRDefault="006D2D95" w:rsidP="003A6709">
      <w:pPr>
        <w:pStyle w:val="Heading2"/>
        <w:spacing w:after="120"/>
      </w:pPr>
      <w:bookmarkStart w:id="25" w:name="_Toc88037115"/>
      <w:bookmarkStart w:id="26" w:name="_Toc183698823"/>
      <w:r w:rsidRPr="000D626F">
        <w:t xml:space="preserve">WENRA Safety Reference Levels and IAEA </w:t>
      </w:r>
      <w:bookmarkEnd w:id="25"/>
      <w:r w:rsidRPr="000D626F">
        <w:t>Safety Standards</w:t>
      </w:r>
      <w:bookmarkEnd w:id="26"/>
    </w:p>
    <w:p w14:paraId="002B4C1F" w14:textId="7329906D" w:rsidR="006D2D95" w:rsidRDefault="006D2D95" w:rsidP="00D171EF">
      <w:pPr>
        <w:pStyle w:val="F9-Paragraph"/>
      </w:pPr>
      <w:r w:rsidRPr="002534D7">
        <w:t xml:space="preserve">LQM is outside of the scope of the WENRA Safety Reference Levels (SRLs) for decommissioning and those relevant to delicensing. </w:t>
      </w:r>
      <w:r>
        <w:t>T</w:t>
      </w:r>
      <w:r w:rsidRPr="002534D7">
        <w:t xml:space="preserve">here are no </w:t>
      </w:r>
      <w:r w:rsidR="00236143">
        <w:t xml:space="preserve">specific </w:t>
      </w:r>
      <w:r w:rsidRPr="002534D7">
        <w:t xml:space="preserve">SRLs </w:t>
      </w:r>
      <w:r w:rsidR="004E0775">
        <w:t>directly</w:t>
      </w:r>
      <w:r w:rsidR="00236143">
        <w:t xml:space="preserve"> applicable </w:t>
      </w:r>
      <w:r w:rsidRPr="002534D7">
        <w:t>to LQM.</w:t>
      </w:r>
    </w:p>
    <w:p w14:paraId="1F334295" w14:textId="67FE0ED4" w:rsidR="00B36045" w:rsidRPr="00B36045" w:rsidRDefault="006D2D95" w:rsidP="00562D5C">
      <w:pPr>
        <w:pStyle w:val="F9-Paragraph"/>
        <w:spacing w:after="0"/>
      </w:pPr>
      <w:r>
        <w:t>LQM activities covered by this TAG will contribute to satisfying aspects of the IAEA General Safety Requirements</w:t>
      </w:r>
      <w:r w:rsidR="00562D5C">
        <w:t xml:space="preserve"> </w:t>
      </w:r>
      <w:r w:rsidR="006C2D10">
        <w:t xml:space="preserve">(GSR) </w:t>
      </w:r>
      <w:r>
        <w:t>Part 3 (</w:t>
      </w:r>
      <w:r w:rsidR="006C2D10">
        <w:t>‘</w:t>
      </w:r>
      <w:r w:rsidRPr="002534D7">
        <w:t>Radiation Protection and Safety of Radiation Sources</w:t>
      </w:r>
      <w:r w:rsidR="006C2D10">
        <w:t>’</w:t>
      </w:r>
      <w:r>
        <w:t>)</w:t>
      </w:r>
      <w:r w:rsidR="0097654B">
        <w:t xml:space="preserve"> </w:t>
      </w:r>
      <w:sdt>
        <w:sdtPr>
          <w:id w:val="2027907607"/>
          <w:citation/>
        </w:sdtPr>
        <w:sdtEndPr/>
        <w:sdtContent>
          <w:r w:rsidR="0097654B">
            <w:fldChar w:fldCharType="begin"/>
          </w:r>
          <w:r w:rsidR="0097654B">
            <w:instrText xml:space="preserve"> CITATION IAE1410 \l 2057 </w:instrText>
          </w:r>
          <w:r w:rsidR="0097654B">
            <w:fldChar w:fldCharType="separate"/>
          </w:r>
          <w:r w:rsidR="00B23A01">
            <w:rPr>
              <w:noProof/>
            </w:rPr>
            <w:t>[27]</w:t>
          </w:r>
          <w:r w:rsidR="0097654B">
            <w:fldChar w:fldCharType="end"/>
          </w:r>
        </w:sdtContent>
      </w:sdt>
      <w:r>
        <w:t>, Part 4 (</w:t>
      </w:r>
      <w:r w:rsidR="006C2D10">
        <w:t>‘</w:t>
      </w:r>
      <w:r w:rsidRPr="002534D7">
        <w:t>Safety Assessment for Facilities and Activities</w:t>
      </w:r>
      <w:r w:rsidR="006C2D10">
        <w:t>’</w:t>
      </w:r>
      <w:r>
        <w:t>)</w:t>
      </w:r>
      <w:r w:rsidR="001B3237">
        <w:t xml:space="preserve"> </w:t>
      </w:r>
      <w:sdt>
        <w:sdtPr>
          <w:id w:val="-922021559"/>
          <w:citation/>
        </w:sdtPr>
        <w:sdtEndPr/>
        <w:sdtContent>
          <w:r w:rsidR="001B3237">
            <w:fldChar w:fldCharType="begin"/>
          </w:r>
          <w:r w:rsidR="001B3237">
            <w:instrText xml:space="preserve"> CITATION IAE1619 \l 2057 </w:instrText>
          </w:r>
          <w:r w:rsidR="001B3237">
            <w:fldChar w:fldCharType="separate"/>
          </w:r>
          <w:r w:rsidR="00B23A01">
            <w:rPr>
              <w:noProof/>
            </w:rPr>
            <w:t>[28]</w:t>
          </w:r>
          <w:r w:rsidR="001B3237">
            <w:fldChar w:fldCharType="end"/>
          </w:r>
        </w:sdtContent>
      </w:sdt>
      <w:r>
        <w:t>, Part 5 (</w:t>
      </w:r>
      <w:r w:rsidR="006C2D10">
        <w:t>‘</w:t>
      </w:r>
      <w:r w:rsidRPr="002534D7">
        <w:t>Predisposal Management of Radioactive Waste</w:t>
      </w:r>
      <w:r w:rsidR="006C2D10">
        <w:t>’</w:t>
      </w:r>
      <w:r>
        <w:t>)</w:t>
      </w:r>
      <w:r w:rsidR="001B3237">
        <w:t xml:space="preserve"> </w:t>
      </w:r>
      <w:sdt>
        <w:sdtPr>
          <w:id w:val="2129963867"/>
          <w:citation/>
        </w:sdtPr>
        <w:sdtEndPr/>
        <w:sdtContent>
          <w:r w:rsidR="001B3237">
            <w:fldChar w:fldCharType="begin"/>
          </w:r>
          <w:r w:rsidR="001B3237">
            <w:instrText xml:space="preserve"> CITATION IAE097 \l 2057 </w:instrText>
          </w:r>
          <w:r w:rsidR="001B3237">
            <w:fldChar w:fldCharType="separate"/>
          </w:r>
          <w:r w:rsidR="00B23A01">
            <w:rPr>
              <w:noProof/>
            </w:rPr>
            <w:t>[29]</w:t>
          </w:r>
          <w:r w:rsidR="001B3237">
            <w:fldChar w:fldCharType="end"/>
          </w:r>
        </w:sdtContent>
      </w:sdt>
      <w:r>
        <w:t>, and Part 6 (</w:t>
      </w:r>
      <w:r w:rsidR="006C2D10">
        <w:t>‘</w:t>
      </w:r>
      <w:r w:rsidRPr="002534D7">
        <w:t>Decommissioning of Facilities</w:t>
      </w:r>
      <w:r w:rsidR="006C2D10">
        <w:t>’</w:t>
      </w:r>
      <w:r>
        <w:t>)</w:t>
      </w:r>
      <w:r w:rsidR="001B3237">
        <w:t xml:space="preserve"> </w:t>
      </w:r>
      <w:sdt>
        <w:sdtPr>
          <w:id w:val="-1287588920"/>
          <w:citation/>
        </w:sdtPr>
        <w:sdtEndPr/>
        <w:sdtContent>
          <w:r w:rsidR="001B3237">
            <w:fldChar w:fldCharType="begin"/>
          </w:r>
          <w:r w:rsidR="001B3237">
            <w:instrText xml:space="preserve"> CITATION IAE1411 \l 2057 </w:instrText>
          </w:r>
          <w:r w:rsidR="001B3237">
            <w:fldChar w:fldCharType="separate"/>
          </w:r>
          <w:r w:rsidR="00B23A01">
            <w:rPr>
              <w:noProof/>
            </w:rPr>
            <w:t>[30]</w:t>
          </w:r>
          <w:r w:rsidR="001B3237">
            <w:fldChar w:fldCharType="end"/>
          </w:r>
        </w:sdtContent>
      </w:sdt>
      <w:r>
        <w:t xml:space="preserve">. </w:t>
      </w:r>
      <w:r w:rsidR="006C2D10">
        <w:br/>
      </w:r>
      <w:r>
        <w:t xml:space="preserve">Further information on how this TAG covers specific requirements is provided in </w:t>
      </w:r>
      <w:hyperlink w:anchor="_Appendix_2_–_1" w:history="1">
        <w:r w:rsidRPr="00266CD6">
          <w:rPr>
            <w:rStyle w:val="Hyperlink"/>
          </w:rPr>
          <w:t xml:space="preserve">Appendix </w:t>
        </w:r>
        <w:r w:rsidR="00EA64FC" w:rsidRPr="00266CD6">
          <w:rPr>
            <w:rStyle w:val="Hyperlink"/>
          </w:rPr>
          <w:t>2</w:t>
        </w:r>
      </w:hyperlink>
      <w:r>
        <w:t>.</w:t>
      </w:r>
      <w:r w:rsidR="00B36045">
        <w:t xml:space="preserve"> </w:t>
      </w:r>
      <w:r w:rsidR="00B36045" w:rsidRPr="00B36045">
        <w:br w:type="page"/>
      </w:r>
    </w:p>
    <w:p w14:paraId="5255232C" w14:textId="247B09CA" w:rsidR="00F7687C" w:rsidRDefault="00F7687C" w:rsidP="00E90780">
      <w:pPr>
        <w:pStyle w:val="Heading1"/>
      </w:pPr>
      <w:bookmarkStart w:id="27" w:name="_Toc183698824"/>
      <w:r>
        <w:lastRenderedPageBreak/>
        <w:t xml:space="preserve">Advice to </w:t>
      </w:r>
      <w:r w:rsidR="001C19DE">
        <w:t>i</w:t>
      </w:r>
      <w:r>
        <w:t>nspectors</w:t>
      </w:r>
      <w:bookmarkEnd w:id="27"/>
    </w:p>
    <w:p w14:paraId="391AD313" w14:textId="77777777" w:rsidR="006434E8" w:rsidRDefault="006434E8" w:rsidP="00D171EF">
      <w:pPr>
        <w:pStyle w:val="F9-Paragraph"/>
      </w:pPr>
      <w:r w:rsidRPr="002534D7">
        <w:t xml:space="preserve">Where the inspector is not a specialist on the topic of land quality management, guidance </w:t>
      </w:r>
      <w:r>
        <w:t>should be</w:t>
      </w:r>
      <w:r w:rsidRPr="002534D7">
        <w:t xml:space="preserve"> sought from specialist inspectors from within the Nuclear Liabilities Regulation specialism.</w:t>
      </w:r>
    </w:p>
    <w:p w14:paraId="6ABC605C" w14:textId="7BC21C71" w:rsidR="006434E8" w:rsidRPr="000D626F" w:rsidRDefault="006434E8" w:rsidP="00DB5405">
      <w:pPr>
        <w:pStyle w:val="Heading2"/>
      </w:pPr>
      <w:bookmarkStart w:id="28" w:name="_Toc88037118"/>
      <w:bookmarkStart w:id="29" w:name="_Toc183698825"/>
      <w:r w:rsidRPr="000D626F">
        <w:t xml:space="preserve">Overall </w:t>
      </w:r>
      <w:r w:rsidR="001B3237">
        <w:t>o</w:t>
      </w:r>
      <w:r w:rsidRPr="000D626F">
        <w:t>bjective of LQM</w:t>
      </w:r>
      <w:bookmarkEnd w:id="28"/>
      <w:bookmarkEnd w:id="29"/>
    </w:p>
    <w:p w14:paraId="57C98FEC" w14:textId="2FCE7AD1" w:rsidR="006434E8" w:rsidRPr="00A07307" w:rsidRDefault="006434E8" w:rsidP="00D171EF">
      <w:pPr>
        <w:pStyle w:val="F9-Paragraph"/>
      </w:pPr>
      <w:r w:rsidRPr="00FF337E">
        <w:t xml:space="preserve">Our </w:t>
      </w:r>
      <w:r w:rsidR="00DF5F59">
        <w:t>overarching objective and five key principles</w:t>
      </w:r>
      <w:r w:rsidR="0033090B">
        <w:t xml:space="preserve"> for successful LQM</w:t>
      </w:r>
      <w:r w:rsidRPr="00FF337E">
        <w:t xml:space="preserve"> are set out in the joint expectations. </w:t>
      </w:r>
      <w:r w:rsidR="0033090B">
        <w:t xml:space="preserve">They </w:t>
      </w:r>
      <w:r w:rsidRPr="00FF337E">
        <w:t>are intended to promote relevant good practice</w:t>
      </w:r>
      <w:r w:rsidR="00681EA8">
        <w:t xml:space="preserve"> (RGP)</w:t>
      </w:r>
      <w:r w:rsidRPr="00FF337E">
        <w:t xml:space="preserve">; they do not specify regulatory requirements and </w:t>
      </w:r>
      <w:r>
        <w:t xml:space="preserve">in their own right </w:t>
      </w:r>
      <w:r w:rsidRPr="00FF337E">
        <w:t xml:space="preserve">are not legally binding on licensees. However, the </w:t>
      </w:r>
      <w:r w:rsidR="008B4071">
        <w:t>key principles</w:t>
      </w:r>
      <w:r w:rsidR="008B4071" w:rsidRPr="00FF337E">
        <w:t xml:space="preserve"> </w:t>
      </w:r>
      <w:r w:rsidRPr="00FF337E">
        <w:t xml:space="preserve">are underpinned by the </w:t>
      </w:r>
      <w:r>
        <w:t>LC</w:t>
      </w:r>
      <w:r w:rsidRPr="00FF337E">
        <w:t xml:space="preserve">s described in </w:t>
      </w:r>
      <w:r w:rsidR="001B3237">
        <w:t>s</w:t>
      </w:r>
      <w:r>
        <w:t xml:space="preserve">ection </w:t>
      </w:r>
      <w:r w:rsidR="001B3237">
        <w:fldChar w:fldCharType="begin"/>
      </w:r>
      <w:r w:rsidR="001B3237">
        <w:instrText xml:space="preserve"> REF _Ref183687968 \r \h </w:instrText>
      </w:r>
      <w:r w:rsidR="001B3237">
        <w:fldChar w:fldCharType="separate"/>
      </w:r>
      <w:r w:rsidR="001B3237">
        <w:rPr>
          <w:cs/>
        </w:rPr>
        <w:t>‎</w:t>
      </w:r>
      <w:r w:rsidR="001B3237">
        <w:t>3</w:t>
      </w:r>
      <w:r w:rsidR="001B3237">
        <w:fldChar w:fldCharType="end"/>
      </w:r>
      <w:r w:rsidRPr="00FF337E">
        <w:t xml:space="preserve">, </w:t>
      </w:r>
      <w:r>
        <w:t>which</w:t>
      </w:r>
      <w:r w:rsidRPr="00FF337E">
        <w:t xml:space="preserve"> are legal</w:t>
      </w:r>
      <w:r>
        <w:t>ly binding</w:t>
      </w:r>
      <w:r w:rsidRPr="00FF337E">
        <w:t xml:space="preserve"> requirements. It should also be noted that licensees will need to take account of other relevant legislation and guidance, in particular regarding possible on-site disposals of radioactive waste. This guidance builds on the joint expectations</w:t>
      </w:r>
      <w:r>
        <w:t>,</w:t>
      </w:r>
      <w:r w:rsidRPr="00FF337E">
        <w:t xml:space="preserve"> providing more detail regarding how th</w:t>
      </w:r>
      <w:r>
        <w:t>o</w:t>
      </w:r>
      <w:r w:rsidRPr="00FF337E">
        <w:t>se expectations fit into our system of regulation.</w:t>
      </w:r>
    </w:p>
    <w:p w14:paraId="6AA33D27" w14:textId="3F96DC47" w:rsidR="006434E8" w:rsidRPr="00A07307" w:rsidRDefault="006434E8" w:rsidP="00D171EF">
      <w:pPr>
        <w:pStyle w:val="F9-Paragraph"/>
      </w:pPr>
      <w:r w:rsidRPr="00A07307">
        <w:t xml:space="preserve">The overall objective of LQM is to take all reasonably practicable measures to prevent contamination and to ensure </w:t>
      </w:r>
      <w:r>
        <w:t xml:space="preserve">that </w:t>
      </w:r>
      <w:r w:rsidR="000F7EC5" w:rsidRPr="000F7EC5">
        <w:t>if it occurs, or if it has already occurred, it is managed safely and unacceptable risks to people or the environment are mitigated. This includes acting in a proportionate way, putting sustainability at the heart of how land quality management is planned and carried out</w:t>
      </w:r>
      <w:r w:rsidRPr="00A07307">
        <w:t xml:space="preserve">. ONR and the </w:t>
      </w:r>
      <w:r w:rsidR="00B8052A">
        <w:t>environment</w:t>
      </w:r>
      <w:r w:rsidRPr="00A07307">
        <w:t xml:space="preserve"> regulators expect that licensees and operators manage land quality in ways that:</w:t>
      </w:r>
    </w:p>
    <w:p w14:paraId="136DFB01" w14:textId="77777777" w:rsidR="006434E8" w:rsidRPr="00A07307" w:rsidRDefault="006434E8" w:rsidP="006751A3">
      <w:pPr>
        <w:pStyle w:val="Bulletlist1"/>
      </w:pPr>
      <w:r w:rsidRPr="00A07307">
        <w:t>prevent unacceptable activities</w:t>
      </w:r>
      <w:r>
        <w:t xml:space="preserve"> from taking place that might fail to protect land and groundwater</w:t>
      </w:r>
      <w:r w:rsidRPr="00A07307">
        <w:t>; and</w:t>
      </w:r>
    </w:p>
    <w:p w14:paraId="7D43162C" w14:textId="77777777" w:rsidR="006434E8" w:rsidRPr="002534D7" w:rsidRDefault="006434E8" w:rsidP="006751A3">
      <w:pPr>
        <w:pStyle w:val="Bulletlist1"/>
      </w:pPr>
      <w:r w:rsidRPr="002534D7">
        <w:t>ensure that any risks to people and the environment associated with land quality are promptly and properly managed.</w:t>
      </w:r>
    </w:p>
    <w:p w14:paraId="11B69AC3" w14:textId="2658AFB8" w:rsidR="006434E8" w:rsidRPr="002534D7" w:rsidRDefault="006434E8" w:rsidP="00D171EF">
      <w:pPr>
        <w:pStyle w:val="F9-Paragraph"/>
      </w:pPr>
      <w:r w:rsidRPr="002534D7">
        <w:t xml:space="preserve">This includes ensuring that where contamination exists, proportionate remediation is undertaken to avoid, so far as is reasonably practicable, risks to human health, safety and the environment for present and future generations. </w:t>
      </w:r>
      <w:r>
        <w:t>L</w:t>
      </w:r>
      <w:r w:rsidRPr="002534D7">
        <w:t xml:space="preserve">icensees </w:t>
      </w:r>
      <w:r>
        <w:t>should</w:t>
      </w:r>
      <w:r w:rsidRPr="002534D7">
        <w:t xml:space="preserve"> have a robust strategy for managing land quality which is implemen</w:t>
      </w:r>
      <w:r>
        <w:t xml:space="preserve">ted through </w:t>
      </w:r>
      <w:r w:rsidR="00A058D1">
        <w:t>integrated</w:t>
      </w:r>
      <w:r>
        <w:t xml:space="preserve"> </w:t>
      </w:r>
      <w:r w:rsidR="00010561">
        <w:t xml:space="preserve">implementation </w:t>
      </w:r>
      <w:r>
        <w:t>plan</w:t>
      </w:r>
      <w:r w:rsidR="00010561">
        <w:t>s</w:t>
      </w:r>
      <w:r>
        <w:t xml:space="preserve">. </w:t>
      </w:r>
      <w:r w:rsidR="001B3237">
        <w:br/>
      </w:r>
      <w:r w:rsidRPr="002534D7">
        <w:t xml:space="preserve">The development of </w:t>
      </w:r>
      <w:r w:rsidR="00010561">
        <w:t>the</w:t>
      </w:r>
      <w:r w:rsidR="00010561" w:rsidRPr="002534D7">
        <w:t xml:space="preserve"> </w:t>
      </w:r>
      <w:r w:rsidRPr="002534D7">
        <w:t>strategy and plan</w:t>
      </w:r>
      <w:r w:rsidR="00010561">
        <w:t>s</w:t>
      </w:r>
      <w:r w:rsidRPr="002534D7">
        <w:t xml:space="preserve"> should be systematic, integrated and iterative, addressing the following expectations:</w:t>
      </w:r>
    </w:p>
    <w:p w14:paraId="255BD939" w14:textId="77777777" w:rsidR="006434E8" w:rsidRPr="002534D7" w:rsidRDefault="006434E8" w:rsidP="006751A3">
      <w:pPr>
        <w:pStyle w:val="Bulletlist1"/>
      </w:pPr>
      <w:r w:rsidRPr="002534D7">
        <w:t>prevent new land contamination, so far as is reasonably practicable;</w:t>
      </w:r>
    </w:p>
    <w:p w14:paraId="4FA923E4" w14:textId="77777777" w:rsidR="006434E8" w:rsidRPr="002534D7" w:rsidRDefault="006434E8" w:rsidP="006751A3">
      <w:pPr>
        <w:pStyle w:val="Bulletlist1"/>
      </w:pPr>
      <w:r w:rsidRPr="002534D7">
        <w:t>understand the land quality and contamination characteristics of the site, so as to inform decisions on LQM;</w:t>
      </w:r>
    </w:p>
    <w:p w14:paraId="26D2C6E9" w14:textId="77777777" w:rsidR="006434E8" w:rsidRPr="002534D7" w:rsidRDefault="006434E8" w:rsidP="006751A3">
      <w:pPr>
        <w:pStyle w:val="Bulletlist1"/>
      </w:pPr>
      <w:r w:rsidRPr="002534D7">
        <w:t>assess the options for LQM taking due account of sustainable development;</w:t>
      </w:r>
    </w:p>
    <w:p w14:paraId="7F258D64" w14:textId="77777777" w:rsidR="006434E8" w:rsidRPr="002534D7" w:rsidRDefault="006434E8" w:rsidP="006751A3">
      <w:pPr>
        <w:pStyle w:val="Bulletlist1"/>
      </w:pPr>
      <w:r w:rsidRPr="002534D7">
        <w:lastRenderedPageBreak/>
        <w:t>identify and prioritise LQM activities;</w:t>
      </w:r>
    </w:p>
    <w:p w14:paraId="5EAE30BC" w14:textId="77777777" w:rsidR="006434E8" w:rsidRPr="002534D7" w:rsidRDefault="006434E8" w:rsidP="006751A3">
      <w:pPr>
        <w:pStyle w:val="Bulletlist1"/>
      </w:pPr>
      <w:r w:rsidRPr="002534D7">
        <w:t>apply the waste management hierarchy;</w:t>
      </w:r>
    </w:p>
    <w:p w14:paraId="5B907C6E" w14:textId="77777777" w:rsidR="006434E8" w:rsidRPr="002534D7" w:rsidRDefault="006434E8" w:rsidP="006751A3">
      <w:pPr>
        <w:pStyle w:val="Bulletlist1"/>
      </w:pPr>
      <w:r w:rsidRPr="002534D7">
        <w:t>avoid the creation of radioactive wastes in forms which may foreclose options for safe and effective long-term management;</w:t>
      </w:r>
    </w:p>
    <w:p w14:paraId="51026386" w14:textId="77777777" w:rsidR="006434E8" w:rsidRPr="002534D7" w:rsidRDefault="006434E8" w:rsidP="006751A3">
      <w:pPr>
        <w:pStyle w:val="Bulletlist1"/>
      </w:pPr>
      <w:r w:rsidRPr="002534D7">
        <w:t>ensure sufficient and competent resources are allocated to implement LQM activities;</w:t>
      </w:r>
    </w:p>
    <w:p w14:paraId="63B0E42B" w14:textId="38074EF4" w:rsidR="006434E8" w:rsidRPr="002534D7" w:rsidRDefault="006434E8" w:rsidP="006751A3">
      <w:pPr>
        <w:pStyle w:val="Bulletlist1"/>
      </w:pPr>
      <w:r w:rsidRPr="002534D7">
        <w:t>engage with stakeholders (including the regulators) from an early stage;</w:t>
      </w:r>
    </w:p>
    <w:p w14:paraId="142E3352" w14:textId="51AE8C83" w:rsidR="006434E8" w:rsidRPr="002534D7" w:rsidRDefault="006434E8" w:rsidP="006751A3">
      <w:pPr>
        <w:pStyle w:val="Bulletlist1"/>
      </w:pPr>
      <w:r w:rsidRPr="002534D7">
        <w:t>develop the safety case/radioactive (and non-radioactive) waste management arrangements for LQM;</w:t>
      </w:r>
    </w:p>
    <w:p w14:paraId="4B738144" w14:textId="49B83EAC" w:rsidR="006434E8" w:rsidRPr="002534D7" w:rsidRDefault="006434E8" w:rsidP="006751A3">
      <w:pPr>
        <w:pStyle w:val="Bulletlist1"/>
      </w:pPr>
      <w:r w:rsidRPr="002534D7">
        <w:t xml:space="preserve">ensure that risks are </w:t>
      </w:r>
      <w:r w:rsidR="00C75965">
        <w:t xml:space="preserve">reduced to </w:t>
      </w:r>
      <w:r w:rsidRPr="002534D7">
        <w:t>as low as reasonably practicable</w:t>
      </w:r>
      <w:r w:rsidR="00E84675">
        <w:t xml:space="preserve"> (ALARP)</w:t>
      </w:r>
      <w:r w:rsidRPr="002534D7">
        <w:t>; and</w:t>
      </w:r>
    </w:p>
    <w:p w14:paraId="2932FB8D" w14:textId="05755556" w:rsidR="006434E8" w:rsidRPr="002534D7" w:rsidRDefault="006434E8" w:rsidP="006751A3">
      <w:pPr>
        <w:pStyle w:val="Bulletlist1"/>
      </w:pPr>
      <w:r w:rsidRPr="002534D7">
        <w:t>maintain fit-for-purpose records and manage relevant knowledge appropriately.</w:t>
      </w:r>
    </w:p>
    <w:p w14:paraId="23E90EA4" w14:textId="216669B1" w:rsidR="006434E8" w:rsidRPr="002534D7" w:rsidRDefault="006434E8" w:rsidP="00DB5405">
      <w:pPr>
        <w:pStyle w:val="Heading2"/>
      </w:pPr>
      <w:bookmarkStart w:id="30" w:name="_Toc88037119"/>
      <w:bookmarkStart w:id="31" w:name="_Toc183698826"/>
      <w:r w:rsidRPr="002534D7">
        <w:t xml:space="preserve">LQM </w:t>
      </w:r>
      <w:r w:rsidR="001B3237">
        <w:t>s</w:t>
      </w:r>
      <w:r w:rsidRPr="002534D7">
        <w:t xml:space="preserve">trategy and </w:t>
      </w:r>
      <w:r w:rsidR="001B3237">
        <w:t>p</w:t>
      </w:r>
      <w:r w:rsidRPr="002534D7">
        <w:t>lan</w:t>
      </w:r>
      <w:bookmarkEnd w:id="30"/>
      <w:bookmarkEnd w:id="31"/>
    </w:p>
    <w:p w14:paraId="3EE368D1" w14:textId="78C4D354" w:rsidR="006434E8" w:rsidRDefault="006434E8" w:rsidP="00D171EF">
      <w:pPr>
        <w:pStyle w:val="F9-Paragraph"/>
      </w:pPr>
      <w:r>
        <w:t>The arrangements for decommissioning required under LC</w:t>
      </w:r>
      <w:r w:rsidR="001B3237">
        <w:t xml:space="preserve"> </w:t>
      </w:r>
      <w:r>
        <w:t>35(1) extend to include the regulatory expectation for the licensee to produce and maintain an appropriate LQM strategy. The LQM strategy may be a stand-alone document or integrated to other relevant strategies (</w:t>
      </w:r>
      <w:r w:rsidR="00504761">
        <w:t>for example</w:t>
      </w:r>
      <w:r w:rsidR="001B3237">
        <w:t>,</w:t>
      </w:r>
      <w:r>
        <w:t xml:space="preserve"> radioactive waste).</w:t>
      </w:r>
    </w:p>
    <w:p w14:paraId="3538FF74" w14:textId="167843C8" w:rsidR="006434E8" w:rsidRPr="002534D7" w:rsidRDefault="006434E8" w:rsidP="00D171EF">
      <w:pPr>
        <w:pStyle w:val="F9-Paragraph"/>
      </w:pPr>
      <w:r w:rsidRPr="002534D7">
        <w:t xml:space="preserve">As a minimum, the strategy should recognise relevant stakeholder expectations or requirements (including those of the local community) for site management and subsequent re-use of the land, including any agreed interim or final site end states and dates. The strategy should set out what is to be achieved through LQM and be supported by </w:t>
      </w:r>
      <w:r w:rsidR="00994E06">
        <w:t xml:space="preserve">an </w:t>
      </w:r>
      <w:r w:rsidR="006A6E4C">
        <w:t>integrated imp</w:t>
      </w:r>
      <w:r w:rsidR="00994E06">
        <w:t>l</w:t>
      </w:r>
      <w:r w:rsidR="006A6E4C">
        <w:t>em</w:t>
      </w:r>
      <w:r w:rsidR="00994E06">
        <w:t>entation</w:t>
      </w:r>
      <w:r w:rsidRPr="002534D7">
        <w:t xml:space="preserve"> plan that sets out ‘how’ LQM is delivered. The plan should set out key objectives, milestones, timescales and responsibilities, and make clear reference to LQM enabling procedures and arrangements</w:t>
      </w:r>
      <w:r w:rsidR="00994E06">
        <w:t>,</w:t>
      </w:r>
      <w:r w:rsidRPr="002534D7">
        <w:t xml:space="preserve"> such as record keeping, quality assurance, decision-making and stakeholder engagement.</w:t>
      </w:r>
    </w:p>
    <w:p w14:paraId="66ACE3B3" w14:textId="195EA3FB" w:rsidR="006434E8" w:rsidRPr="002534D7" w:rsidRDefault="006434E8" w:rsidP="00D171EF">
      <w:pPr>
        <w:pStyle w:val="F9-Paragraph"/>
      </w:pPr>
      <w:r w:rsidRPr="002534D7">
        <w:t xml:space="preserve">Production of a site wide LQM strategy will satisfy </w:t>
      </w:r>
      <w:r w:rsidR="00E20BC6">
        <w:t>SAP</w:t>
      </w:r>
      <w:r w:rsidRPr="002534D7">
        <w:t xml:space="preserve"> RL.1, whilst activities to determine the current baseline and inform the plan will satisfy </w:t>
      </w:r>
      <w:r w:rsidR="00AF0E4D">
        <w:t xml:space="preserve">SAPs </w:t>
      </w:r>
      <w:r w:rsidRPr="002534D7">
        <w:t>RL.2 and RL.6. The LQM strategy should be consistent and integrate with other relevant site strategies, such as those for radioactive waste (</w:t>
      </w:r>
      <w:r w:rsidR="00D13AAF">
        <w:t>SAP</w:t>
      </w:r>
      <w:r w:rsidRPr="002534D7">
        <w:t xml:space="preserve"> RW.1) and decommissioning (</w:t>
      </w:r>
      <w:r w:rsidR="00D13AAF">
        <w:t>SAP</w:t>
      </w:r>
      <w:r w:rsidRPr="002534D7">
        <w:t xml:space="preserve"> DC.2) as per paragraph 880 in the SAPs</w:t>
      </w:r>
      <w:r w:rsidR="001B3237">
        <w:t xml:space="preserve"> </w:t>
      </w:r>
      <w:sdt>
        <w:sdtPr>
          <w:id w:val="542023116"/>
          <w:citation/>
        </w:sdtPr>
        <w:sdtEndPr/>
        <w:sdtContent>
          <w:r w:rsidR="001B3237">
            <w:fldChar w:fldCharType="begin"/>
          </w:r>
          <w:r w:rsidR="001B3237">
            <w:instrText xml:space="preserve"> CITATION Off20 \l 2057 </w:instrText>
          </w:r>
          <w:r w:rsidR="001B3237">
            <w:fldChar w:fldCharType="separate"/>
          </w:r>
          <w:r w:rsidR="00B23A01">
            <w:rPr>
              <w:noProof/>
            </w:rPr>
            <w:t>[1]</w:t>
          </w:r>
          <w:r w:rsidR="001B3237">
            <w:fldChar w:fldCharType="end"/>
          </w:r>
        </w:sdtContent>
      </w:sdt>
      <w:r w:rsidRPr="002534D7">
        <w:t>.</w:t>
      </w:r>
    </w:p>
    <w:p w14:paraId="11A82CB6" w14:textId="67240F94" w:rsidR="006434E8" w:rsidRPr="002534D7" w:rsidRDefault="006434E8" w:rsidP="00D171EF">
      <w:pPr>
        <w:pStyle w:val="F9-Paragraph"/>
      </w:pPr>
      <w:r w:rsidRPr="002534D7">
        <w:t xml:space="preserve">Production of a specific LQM strategy is a regulatory expectation in order to promote </w:t>
      </w:r>
      <w:r w:rsidR="00681EA8">
        <w:t>RGP</w:t>
      </w:r>
      <w:r w:rsidRPr="002534D7">
        <w:t xml:space="preserve">. </w:t>
      </w:r>
      <w:r>
        <w:t>P</w:t>
      </w:r>
      <w:r w:rsidRPr="002534D7">
        <w:t xml:space="preserve">roduction of an LQM strategy will enable the licensee to clearly demonstrate </w:t>
      </w:r>
      <w:r>
        <w:t>i</w:t>
      </w:r>
      <w:r w:rsidRPr="002534D7">
        <w:t>t</w:t>
      </w:r>
      <w:r>
        <w:t>s</w:t>
      </w:r>
      <w:r w:rsidRPr="002534D7">
        <w:t xml:space="preserve"> compliance with </w:t>
      </w:r>
      <w:r>
        <w:t>the LCs and SAPs which underpin ONR’s expectations with respect to</w:t>
      </w:r>
      <w:r w:rsidRPr="002534D7">
        <w:t xml:space="preserve"> LQM</w:t>
      </w:r>
      <w:r>
        <w:t>.</w:t>
      </w:r>
    </w:p>
    <w:p w14:paraId="7BC7FE0E" w14:textId="77777777" w:rsidR="006434E8" w:rsidRPr="002534D7" w:rsidRDefault="006434E8" w:rsidP="00D171EF">
      <w:pPr>
        <w:pStyle w:val="F9-Paragraph"/>
      </w:pPr>
      <w:r w:rsidRPr="002534D7">
        <w:lastRenderedPageBreak/>
        <w:t>The inspector may consider whether the following factors have been adequately addressed by the licensee’s LQM strategy</w:t>
      </w:r>
      <w:r>
        <w:t xml:space="preserve"> and plan</w:t>
      </w:r>
      <w:r w:rsidRPr="002534D7">
        <w:t>:</w:t>
      </w:r>
    </w:p>
    <w:p w14:paraId="426A6B47" w14:textId="77777777" w:rsidR="006434E8" w:rsidRPr="002534D7" w:rsidRDefault="006434E8" w:rsidP="006751A3">
      <w:pPr>
        <w:pStyle w:val="Bulletlist1"/>
        <w:rPr>
          <w:b/>
          <w:caps/>
        </w:rPr>
      </w:pPr>
      <w:r w:rsidRPr="002534D7">
        <w:t>Has the licensee identified all potential sources of leaks, both historic and future?</w:t>
      </w:r>
    </w:p>
    <w:p w14:paraId="07A256F1" w14:textId="77777777" w:rsidR="006434E8" w:rsidRPr="002534D7" w:rsidRDefault="006434E8" w:rsidP="006751A3">
      <w:pPr>
        <w:pStyle w:val="Bulletlist1"/>
        <w:rPr>
          <w:b/>
          <w:caps/>
        </w:rPr>
      </w:pPr>
      <w:r w:rsidRPr="002534D7">
        <w:t>To facilitate appropriate and proportionate remediation to be undertaken, have a range of remediation options been identified for a range of contamination scenarios?</w:t>
      </w:r>
    </w:p>
    <w:p w14:paraId="79EE0E59" w14:textId="77777777" w:rsidR="006434E8" w:rsidRDefault="006434E8" w:rsidP="006751A3">
      <w:pPr>
        <w:pStyle w:val="Bulletlist1"/>
        <w:rPr>
          <w:b/>
          <w:caps/>
        </w:rPr>
      </w:pPr>
      <w:r w:rsidRPr="002534D7">
        <w:t>Has the licensee defined a plan of activities to achieve the objective of LQM which clearly states how the plan will be delivered?</w:t>
      </w:r>
    </w:p>
    <w:p w14:paraId="3CA97261" w14:textId="77777777" w:rsidR="006434E8" w:rsidRPr="005C389E" w:rsidRDefault="006434E8" w:rsidP="006751A3">
      <w:pPr>
        <w:pStyle w:val="Bulletlist1"/>
        <w:rPr>
          <w:b/>
          <w:caps/>
        </w:rPr>
      </w:pPr>
      <w:r w:rsidRPr="00EC6923">
        <w:t>Is the</w:t>
      </w:r>
      <w:r>
        <w:t xml:space="preserve"> identified</w:t>
      </w:r>
      <w:r w:rsidRPr="00EC6923">
        <w:t xml:space="preserve"> end point satisfactory and does it remediate the </w:t>
      </w:r>
      <w:r>
        <w:t xml:space="preserve">radioactively </w:t>
      </w:r>
      <w:r w:rsidRPr="00EC6923">
        <w:t>contaminated land so far as is reasonably practicable?</w:t>
      </w:r>
    </w:p>
    <w:p w14:paraId="4B95CB6E" w14:textId="77777777" w:rsidR="006434E8" w:rsidRPr="002534D7" w:rsidRDefault="006434E8" w:rsidP="006751A3">
      <w:pPr>
        <w:pStyle w:val="Bulletlist1"/>
        <w:rPr>
          <w:b/>
          <w:caps/>
        </w:rPr>
      </w:pPr>
      <w:r w:rsidRPr="002534D7">
        <w:t>Has the licensee undertaken suitable stakeholder engagement and incorporated such feedback into development of the LQM strategy and plan?</w:t>
      </w:r>
    </w:p>
    <w:p w14:paraId="4CAA0CC8" w14:textId="4D0200E5" w:rsidR="006434E8" w:rsidRPr="002534D7" w:rsidRDefault="006434E8" w:rsidP="00DB5405">
      <w:pPr>
        <w:pStyle w:val="Heading2"/>
      </w:pPr>
      <w:bookmarkStart w:id="32" w:name="_Toc88037120"/>
      <w:bookmarkStart w:id="33" w:name="_Toc183698827"/>
      <w:r w:rsidRPr="000D626F">
        <w:t>Prevention</w:t>
      </w:r>
      <w:r w:rsidRPr="002534D7">
        <w:t xml:space="preserve"> and </w:t>
      </w:r>
      <w:r w:rsidR="001B3237">
        <w:t>l</w:t>
      </w:r>
      <w:r w:rsidRPr="002534D7">
        <w:t xml:space="preserve">imitation of </w:t>
      </w:r>
      <w:r w:rsidR="001B3237">
        <w:t>n</w:t>
      </w:r>
      <w:r w:rsidRPr="002534D7">
        <w:t xml:space="preserve">ew </w:t>
      </w:r>
      <w:r w:rsidR="001B3237">
        <w:t>c</w:t>
      </w:r>
      <w:r w:rsidRPr="002534D7">
        <w:t>ontamination</w:t>
      </w:r>
      <w:bookmarkEnd w:id="32"/>
      <w:bookmarkEnd w:id="33"/>
    </w:p>
    <w:p w14:paraId="32B93BFC" w14:textId="4E104874" w:rsidR="006434E8" w:rsidRPr="00287D04" w:rsidRDefault="006434E8" w:rsidP="00D171EF">
      <w:pPr>
        <w:pStyle w:val="F9-Paragraph"/>
      </w:pPr>
      <w:r w:rsidRPr="002534D7">
        <w:t xml:space="preserve">In the first instance, arrangements should be in place to prevent </w:t>
      </w:r>
      <w:r>
        <w:t xml:space="preserve">the leak and escape of radioactive material and radioactive waste that could lead to </w:t>
      </w:r>
      <w:r w:rsidRPr="002534D7">
        <w:t>the contamination of land and groundwater</w:t>
      </w:r>
      <w:r>
        <w:t>. Further information is contained within the LC</w:t>
      </w:r>
      <w:r w:rsidR="001B3237">
        <w:t xml:space="preserve"> </w:t>
      </w:r>
      <w:r>
        <w:t xml:space="preserve">34 </w:t>
      </w:r>
      <w:r w:rsidR="001B3237">
        <w:t xml:space="preserve">TIG </w:t>
      </w:r>
      <w:sdt>
        <w:sdtPr>
          <w:id w:val="1217551961"/>
          <w:citation/>
        </w:sdtPr>
        <w:sdtEndPr/>
        <w:sdtContent>
          <w:r w:rsidR="001B3237">
            <w:fldChar w:fldCharType="begin"/>
          </w:r>
          <w:r w:rsidR="001B3237">
            <w:instrText xml:space="preserve"> CITATION ONR89 \l 2057 </w:instrText>
          </w:r>
          <w:r w:rsidR="001B3237">
            <w:fldChar w:fldCharType="separate"/>
          </w:r>
          <w:r w:rsidR="00B23A01">
            <w:rPr>
              <w:noProof/>
            </w:rPr>
            <w:t>[31]</w:t>
          </w:r>
          <w:r w:rsidR="001B3237">
            <w:fldChar w:fldCharType="end"/>
          </w:r>
        </w:sdtContent>
      </w:sdt>
      <w:r w:rsidRPr="002534D7">
        <w:t>. Where contamination has already occurred, arrangements should be in place to</w:t>
      </w:r>
      <w:r>
        <w:t xml:space="preserve"> control or</w:t>
      </w:r>
      <w:r w:rsidRPr="002534D7">
        <w:t xml:space="preserve"> remediate the </w:t>
      </w:r>
      <w:r w:rsidRPr="00287D04">
        <w:t>contamination, whether on or arising from the nuclear licensed site</w:t>
      </w:r>
      <w:r>
        <w:t xml:space="preserve">, </w:t>
      </w:r>
      <w:r w:rsidRPr="00287D04">
        <w:t xml:space="preserve">to reduce </w:t>
      </w:r>
      <w:r>
        <w:t xml:space="preserve">the </w:t>
      </w:r>
      <w:r w:rsidRPr="00287D04">
        <w:t>risk so far as is reasonably practicable</w:t>
      </w:r>
      <w:r>
        <w:t>.</w:t>
      </w:r>
    </w:p>
    <w:p w14:paraId="073EF889" w14:textId="218F4AF8" w:rsidR="006434E8" w:rsidRDefault="006434E8" w:rsidP="00D171EF">
      <w:pPr>
        <w:pStyle w:val="F9-Paragraph"/>
      </w:pPr>
      <w:r w:rsidRPr="002534D7">
        <w:t xml:space="preserve">All </w:t>
      </w:r>
      <w:r w:rsidR="00A560A2">
        <w:t>SSCs</w:t>
      </w:r>
      <w:r>
        <w:t xml:space="preserve"> that are identified as </w:t>
      </w:r>
      <w:r w:rsidRPr="002534D7">
        <w:t>potential sources of contamination should be designed</w:t>
      </w:r>
      <w:r>
        <w:t>, operated</w:t>
      </w:r>
      <w:r w:rsidRPr="002534D7">
        <w:t xml:space="preserve"> and maintained to prevent leaks. This means considering both fixed and mobile sources</w:t>
      </w:r>
      <w:r>
        <w:t xml:space="preserve"> of radioactive material and radioactive waste</w:t>
      </w:r>
      <w:r w:rsidRPr="002534D7">
        <w:t xml:space="preserve">, including those above and below the ground. </w:t>
      </w:r>
      <w:r w:rsidR="001B3237">
        <w:br/>
      </w:r>
      <w:r w:rsidRPr="002534D7">
        <w:t xml:space="preserve">Priority should be given to those sources that present the highest hazard and risk to </w:t>
      </w:r>
      <w:r>
        <w:t xml:space="preserve">people from radioactively contaminated </w:t>
      </w:r>
      <w:r w:rsidRPr="002534D7">
        <w:t xml:space="preserve">land and groundwater. </w:t>
      </w:r>
    </w:p>
    <w:p w14:paraId="15D145E9" w14:textId="2EA2B797" w:rsidR="006434E8" w:rsidRPr="002534D7" w:rsidRDefault="006434E8" w:rsidP="00D171EF">
      <w:pPr>
        <w:pStyle w:val="F9-Paragraph"/>
      </w:pPr>
      <w:r w:rsidRPr="002534D7">
        <w:t>Options for leak prevention could include adoption of non-liquid processes, conversion of waste to a passive solid form, multi-barrier containment, external bunding, pressure detection, and leak detection (at source and receptor). All pote</w:t>
      </w:r>
      <w:r>
        <w:t xml:space="preserve">ntial sources of leaks should, </w:t>
      </w:r>
      <w:r w:rsidRPr="002534D7">
        <w:t>s</w:t>
      </w:r>
      <w:r>
        <w:t>o</w:t>
      </w:r>
      <w:r w:rsidRPr="002534D7">
        <w:t xml:space="preserve"> far as</w:t>
      </w:r>
      <w:r>
        <w:t xml:space="preserve"> is</w:t>
      </w:r>
      <w:r w:rsidRPr="002534D7">
        <w:t xml:space="preserve"> reasonably practicable, have effective monitoring systems, including leak detection, which are proportionate to the risks and hazards. Contingency plans should exist, ready for implementation in the event of any leak occurring. Arrangements should exist to ensure that leakage control and detection systems (including those that form part of any contingency plans) are appropriately tested and maintained.</w:t>
      </w:r>
      <w:r w:rsidR="008D36D3">
        <w:t xml:space="preserve"> </w:t>
      </w:r>
    </w:p>
    <w:p w14:paraId="1873C095" w14:textId="113BC245" w:rsidR="006434E8" w:rsidRPr="002534D7" w:rsidRDefault="006434E8" w:rsidP="00D171EF">
      <w:pPr>
        <w:pStyle w:val="F9-Paragraph"/>
      </w:pPr>
      <w:r w:rsidRPr="002534D7">
        <w:t xml:space="preserve">Assessing the potential sources of leaks and ensuring appropriate systems for leak detection are in place and maintained will satisfy </w:t>
      </w:r>
      <w:r w:rsidR="00F926F6">
        <w:t>SAP</w:t>
      </w:r>
      <w:r w:rsidRPr="002534D7">
        <w:t xml:space="preserve"> R</w:t>
      </w:r>
      <w:r>
        <w:t>L.3 and is enforceable under LC</w:t>
      </w:r>
      <w:r w:rsidR="001B3237">
        <w:t xml:space="preserve"> </w:t>
      </w:r>
      <w:r w:rsidRPr="002534D7">
        <w:t>34.</w:t>
      </w:r>
    </w:p>
    <w:p w14:paraId="2BAFCBCD" w14:textId="1AAD50B6" w:rsidR="006434E8" w:rsidRPr="002534D7" w:rsidRDefault="006434E8" w:rsidP="00D171EF">
      <w:pPr>
        <w:pStyle w:val="F9-Paragraph"/>
      </w:pPr>
      <w:r w:rsidRPr="002534D7">
        <w:lastRenderedPageBreak/>
        <w:t xml:space="preserve">In line with </w:t>
      </w:r>
      <w:r w:rsidR="00F926F6">
        <w:t>SAP</w:t>
      </w:r>
      <w:r w:rsidRPr="002534D7">
        <w:t xml:space="preserve"> RL.3, if new contamination occurs, its effects should be assessed quickly, and appropriate and proportionate remediation undertaken to minimise the impacts on groundwater and land quality. Any leak that is detected should be stopped or otherwise controlled to prevent continuation or recurrence of contamination. Such incidents should be reported to ONR promptly as per</w:t>
      </w:r>
      <w:r>
        <w:t xml:space="preserve"> arrangements made under</w:t>
      </w:r>
      <w:r w:rsidRPr="002534D7">
        <w:t xml:space="preserve"> LC</w:t>
      </w:r>
      <w:r w:rsidR="001B3237">
        <w:t xml:space="preserve"> </w:t>
      </w:r>
      <w:r w:rsidRPr="002534D7">
        <w:t>34</w:t>
      </w:r>
      <w:r w:rsidR="001B3237">
        <w:t xml:space="preserve">/LC </w:t>
      </w:r>
      <w:r w:rsidRPr="002534D7">
        <w:t>7, recorded, characterised and the risks assessed.</w:t>
      </w:r>
      <w:r>
        <w:t xml:space="preserve"> Similarly, such a leak may constitute an unauthorised disposal of radioactive waste in breach of the environmental permit and be reportable under the permit conditions.</w:t>
      </w:r>
      <w:r w:rsidRPr="002534D7">
        <w:t xml:space="preserve"> </w:t>
      </w:r>
      <w:r>
        <w:t xml:space="preserve">ONR expects that licensees should implement good practice with respect to learning from experience to reduce the likelihood of similar events occurring in the future. </w:t>
      </w:r>
    </w:p>
    <w:p w14:paraId="122A4FBE" w14:textId="77777777" w:rsidR="006434E8" w:rsidRPr="002534D7" w:rsidRDefault="006434E8" w:rsidP="00D171EF">
      <w:pPr>
        <w:pStyle w:val="F9-Paragraph"/>
      </w:pPr>
      <w:r w:rsidRPr="002534D7">
        <w:t>All reasonably practicable measures should be used to minimise the spread of contamination (whether new or existing) and to monitor the extent and consequences of its impacts. Site-wide arrangements should recognise the possibility of accidents occurring and should include activities to mitigate and manage leaks and escapes of any contaminants.</w:t>
      </w:r>
    </w:p>
    <w:p w14:paraId="7C41DE72" w14:textId="77777777" w:rsidR="006434E8" w:rsidRPr="002534D7" w:rsidRDefault="006434E8" w:rsidP="00D171EF">
      <w:pPr>
        <w:pStyle w:val="F9-Paragraph"/>
      </w:pPr>
      <w:r w:rsidRPr="002534D7">
        <w:t>The inspector may consider whether the following factors have been adequately addressed by the licensee’s arrangements:</w:t>
      </w:r>
    </w:p>
    <w:p w14:paraId="05FFC4FC" w14:textId="64FAC8BF" w:rsidR="006434E8" w:rsidRPr="002534D7" w:rsidRDefault="006434E8" w:rsidP="006751A3">
      <w:pPr>
        <w:pStyle w:val="Bulletlist1"/>
        <w:rPr>
          <w:b/>
          <w:caps/>
        </w:rPr>
      </w:pPr>
      <w:r w:rsidRPr="002534D7">
        <w:t xml:space="preserve">Is there adequate provision of monitoring systems at potential sources of leaks and of </w:t>
      </w:r>
      <w:r w:rsidR="006151D0">
        <w:t xml:space="preserve">the </w:t>
      </w:r>
      <w:r w:rsidRPr="002534D7">
        <w:t xml:space="preserve">receptors </w:t>
      </w:r>
      <w:r>
        <w:t>to</w:t>
      </w:r>
      <w:r w:rsidRPr="002534D7">
        <w:t xml:space="preserve"> those potential leaks?</w:t>
      </w:r>
    </w:p>
    <w:p w14:paraId="4034BDE8" w14:textId="77777777" w:rsidR="006434E8" w:rsidRPr="002534D7" w:rsidRDefault="006434E8" w:rsidP="006751A3">
      <w:pPr>
        <w:pStyle w:val="Bulletlist1"/>
        <w:rPr>
          <w:b/>
          <w:caps/>
        </w:rPr>
      </w:pPr>
      <w:r w:rsidRPr="002534D7">
        <w:t>Are there adequate inspection and testing arrangements for the monitoring systems, with complete records of inspections to date?</w:t>
      </w:r>
    </w:p>
    <w:p w14:paraId="42663643" w14:textId="77777777" w:rsidR="006434E8" w:rsidRPr="002534D7" w:rsidRDefault="006434E8" w:rsidP="006751A3">
      <w:pPr>
        <w:pStyle w:val="Bulletlist1"/>
        <w:rPr>
          <w:b/>
          <w:caps/>
        </w:rPr>
      </w:pPr>
      <w:r w:rsidRPr="002534D7">
        <w:t>Has the licensee made appropriate contingency plans in case of a leak, including waste management arrangements?</w:t>
      </w:r>
    </w:p>
    <w:p w14:paraId="663C7F08" w14:textId="022498B7" w:rsidR="006434E8" w:rsidRPr="002534D7" w:rsidRDefault="006434E8" w:rsidP="00DB5405">
      <w:pPr>
        <w:pStyle w:val="Heading2"/>
      </w:pPr>
      <w:bookmarkStart w:id="34" w:name="_Toc88037121"/>
      <w:bookmarkStart w:id="35" w:name="_Toc183698828"/>
      <w:r w:rsidRPr="000D626F">
        <w:t>Understanding</w:t>
      </w:r>
      <w:r w:rsidRPr="002534D7">
        <w:t xml:space="preserve"> of the </w:t>
      </w:r>
      <w:r w:rsidR="001B3237">
        <w:t>l</w:t>
      </w:r>
      <w:r w:rsidRPr="002534D7">
        <w:t xml:space="preserve">and </w:t>
      </w:r>
      <w:r w:rsidR="001B3237">
        <w:t>q</w:t>
      </w:r>
      <w:r w:rsidRPr="002534D7">
        <w:t xml:space="preserve">uality </w:t>
      </w:r>
      <w:r w:rsidR="001B3237">
        <w:t>c</w:t>
      </w:r>
      <w:r w:rsidRPr="002534D7">
        <w:t xml:space="preserve">haracteristics of the </w:t>
      </w:r>
      <w:r w:rsidR="001B3237">
        <w:t>s</w:t>
      </w:r>
      <w:r w:rsidRPr="002534D7">
        <w:t>ite</w:t>
      </w:r>
      <w:bookmarkEnd w:id="34"/>
      <w:bookmarkEnd w:id="35"/>
    </w:p>
    <w:p w14:paraId="39E235D1" w14:textId="77777777" w:rsidR="006434E8" w:rsidRPr="002534D7" w:rsidRDefault="006434E8" w:rsidP="00D171EF">
      <w:pPr>
        <w:pStyle w:val="F9-Paragraph"/>
      </w:pPr>
      <w:r w:rsidRPr="002534D7">
        <w:t xml:space="preserve">The LQM plan should be based on </w:t>
      </w:r>
      <w:r>
        <w:t xml:space="preserve">sound </w:t>
      </w:r>
      <w:r w:rsidRPr="002534D7">
        <w:t xml:space="preserve">knowledge and understanding of the characteristics of the site and surrounding area, now and in the past, and any contamination that may exist. </w:t>
      </w:r>
    </w:p>
    <w:p w14:paraId="48A146F5" w14:textId="77777777" w:rsidR="001B3237" w:rsidRDefault="001B3237" w:rsidP="00D171EF">
      <w:pPr>
        <w:pStyle w:val="F9-Paragraph"/>
        <w:sectPr w:rsidR="001B3237" w:rsidSect="008A4D4B">
          <w:endnotePr>
            <w:numFmt w:val="decimal"/>
          </w:endnotePr>
          <w:pgSz w:w="11906" w:h="16838"/>
          <w:pgMar w:top="1440" w:right="1440" w:bottom="1440" w:left="1440" w:header="708" w:footer="708" w:gutter="0"/>
          <w:cols w:space="708"/>
          <w:docGrid w:linePitch="360"/>
        </w:sectPr>
      </w:pPr>
    </w:p>
    <w:p w14:paraId="36375996" w14:textId="4FD30F92" w:rsidR="006434E8" w:rsidRPr="002534D7" w:rsidRDefault="006434E8" w:rsidP="00D171EF">
      <w:pPr>
        <w:pStyle w:val="F9-Paragraph"/>
      </w:pPr>
      <w:r w:rsidRPr="002534D7">
        <w:lastRenderedPageBreak/>
        <w:t xml:space="preserve">The extent of site characterisation (including characterisation of any contaminants) should be sufficient to understand the potential and existing sources of contamination, pathways and receptors, as per </w:t>
      </w:r>
      <w:r w:rsidR="00C46911">
        <w:t>SAP</w:t>
      </w:r>
      <w:r w:rsidRPr="002534D7">
        <w:t xml:space="preserve"> RL.4. </w:t>
      </w:r>
      <w:r w:rsidR="001B3237">
        <w:br/>
      </w:r>
      <w:r w:rsidRPr="002534D7">
        <w:t>Site characterisation activities should also allow any changes to be managed (including any changes in the influence of external factors on the site</w:t>
      </w:r>
      <w:r w:rsidR="00164859">
        <w:t>, for example</w:t>
      </w:r>
      <w:r w:rsidRPr="002534D7">
        <w:t xml:space="preserve"> landscape change as a result of coastal erosion or increases in risk of flooding owing to climate change). In the event of any contamination occurring or being suspected, site characterisation activities should allow the behaviour and migration of contamination to be predicted, and an appropriate level of control to be exerted. </w:t>
      </w:r>
    </w:p>
    <w:p w14:paraId="04748DFD" w14:textId="212C82F6" w:rsidR="006434E8" w:rsidRPr="002534D7" w:rsidRDefault="006434E8" w:rsidP="00D171EF">
      <w:pPr>
        <w:pStyle w:val="F9-Paragraph"/>
      </w:pPr>
      <w:r w:rsidRPr="002534D7">
        <w:t>Licensees are not expected to investigate radioactive contamination on an adjoining site that is operated by a separate</w:t>
      </w:r>
      <w:r>
        <w:t xml:space="preserve"> licensee. H</w:t>
      </w:r>
      <w:r w:rsidRPr="002534D7">
        <w:t>owever, ONR would expect both licensees to cooperate with control and remediation activities in relation to radioactive contamination which may</w:t>
      </w:r>
      <w:r w:rsidR="007A311E">
        <w:t>,</w:t>
      </w:r>
      <w:r w:rsidRPr="002534D7">
        <w:t xml:space="preserve"> or has the potential to</w:t>
      </w:r>
      <w:r w:rsidR="007A311E">
        <w:t>,</w:t>
      </w:r>
      <w:r w:rsidRPr="002534D7">
        <w:t xml:space="preserve"> migrate from one site to another.</w:t>
      </w:r>
    </w:p>
    <w:p w14:paraId="335D060B" w14:textId="7E3742EC" w:rsidR="003E23F5" w:rsidRDefault="006434E8" w:rsidP="00593C19">
      <w:pPr>
        <w:pStyle w:val="F9-Paragraph"/>
      </w:pPr>
      <w:r w:rsidRPr="002534D7">
        <w:t>Site characterisation</w:t>
      </w:r>
      <w:r>
        <w:t xml:space="preserve"> and monitoring</w:t>
      </w:r>
      <w:r w:rsidRPr="002534D7">
        <w:t xml:space="preserve"> should be used to establish</w:t>
      </w:r>
      <w:r>
        <w:t xml:space="preserve"> and inform the development of</w:t>
      </w:r>
      <w:r w:rsidRPr="002534D7">
        <w:t xml:space="preserve"> a conceptual site model </w:t>
      </w:r>
      <w:r w:rsidR="00B92B3A">
        <w:t xml:space="preserve">(CSM) </w:t>
      </w:r>
      <w:r w:rsidRPr="002534D7">
        <w:t>which describes the pathways by which contamination from a source could reach receptors, and the risks posed to those receptors. Th</w:t>
      </w:r>
      <w:r w:rsidR="00B92B3A">
        <w:t>e</w:t>
      </w:r>
      <w:r w:rsidRPr="002534D7">
        <w:t xml:space="preserve"> </w:t>
      </w:r>
      <w:r w:rsidR="00B92B3A">
        <w:t xml:space="preserve">CSM </w:t>
      </w:r>
      <w:r w:rsidRPr="002534D7">
        <w:t xml:space="preserve">should also set out baseline conditions against which any subsequent changes can be reviewed, and their potential impacts assessed. </w:t>
      </w:r>
    </w:p>
    <w:p w14:paraId="0677C2C2" w14:textId="268E1233" w:rsidR="006434E8" w:rsidRPr="002534D7" w:rsidRDefault="006434E8" w:rsidP="00D171EF">
      <w:pPr>
        <w:pStyle w:val="F9-Paragraph"/>
      </w:pPr>
      <w:r w:rsidRPr="002534D7">
        <w:t>Where land quality issues are potentially significant, more detailed characterisation of the source term, pathways and receptors may be necessary. Where appropriate and proportionate, this may also include the use of models to aid understanding of the geology, hydrogeology, geochemistry and contaminant transport</w:t>
      </w:r>
      <w:r>
        <w:t xml:space="preserve"> mechanism(s)</w:t>
      </w:r>
      <w:r w:rsidRPr="002534D7">
        <w:t xml:space="preserve">. </w:t>
      </w:r>
    </w:p>
    <w:p w14:paraId="3B774785" w14:textId="290F54A4" w:rsidR="006434E8" w:rsidRPr="002534D7" w:rsidRDefault="006434E8" w:rsidP="00D171EF">
      <w:pPr>
        <w:pStyle w:val="F9-Paragraph"/>
      </w:pPr>
      <w:r w:rsidRPr="002534D7">
        <w:t xml:space="preserve">It is essential that immediate </w:t>
      </w:r>
      <w:r>
        <w:t xml:space="preserve">investigation </w:t>
      </w:r>
      <w:r w:rsidRPr="002534D7">
        <w:t xml:space="preserve">and risk assessment takes place on finding any new contamination, whether due to previously undetected sources or worsening impacts from known sources. Where appropriate, </w:t>
      </w:r>
      <w:r>
        <w:t>proportionate</w:t>
      </w:r>
      <w:r w:rsidRPr="002534D7">
        <w:t xml:space="preserve"> characterisation </w:t>
      </w:r>
      <w:r>
        <w:t xml:space="preserve">and </w:t>
      </w:r>
      <w:r w:rsidRPr="002534D7">
        <w:t>on-going monitoring of contamination should be carried out</w:t>
      </w:r>
      <w:r>
        <w:t xml:space="preserve"> (</w:t>
      </w:r>
      <w:r w:rsidR="007816AF">
        <w:t>SAP</w:t>
      </w:r>
      <w:r>
        <w:t xml:space="preserve"> RL.5)</w:t>
      </w:r>
      <w:r w:rsidRPr="002534D7">
        <w:t>. The radionuclide half-lives of some radioactive contaminants may appear to negate on-going monitoring, either because they are very short (contaminant will decay rapidly) or very long (radioactive characteristics will not change rapidly)</w:t>
      </w:r>
      <w:r>
        <w:t>. However</w:t>
      </w:r>
      <w:r w:rsidRPr="002534D7">
        <w:t>, there is a need to perform on-going monitoring to provide confidence that the total quantity and location of known sources of radioactively contaminated land/groundwater are not changing through time due to additional leaks or escapes, or through migration of the contaminant(s).</w:t>
      </w:r>
    </w:p>
    <w:p w14:paraId="69FF9840" w14:textId="0683421F" w:rsidR="006434E8" w:rsidRDefault="006434E8" w:rsidP="00D171EF">
      <w:pPr>
        <w:pStyle w:val="F9-Paragraph"/>
      </w:pPr>
      <w:r w:rsidRPr="002534D7">
        <w:t>LC</w:t>
      </w:r>
      <w:r w:rsidR="001B3237">
        <w:t xml:space="preserve"> </w:t>
      </w:r>
      <w:r w:rsidRPr="002534D7">
        <w:t>11(1) states that licensees</w:t>
      </w:r>
      <w:r w:rsidR="003A6709">
        <w:t xml:space="preserve"> </w:t>
      </w:r>
      <w:r w:rsidRPr="002534D7">
        <w:t>“shall make and implement adequate arrangement for dealing with any accident or emergency arising on the site and their effects”</w:t>
      </w:r>
      <w:r>
        <w:t>, and</w:t>
      </w:r>
      <w:r w:rsidRPr="002534D7">
        <w:t xml:space="preserve"> ONR expects licensees to make arrangements to </w:t>
      </w:r>
      <w:r>
        <w:t>mitigate</w:t>
      </w:r>
      <w:r w:rsidRPr="002534D7">
        <w:t xml:space="preserve"> the effects of accidents and emergencies</w:t>
      </w:r>
      <w:r>
        <w:t xml:space="preserve"> leading to LQM issues, so far as is reasonably practicable.</w:t>
      </w:r>
    </w:p>
    <w:p w14:paraId="1CAFBFD9" w14:textId="77777777" w:rsidR="006434E8" w:rsidRPr="002534D7" w:rsidRDefault="006434E8" w:rsidP="00D171EF">
      <w:pPr>
        <w:pStyle w:val="F9-Paragraph"/>
      </w:pPr>
      <w:r w:rsidRPr="002534D7">
        <w:lastRenderedPageBreak/>
        <w:t>The inspector may consider whether the following factors have been adequately addressed by the licensee’s arrangements:</w:t>
      </w:r>
    </w:p>
    <w:p w14:paraId="1D5FA92C" w14:textId="77777777" w:rsidR="006434E8" w:rsidRPr="002534D7" w:rsidRDefault="006434E8" w:rsidP="006751A3">
      <w:pPr>
        <w:pStyle w:val="Bulletlist1"/>
        <w:rPr>
          <w:b/>
          <w:caps/>
        </w:rPr>
      </w:pPr>
      <w:r w:rsidRPr="002534D7">
        <w:t>Has the licensee undertaken characterisation of the site to develop understanding of the current state of land and groundwater quality?</w:t>
      </w:r>
    </w:p>
    <w:p w14:paraId="79E9BF71" w14:textId="77777777" w:rsidR="006434E8" w:rsidRPr="002534D7" w:rsidRDefault="006434E8" w:rsidP="006751A3">
      <w:pPr>
        <w:pStyle w:val="Bulletlist1"/>
        <w:rPr>
          <w:b/>
          <w:caps/>
        </w:rPr>
      </w:pPr>
      <w:r w:rsidRPr="002534D7">
        <w:t>Has the licensee identified potential areas of concern through either characterisation or identification of potential leaks?</w:t>
      </w:r>
    </w:p>
    <w:p w14:paraId="176256AD" w14:textId="5F801523" w:rsidR="006434E8" w:rsidRPr="002534D7" w:rsidRDefault="006434E8" w:rsidP="006751A3">
      <w:pPr>
        <w:pStyle w:val="Bulletlist1"/>
        <w:rPr>
          <w:b/>
          <w:caps/>
        </w:rPr>
      </w:pPr>
      <w:r w:rsidRPr="002534D7">
        <w:t xml:space="preserve">Has the licensee established a </w:t>
      </w:r>
      <w:r w:rsidR="00765D0F">
        <w:t>CSM</w:t>
      </w:r>
      <w:r w:rsidRPr="002534D7">
        <w:t xml:space="preserve"> to aid understanding of potential contaminant migration which identifies the pathways through which contamination may reach receptors from the identified potential sources?</w:t>
      </w:r>
    </w:p>
    <w:p w14:paraId="32A3F1CE" w14:textId="77777777" w:rsidR="006434E8" w:rsidRPr="002534D7" w:rsidRDefault="006434E8" w:rsidP="006751A3">
      <w:pPr>
        <w:pStyle w:val="Bulletlist1"/>
        <w:rPr>
          <w:b/>
          <w:caps/>
        </w:rPr>
      </w:pPr>
      <w:r w:rsidRPr="002534D7">
        <w:t>Are the risks to the receptors identified and quantified?</w:t>
      </w:r>
    </w:p>
    <w:p w14:paraId="56804633" w14:textId="4FB7D2E1" w:rsidR="006434E8" w:rsidRPr="002534D7" w:rsidRDefault="006434E8" w:rsidP="006751A3">
      <w:pPr>
        <w:pStyle w:val="Bulletlist1"/>
        <w:rPr>
          <w:b/>
          <w:caps/>
        </w:rPr>
      </w:pPr>
      <w:r w:rsidRPr="002534D7">
        <w:t>Are suitable arrangements in place for continued monitoring to ensure that characterisation is kept up to date</w:t>
      </w:r>
      <w:r>
        <w:t xml:space="preserve"> and the </w:t>
      </w:r>
      <w:r w:rsidR="00765D0F">
        <w:t xml:space="preserve">CSM </w:t>
      </w:r>
      <w:r>
        <w:t>updated accordingly</w:t>
      </w:r>
      <w:r w:rsidRPr="002534D7">
        <w:t>?</w:t>
      </w:r>
    </w:p>
    <w:p w14:paraId="5E8FCC8A" w14:textId="35E73B1E" w:rsidR="00BA279F" w:rsidRPr="000D626F" w:rsidRDefault="00BA279F" w:rsidP="00DB5405">
      <w:pPr>
        <w:pStyle w:val="Heading2"/>
      </w:pPr>
      <w:bookmarkStart w:id="36" w:name="_Toc183698829"/>
      <w:bookmarkStart w:id="37" w:name="_Toc88037122"/>
      <w:r w:rsidRPr="000D626F">
        <w:t>Manage land quality to mitigate risks</w:t>
      </w:r>
      <w:bookmarkEnd w:id="36"/>
    </w:p>
    <w:p w14:paraId="1211EE9E" w14:textId="37DF28BE" w:rsidR="006434E8" w:rsidRPr="002534D7" w:rsidRDefault="006434E8" w:rsidP="00DB5405">
      <w:pPr>
        <w:pStyle w:val="Heading3"/>
      </w:pPr>
      <w:r w:rsidRPr="002534D7">
        <w:t xml:space="preserve">Assessment of </w:t>
      </w:r>
      <w:r w:rsidR="001B3237">
        <w:t>o</w:t>
      </w:r>
      <w:r w:rsidRPr="002534D7">
        <w:t>ptions for LQM</w:t>
      </w:r>
      <w:bookmarkEnd w:id="37"/>
    </w:p>
    <w:p w14:paraId="54FBDFF1" w14:textId="12D7A0E1" w:rsidR="006434E8" w:rsidRPr="002534D7" w:rsidRDefault="006434E8" w:rsidP="00D171EF">
      <w:pPr>
        <w:pStyle w:val="F9-Paragraph"/>
      </w:pPr>
      <w:r w:rsidRPr="002534D7">
        <w:t xml:space="preserve">LQM decisions should be informed by an assessment of options for remediation that exist for each land and groundwater contamination source term taking account of the overall remediation strategy for the site. </w:t>
      </w:r>
      <w:r w:rsidR="001B3237">
        <w:br/>
      </w:r>
      <w:r w:rsidR="00DF4CC3">
        <w:t xml:space="preserve">Research conducted by </w:t>
      </w:r>
      <w:r>
        <w:t>ONR</w:t>
      </w:r>
      <w:r w:rsidR="00C9551E">
        <w:t xml:space="preserve"> </w:t>
      </w:r>
      <w:r>
        <w:t>provides additional guidance on available remediation techniques most commonly used in the nuclear industry</w:t>
      </w:r>
      <w:r w:rsidR="001B3237" w:rsidRPr="001B3237">
        <w:t xml:space="preserve"> </w:t>
      </w:r>
      <w:sdt>
        <w:sdtPr>
          <w:id w:val="791716505"/>
          <w:citation/>
        </w:sdtPr>
        <w:sdtEndPr/>
        <w:sdtContent>
          <w:r w:rsidR="001B3237">
            <w:fldChar w:fldCharType="begin"/>
          </w:r>
          <w:r w:rsidR="003F70EC">
            <w:instrText xml:space="preserve">CITATION ONR20 \l 2057 </w:instrText>
          </w:r>
          <w:r w:rsidR="001B3237">
            <w:fldChar w:fldCharType="separate"/>
          </w:r>
          <w:r w:rsidR="00B23A01">
            <w:rPr>
              <w:noProof/>
            </w:rPr>
            <w:t>[32]</w:t>
          </w:r>
          <w:r w:rsidR="001B3237">
            <w:fldChar w:fldCharType="end"/>
          </w:r>
        </w:sdtContent>
      </w:sdt>
      <w:r>
        <w:t xml:space="preserve">, including criteria that should be considered during technical selection of appropriate methods, which will help assessment of the licensee’s optioneering process. </w:t>
      </w:r>
      <w:r w:rsidRPr="002534D7">
        <w:t>An appropriate level of stakeholder dialogue should occur early in the process of identifying, screening and selecting remediation options.</w:t>
      </w:r>
    </w:p>
    <w:p w14:paraId="5DCAF166" w14:textId="77777777" w:rsidR="006434E8" w:rsidRPr="002534D7" w:rsidRDefault="006434E8" w:rsidP="00D171EF">
      <w:pPr>
        <w:pStyle w:val="F9-Paragraph"/>
      </w:pPr>
      <w:r w:rsidRPr="002534D7">
        <w:t>The inspector may consider whether the following factors</w:t>
      </w:r>
      <w:r>
        <w:t>, which are not intended to be an exclusive list,</w:t>
      </w:r>
      <w:r w:rsidRPr="002534D7">
        <w:t xml:space="preserve"> have been adequately considered</w:t>
      </w:r>
      <w:r>
        <w:t xml:space="preserve"> and assessed</w:t>
      </w:r>
      <w:r w:rsidRPr="002534D7">
        <w:t xml:space="preserve"> by the licensee during assessment of LQM options:</w:t>
      </w:r>
      <w:r w:rsidRPr="002534D7">
        <w:rPr>
          <w:color w:val="000000"/>
          <w:lang w:eastAsia="en-GB"/>
        </w:rPr>
        <w:t xml:space="preserve"> </w:t>
      </w:r>
    </w:p>
    <w:p w14:paraId="4D9BAF85" w14:textId="77777777" w:rsidR="006434E8" w:rsidRPr="002534D7" w:rsidRDefault="006434E8" w:rsidP="006751A3">
      <w:pPr>
        <w:pStyle w:val="Bulletlist1"/>
      </w:pPr>
      <w:r w:rsidRPr="002534D7">
        <w:t>the physio-chemical nature and current state of contaminants</w:t>
      </w:r>
    </w:p>
    <w:p w14:paraId="68A95682" w14:textId="77777777" w:rsidR="006434E8" w:rsidRPr="002534D7" w:rsidRDefault="006434E8" w:rsidP="006751A3">
      <w:pPr>
        <w:pStyle w:val="Bulletlist1"/>
      </w:pPr>
      <w:r w:rsidRPr="002534D7">
        <w:t xml:space="preserve">the actual or potential risks to people and the environment under current conditions </w:t>
      </w:r>
    </w:p>
    <w:p w14:paraId="4368A739" w14:textId="77777777" w:rsidR="006434E8" w:rsidRPr="002534D7" w:rsidRDefault="006434E8" w:rsidP="006751A3">
      <w:pPr>
        <w:pStyle w:val="Bulletlist1"/>
      </w:pPr>
      <w:r w:rsidRPr="002534D7">
        <w:t xml:space="preserve">the benefits and detriments that implementation of each option would bring </w:t>
      </w:r>
    </w:p>
    <w:p w14:paraId="20E40210" w14:textId="77777777" w:rsidR="006434E8" w:rsidRPr="002534D7" w:rsidRDefault="006434E8" w:rsidP="006751A3">
      <w:pPr>
        <w:pStyle w:val="Bulletlist1"/>
      </w:pPr>
      <w:r w:rsidRPr="002534D7">
        <w:t xml:space="preserve">the impact that any delay in implementing the option might have upon the spread of contamination </w:t>
      </w:r>
    </w:p>
    <w:p w14:paraId="662FD6CF" w14:textId="77777777" w:rsidR="006434E8" w:rsidRDefault="006434E8" w:rsidP="006751A3">
      <w:pPr>
        <w:pStyle w:val="Bulletlist1"/>
      </w:pPr>
      <w:r w:rsidRPr="002534D7">
        <w:t xml:space="preserve">the actual or potential risks, and the costs of each option </w:t>
      </w:r>
    </w:p>
    <w:p w14:paraId="5450A97A" w14:textId="77777777" w:rsidR="006434E8" w:rsidRPr="002534D7" w:rsidRDefault="006434E8" w:rsidP="006751A3">
      <w:pPr>
        <w:pStyle w:val="Bulletlist1"/>
      </w:pPr>
      <w:r>
        <w:lastRenderedPageBreak/>
        <w:t xml:space="preserve">the radiological protection risks to people for each option </w:t>
      </w:r>
    </w:p>
    <w:p w14:paraId="358284D6" w14:textId="77777777" w:rsidR="006434E8" w:rsidRPr="002534D7" w:rsidRDefault="006434E8" w:rsidP="006751A3">
      <w:pPr>
        <w:pStyle w:val="Bulletlist1"/>
      </w:pPr>
      <w:r w:rsidRPr="002534D7">
        <w:t>the nature and volume of wastes that would be generated, and availability of disposal routes</w:t>
      </w:r>
    </w:p>
    <w:p w14:paraId="6B2EE593" w14:textId="77777777" w:rsidR="006434E8" w:rsidRPr="002534D7" w:rsidRDefault="006434E8" w:rsidP="006751A3">
      <w:pPr>
        <w:pStyle w:val="Bulletlist1"/>
      </w:pPr>
      <w:r w:rsidRPr="002534D7">
        <w:t xml:space="preserve">the lifecycle impacts on people and the environment </w:t>
      </w:r>
    </w:p>
    <w:p w14:paraId="012A1E75" w14:textId="77777777" w:rsidR="006434E8" w:rsidRPr="002534D7" w:rsidRDefault="006434E8" w:rsidP="006751A3">
      <w:pPr>
        <w:pStyle w:val="Bulletlist1"/>
      </w:pPr>
      <w:r w:rsidRPr="002534D7">
        <w:t xml:space="preserve">the practical issues of implementation associated with each option </w:t>
      </w:r>
    </w:p>
    <w:p w14:paraId="47DF3144" w14:textId="77777777" w:rsidR="006434E8" w:rsidRPr="002534D7" w:rsidRDefault="006434E8" w:rsidP="006751A3">
      <w:pPr>
        <w:pStyle w:val="Bulletlist1"/>
      </w:pPr>
      <w:r w:rsidRPr="002534D7">
        <w:t xml:space="preserve">the intended site end states (interim and/or final) and options identified </w:t>
      </w:r>
      <w:r>
        <w:t xml:space="preserve">to </w:t>
      </w:r>
      <w:r w:rsidRPr="002534D7">
        <w:t>achieve the proposed state</w:t>
      </w:r>
    </w:p>
    <w:p w14:paraId="5871D179" w14:textId="62750AA5" w:rsidR="006434E8" w:rsidRDefault="006434E8" w:rsidP="006751A3">
      <w:pPr>
        <w:pStyle w:val="Bulletlist1"/>
      </w:pPr>
      <w:r w:rsidRPr="002534D7">
        <w:t>the extent to which each option addresses any concerns raised by stakeholders</w:t>
      </w:r>
    </w:p>
    <w:p w14:paraId="217DF71C" w14:textId="2DF08D04" w:rsidR="006434E8" w:rsidRPr="001F431A" w:rsidRDefault="006434E8" w:rsidP="006751A3">
      <w:pPr>
        <w:pStyle w:val="Bulletlist1"/>
      </w:pPr>
      <w:r>
        <w:t xml:space="preserve">whether </w:t>
      </w:r>
      <w:r w:rsidRPr="00EC6923">
        <w:t xml:space="preserve">the selected option </w:t>
      </w:r>
      <w:r>
        <w:t xml:space="preserve">has </w:t>
      </w:r>
      <w:r w:rsidRPr="00EC6923">
        <w:t xml:space="preserve">been chosen on a suitable basis, with due consideration of </w:t>
      </w:r>
      <w:r w:rsidR="00681EA8">
        <w:t>RGP</w:t>
      </w:r>
      <w:r w:rsidRPr="00EC6923">
        <w:t xml:space="preserve"> and safety benefits, such that risks will demonstrably be reduced so far as is reasonably practicable</w:t>
      </w:r>
    </w:p>
    <w:p w14:paraId="787DB314" w14:textId="0DD0579E" w:rsidR="006434E8" w:rsidRPr="002534D7" w:rsidRDefault="006434E8" w:rsidP="00DB5405">
      <w:pPr>
        <w:pStyle w:val="Heading3"/>
      </w:pPr>
      <w:bookmarkStart w:id="38" w:name="_Toc88037123"/>
      <w:r w:rsidRPr="002534D7">
        <w:t xml:space="preserve">Prioritisation of LQM </w:t>
      </w:r>
      <w:r w:rsidR="001B3237">
        <w:t>a</w:t>
      </w:r>
      <w:r w:rsidRPr="002534D7">
        <w:t>ctivities</w:t>
      </w:r>
      <w:bookmarkEnd w:id="38"/>
    </w:p>
    <w:p w14:paraId="094BF22B" w14:textId="77777777" w:rsidR="006434E8" w:rsidRPr="002534D7" w:rsidRDefault="006434E8" w:rsidP="00D171EF">
      <w:pPr>
        <w:pStyle w:val="F9-Paragraph"/>
      </w:pPr>
      <w:r w:rsidRPr="002534D7">
        <w:t xml:space="preserve">The outcome of the assessment of remediation options should be a strategy which should form the basis of a prioritised programme of work to implement the selected option. </w:t>
      </w:r>
    </w:p>
    <w:p w14:paraId="4195FE50" w14:textId="5C89779A" w:rsidR="006434E8" w:rsidRPr="002534D7" w:rsidRDefault="006434E8" w:rsidP="00D171EF">
      <w:pPr>
        <w:pStyle w:val="F9-Paragraph"/>
      </w:pPr>
      <w:r w:rsidRPr="002534D7">
        <w:t xml:space="preserve">LQM activities should integrate fully with other site restoration and waste management activities, both current and future. Unless otherwise justified, contaminated areas of land should be remediated to appropriate standards before any new construction </w:t>
      </w:r>
      <w:r>
        <w:t xml:space="preserve">is started </w:t>
      </w:r>
      <w:r w:rsidRPr="002534D7">
        <w:t>(</w:t>
      </w:r>
      <w:r w:rsidR="006227C6">
        <w:t>SAP</w:t>
      </w:r>
      <w:r w:rsidRPr="002534D7">
        <w:t xml:space="preserve"> RL.8). Where appropriate, opportunities should be taken for remediation when civil works are being undertaken. Plans for other site activities should take account of the potential impact that any new development might have upon any land and groundwater contamination (for example, impacting on local groundwater flows and so changing contaminant migration rates or pathways). </w:t>
      </w:r>
    </w:p>
    <w:p w14:paraId="324A20B9" w14:textId="1B62A49A" w:rsidR="006434E8" w:rsidRDefault="006434E8" w:rsidP="00D171EF">
      <w:pPr>
        <w:pStyle w:val="F9-Paragraph"/>
      </w:pPr>
      <w:r w:rsidRPr="002534D7">
        <w:t>ONR expect</w:t>
      </w:r>
      <w:r>
        <w:t>s</w:t>
      </w:r>
      <w:r w:rsidRPr="002534D7">
        <w:t xml:space="preserve"> that the </w:t>
      </w:r>
      <w:r>
        <w:t>licensee</w:t>
      </w:r>
      <w:r w:rsidRPr="002534D7">
        <w:t xml:space="preserve">’s LQM plan is appropriately prioritised. </w:t>
      </w:r>
      <w:r>
        <w:br/>
      </w:r>
      <w:r w:rsidRPr="002534D7">
        <w:t xml:space="preserve">The order in which remediation work is undertaken will generally reflect the risk posed to people and the environment from the area of concern. </w:t>
      </w:r>
      <w:r>
        <w:br/>
        <w:t>In general, t</w:t>
      </w:r>
      <w:r w:rsidRPr="002534D7">
        <w:t>he highest priority for action should be given to those areas posing the greatest hazard and risk</w:t>
      </w:r>
      <w:r>
        <w:t>, however, it should be recognised that this may not always be possible</w:t>
      </w:r>
      <w:r w:rsidRPr="002534D7">
        <w:t>. Any change to planned management activities should be justified and the reasons for the changes clearly recorded. LQM activities should continue throughout the period that the site remains under regulatory control, including any periods of monitoring.</w:t>
      </w:r>
      <w:r w:rsidR="008D36D3">
        <w:t xml:space="preserve"> </w:t>
      </w:r>
    </w:p>
    <w:p w14:paraId="31B6B028" w14:textId="77777777" w:rsidR="001B3237" w:rsidRDefault="001B3237" w:rsidP="00D171EF">
      <w:pPr>
        <w:pStyle w:val="F9-Paragraph"/>
        <w:sectPr w:rsidR="001B3237" w:rsidSect="008A4D4B">
          <w:endnotePr>
            <w:numFmt w:val="decimal"/>
          </w:endnotePr>
          <w:pgSz w:w="11906" w:h="16838"/>
          <w:pgMar w:top="1440" w:right="1440" w:bottom="1440" w:left="1440" w:header="708" w:footer="708" w:gutter="0"/>
          <w:cols w:space="708"/>
          <w:docGrid w:linePitch="360"/>
        </w:sectPr>
      </w:pPr>
    </w:p>
    <w:p w14:paraId="5CA60D99" w14:textId="77777777" w:rsidR="004E3E45" w:rsidRDefault="002A0164" w:rsidP="00D171EF">
      <w:pPr>
        <w:pStyle w:val="F9-Paragraph"/>
      </w:pPr>
      <w:r>
        <w:lastRenderedPageBreak/>
        <w:t xml:space="preserve">SAP </w:t>
      </w:r>
      <w:r w:rsidR="006434E8" w:rsidRPr="002534D7">
        <w:t>DC.3 states that</w:t>
      </w:r>
      <w:r w:rsidR="004E3E45">
        <w:t>:</w:t>
      </w:r>
      <w:r w:rsidR="006434E8" w:rsidRPr="002534D7">
        <w:t xml:space="preserve"> </w:t>
      </w:r>
    </w:p>
    <w:p w14:paraId="6CDE0DC5" w14:textId="70D686A1" w:rsidR="004E3E45" w:rsidRDefault="006434E8" w:rsidP="004E3E45">
      <w:pPr>
        <w:pStyle w:val="QuoteText"/>
      </w:pPr>
      <w:r w:rsidRPr="002534D7">
        <w:t>“where adequate levels of safety cannot be demonstrated, prompt decommissioning should be carried out and, where necessary, prompt remedial and operational measures should be implemented to reduce the risk</w:t>
      </w:r>
      <w:r w:rsidR="002C20A2">
        <w:t>.</w:t>
      </w:r>
      <w:r w:rsidRPr="002534D7">
        <w:t>”</w:t>
      </w:r>
      <w:r w:rsidR="002C20A2">
        <w:t xml:space="preserve"> </w:t>
      </w:r>
      <w:sdt>
        <w:sdtPr>
          <w:id w:val="866023714"/>
          <w:citation/>
        </w:sdtPr>
        <w:sdtEndPr/>
        <w:sdtContent>
          <w:r w:rsidR="002C20A2">
            <w:fldChar w:fldCharType="begin"/>
          </w:r>
          <w:r w:rsidR="002C20A2">
            <w:instrText xml:space="preserve"> CITATION Off20 \l 2057 </w:instrText>
          </w:r>
          <w:r w:rsidR="002C20A2">
            <w:fldChar w:fldCharType="separate"/>
          </w:r>
          <w:r w:rsidR="00B23A01" w:rsidRPr="00B23A01">
            <w:rPr>
              <w:noProof/>
            </w:rPr>
            <w:t>[1]</w:t>
          </w:r>
          <w:r w:rsidR="002C20A2">
            <w:fldChar w:fldCharType="end"/>
          </w:r>
        </w:sdtContent>
      </w:sdt>
      <w:r w:rsidRPr="002534D7">
        <w:t xml:space="preserve"> </w:t>
      </w:r>
    </w:p>
    <w:p w14:paraId="60D634FE" w14:textId="050A07E8" w:rsidR="006434E8" w:rsidRDefault="006434E8" w:rsidP="00D171EF">
      <w:pPr>
        <w:pStyle w:val="F9-Paragraph"/>
      </w:pPr>
      <w:r>
        <w:t>In such instances</w:t>
      </w:r>
      <w:r w:rsidRPr="002534D7">
        <w:t>, ONR would expect, so far as is reasonably practicable, that appropriate and prompt remedial measures be taken to reduce risks posed by radioactively contaminated land or groundwater.</w:t>
      </w:r>
      <w:r>
        <w:t xml:space="preserve"> Where prompt action cannot be undertaken, the licensee must justify the safety of the radioactively contaminated land.</w:t>
      </w:r>
    </w:p>
    <w:p w14:paraId="14BBE1AC" w14:textId="77777777" w:rsidR="006434E8" w:rsidRPr="002534D7" w:rsidRDefault="006434E8" w:rsidP="00D171EF">
      <w:pPr>
        <w:pStyle w:val="F9-Paragraph"/>
      </w:pPr>
      <w:r w:rsidRPr="002534D7">
        <w:t>The inspector may consider whether the following factors have been adequately addressed by the licensee’s arrangements:</w:t>
      </w:r>
    </w:p>
    <w:p w14:paraId="06CD3E75" w14:textId="77777777" w:rsidR="006434E8" w:rsidRPr="002534D7" w:rsidRDefault="006434E8" w:rsidP="006751A3">
      <w:pPr>
        <w:pStyle w:val="Bulletlist1"/>
        <w:rPr>
          <w:b/>
          <w:caps/>
        </w:rPr>
      </w:pPr>
      <w:r w:rsidRPr="002534D7">
        <w:t>Have LQM activities been prioritised so as to reduce the greatest hazard and risk?</w:t>
      </w:r>
    </w:p>
    <w:p w14:paraId="0AE1C01C" w14:textId="77777777" w:rsidR="006434E8" w:rsidRPr="002534D7" w:rsidRDefault="006434E8" w:rsidP="006751A3">
      <w:pPr>
        <w:pStyle w:val="Bulletlist1"/>
        <w:rPr>
          <w:b/>
          <w:caps/>
        </w:rPr>
      </w:pPr>
      <w:r w:rsidRPr="002534D7">
        <w:t>Are any risks from identified potential future hazards adequately integrated into the prioritised plan?</w:t>
      </w:r>
    </w:p>
    <w:p w14:paraId="7A3883DA" w14:textId="78787493" w:rsidR="00926C1B" w:rsidRPr="009F6B01" w:rsidRDefault="00926C1B" w:rsidP="00DB5405">
      <w:pPr>
        <w:pStyle w:val="Heading3"/>
      </w:pPr>
      <w:bookmarkStart w:id="39" w:name="_Toc88037124"/>
      <w:r w:rsidRPr="009F6B01">
        <w:t xml:space="preserve">Development of LQM </w:t>
      </w:r>
      <w:r w:rsidR="001B3237">
        <w:t>a</w:t>
      </w:r>
      <w:r w:rsidRPr="009F6B01">
        <w:t>rrangements (</w:t>
      </w:r>
      <w:r w:rsidR="001B3237">
        <w:t>s</w:t>
      </w:r>
      <w:r w:rsidRPr="009F6B01">
        <w:t xml:space="preserve">afety and </w:t>
      </w:r>
      <w:r w:rsidR="001B3237">
        <w:t>w</w:t>
      </w:r>
      <w:r w:rsidRPr="009F6B01">
        <w:t xml:space="preserve">aste </w:t>
      </w:r>
      <w:r w:rsidR="001B3237">
        <w:t>m</w:t>
      </w:r>
      <w:r w:rsidRPr="009F6B01">
        <w:t>anagement)</w:t>
      </w:r>
    </w:p>
    <w:p w14:paraId="65273C07" w14:textId="401D35DF" w:rsidR="00926C1B" w:rsidRDefault="00926C1B" w:rsidP="00926C1B">
      <w:pPr>
        <w:pStyle w:val="F9-Paragraph"/>
      </w:pPr>
      <w:r w:rsidRPr="002534D7">
        <w:t xml:space="preserve">All land and groundwater contamination should be managed in accordance with an appropriate safety case and waste management arrangements, to demonstrate that risks to operating staff, to other persons and to the environment are avoided, so far as is reasonably practicable. </w:t>
      </w:r>
      <w:r w:rsidR="001B3237">
        <w:br/>
      </w:r>
      <w:r>
        <w:t xml:space="preserve">Although radioactively contaminated land is not deemed to be radioactive waste whilst </w:t>
      </w:r>
      <w:r>
        <w:rPr>
          <w:i/>
        </w:rPr>
        <w:t>in situ</w:t>
      </w:r>
      <w:r>
        <w:t>, waste may be generated during characterisation or remediation and so the licensee must have suitable arrangements to plan for management of such waste arising in the future.</w:t>
      </w:r>
    </w:p>
    <w:p w14:paraId="2D36BFDF" w14:textId="3BA87943" w:rsidR="00926C1B" w:rsidRPr="002534D7" w:rsidRDefault="00926C1B" w:rsidP="00926C1B">
      <w:pPr>
        <w:pStyle w:val="F9-Paragraph"/>
      </w:pPr>
      <w:r w:rsidRPr="00FF337E">
        <w:t>The environment</w:t>
      </w:r>
      <w:r w:rsidR="008C7D10">
        <w:t>al permit</w:t>
      </w:r>
      <w:r w:rsidRPr="00FF337E">
        <w:t xml:space="preserve"> requires </w:t>
      </w:r>
      <w:r>
        <w:t xml:space="preserve">dutyholders to produce and maintain </w:t>
      </w:r>
      <w:r w:rsidRPr="00FF337E">
        <w:t xml:space="preserve">a </w:t>
      </w:r>
      <w:r w:rsidR="008C7D10">
        <w:t>SWESC and WMP</w:t>
      </w:r>
      <w:r>
        <w:t xml:space="preserve">. </w:t>
      </w:r>
      <w:r w:rsidRPr="00FF337E">
        <w:t xml:space="preserve">ONR would not expect a </w:t>
      </w:r>
      <w:r>
        <w:t>licensee</w:t>
      </w:r>
      <w:r w:rsidRPr="00FF337E">
        <w:t xml:space="preserve"> to produce a separate </w:t>
      </w:r>
      <w:r w:rsidR="00D51B30">
        <w:t xml:space="preserve">land quality </w:t>
      </w:r>
      <w:r w:rsidRPr="00FF337E">
        <w:t>safety case where the SWESC addresses all of ONR’s requirements.</w:t>
      </w:r>
    </w:p>
    <w:p w14:paraId="286B93FF" w14:textId="338BA925" w:rsidR="00926C1B" w:rsidRPr="002534D7" w:rsidRDefault="00BB5170" w:rsidP="00926C1B">
      <w:pPr>
        <w:pStyle w:val="F9-Paragraph"/>
      </w:pPr>
      <w:r>
        <w:t xml:space="preserve">SAP </w:t>
      </w:r>
      <w:r w:rsidR="00926C1B" w:rsidRPr="002534D7">
        <w:t xml:space="preserve">RL.9 states ONR’s expectation that licensees provide a safety case to demonstrate the safety of the plan for managing the control and remediation activities associated with radioactively contaminated land and groundwater. The safety case should be kept up to date as the work progresses to implement the plan, as per </w:t>
      </w:r>
      <w:r w:rsidR="00C54FB6">
        <w:t>SAP</w:t>
      </w:r>
      <w:r w:rsidR="00926C1B" w:rsidRPr="002534D7">
        <w:t xml:space="preserve"> SC.7. Further guidance o</w:t>
      </w:r>
      <w:r w:rsidR="00926C1B">
        <w:t>n</w:t>
      </w:r>
      <w:r w:rsidR="00926C1B" w:rsidRPr="002534D7">
        <w:t xml:space="preserve"> safety case assessment is provided in the relevant TAG (NS-TAST-GD-051)</w:t>
      </w:r>
      <w:r w:rsidR="00926C1B">
        <w:t xml:space="preserve"> </w:t>
      </w:r>
      <w:sdt>
        <w:sdtPr>
          <w:id w:val="-1593857319"/>
          <w:citation/>
        </w:sdtPr>
        <w:sdtEndPr/>
        <w:sdtContent>
          <w:r w:rsidR="001B3237">
            <w:fldChar w:fldCharType="begin"/>
          </w:r>
          <w:r w:rsidR="001B3237">
            <w:instrText xml:space="preserve"> CITATION ONR222 \l 2057 </w:instrText>
          </w:r>
          <w:r w:rsidR="001B3237">
            <w:fldChar w:fldCharType="separate"/>
          </w:r>
          <w:r w:rsidR="00B23A01">
            <w:rPr>
              <w:noProof/>
            </w:rPr>
            <w:t>[33]</w:t>
          </w:r>
          <w:r w:rsidR="001B3237">
            <w:fldChar w:fldCharType="end"/>
          </w:r>
        </w:sdtContent>
      </w:sdt>
      <w:r w:rsidR="00926C1B" w:rsidRPr="002534D7">
        <w:t xml:space="preserve">. It is up to the licensee to decide how the LQM safety case is presented and documented, </w:t>
      </w:r>
      <w:r w:rsidR="00312843">
        <w:t xml:space="preserve">for example </w:t>
      </w:r>
      <w:r w:rsidR="00926C1B" w:rsidRPr="002534D7">
        <w:t xml:space="preserve">as a stand-alone document or forming part of an operational facility’s safety documentation. </w:t>
      </w:r>
    </w:p>
    <w:p w14:paraId="42196A24" w14:textId="7A6E2CB0" w:rsidR="00926C1B" w:rsidRDefault="00926C1B" w:rsidP="00926C1B">
      <w:pPr>
        <w:pStyle w:val="F9-Paragraph"/>
      </w:pPr>
      <w:r w:rsidRPr="002534D7">
        <w:lastRenderedPageBreak/>
        <w:t xml:space="preserve">The expectation that licensees develop suitable arrangements in relation to their LQM activities forms part of the requirements upon licensees under </w:t>
      </w:r>
      <w:r w:rsidR="003F70EC">
        <w:br/>
      </w:r>
      <w:r w:rsidRPr="002534D7">
        <w:t>LC</w:t>
      </w:r>
      <w:r w:rsidR="003F70EC">
        <w:t xml:space="preserve"> </w:t>
      </w:r>
      <w:r>
        <w:t>23</w:t>
      </w:r>
      <w:r w:rsidRPr="002534D7">
        <w:t xml:space="preserve"> (</w:t>
      </w:r>
      <w:r>
        <w:t>operating rules</w:t>
      </w:r>
      <w:r w:rsidRPr="002534D7">
        <w:t>)</w:t>
      </w:r>
      <w:r>
        <w:t>,</w:t>
      </w:r>
      <w:r w:rsidRPr="002534D7">
        <w:t xml:space="preserve"> LC</w:t>
      </w:r>
      <w:r w:rsidR="003F70EC">
        <w:t xml:space="preserve"> </w:t>
      </w:r>
      <w:r w:rsidRPr="002534D7">
        <w:t xml:space="preserve">17 (management arrangements), </w:t>
      </w:r>
      <w:r>
        <w:t>and LC</w:t>
      </w:r>
      <w:r w:rsidR="003F70EC">
        <w:t xml:space="preserve"> </w:t>
      </w:r>
      <w:r>
        <w:t xml:space="preserve">35 (decommissioning) </w:t>
      </w:r>
      <w:r w:rsidRPr="002534D7">
        <w:t>and further guidance on compliance with these conditions is provided in the relevant T</w:t>
      </w:r>
      <w:r>
        <w:t>I</w:t>
      </w:r>
      <w:r w:rsidRPr="002534D7">
        <w:t>Gs</w:t>
      </w:r>
      <w:r w:rsidR="003F70EC">
        <w:t xml:space="preserve"> </w:t>
      </w:r>
      <w:sdt>
        <w:sdtPr>
          <w:id w:val="-726614883"/>
          <w:citation/>
        </w:sdtPr>
        <w:sdtEndPr/>
        <w:sdtContent>
          <w:r w:rsidR="003F70EC">
            <w:fldChar w:fldCharType="begin"/>
          </w:r>
          <w:r w:rsidR="003F70EC">
            <w:instrText xml:space="preserve">CITATION ONR90 \m ONR20 \m ONR160 \l 2057 </w:instrText>
          </w:r>
          <w:r w:rsidR="003F70EC">
            <w:fldChar w:fldCharType="separate"/>
          </w:r>
          <w:r w:rsidR="00B23A01">
            <w:rPr>
              <w:noProof/>
            </w:rPr>
            <w:t>[34, 32, 35]</w:t>
          </w:r>
          <w:r w:rsidR="003F70EC">
            <w:fldChar w:fldCharType="end"/>
          </w:r>
        </w:sdtContent>
      </w:sdt>
      <w:r w:rsidRPr="002534D7">
        <w:t>.</w:t>
      </w:r>
    </w:p>
    <w:p w14:paraId="6409AC03" w14:textId="50741234" w:rsidR="00926C1B" w:rsidRDefault="00926C1B" w:rsidP="00926C1B">
      <w:pPr>
        <w:pStyle w:val="F9-Paragraph"/>
      </w:pPr>
      <w:r>
        <w:t xml:space="preserve">The safety arrangements for LQM should take account of the radiation protection SAPs RP.1 to RP.7 and the requirements for compliance with IRR17. Licensees’ arrangements should provide adequate protection for members of the public and workers against exposure to ionising radiation, including radioactive contamination. Further guidance on this topic is provided in the relevant TAG (NS-TAST-GD-038) </w:t>
      </w:r>
      <w:sdt>
        <w:sdtPr>
          <w:id w:val="1719630970"/>
          <w:citation/>
        </w:sdtPr>
        <w:sdtEndPr/>
        <w:sdtContent>
          <w:r w:rsidR="003F70EC">
            <w:fldChar w:fldCharType="begin"/>
          </w:r>
          <w:r w:rsidR="003F70EC">
            <w:instrText xml:space="preserve"> CITATION ONR158 \l 2057 </w:instrText>
          </w:r>
          <w:r w:rsidR="003F70EC">
            <w:fldChar w:fldCharType="separate"/>
          </w:r>
          <w:r w:rsidR="00B23A01">
            <w:rPr>
              <w:noProof/>
            </w:rPr>
            <w:t>[26]</w:t>
          </w:r>
          <w:r w:rsidR="003F70EC">
            <w:fldChar w:fldCharType="end"/>
          </w:r>
        </w:sdtContent>
      </w:sdt>
      <w:r>
        <w:t>.</w:t>
      </w:r>
    </w:p>
    <w:p w14:paraId="429F3D43" w14:textId="77777777" w:rsidR="004E3E45" w:rsidRDefault="00926C1B" w:rsidP="00926C1B">
      <w:pPr>
        <w:pStyle w:val="F9-Paragraph"/>
      </w:pPr>
      <w:r w:rsidRPr="002534D7">
        <w:t xml:space="preserve">In addition, </w:t>
      </w:r>
      <w:r>
        <w:t>paragraph 817 in the SAPs states that</w:t>
      </w:r>
      <w:r w:rsidR="004E3E45">
        <w:t>:</w:t>
      </w:r>
    </w:p>
    <w:p w14:paraId="53162D83" w14:textId="33A0D1F7" w:rsidR="004E3E45" w:rsidRDefault="00926C1B" w:rsidP="004E3E45">
      <w:pPr>
        <w:pStyle w:val="QuoteText"/>
      </w:pPr>
      <w:r>
        <w:t>“appropriate and sufficient capacity should be provided for temporary storage of radioactive waste”, which includes “allowance for waste resulting from incidents</w:t>
      </w:r>
      <w:r w:rsidR="002C20A2">
        <w:t>.</w:t>
      </w:r>
      <w:r>
        <w:t>”</w:t>
      </w:r>
      <w:r w:rsidR="003F70EC">
        <w:t xml:space="preserve"> </w:t>
      </w:r>
      <w:sdt>
        <w:sdtPr>
          <w:id w:val="1964003150"/>
          <w:citation/>
        </w:sdtPr>
        <w:sdtEndPr/>
        <w:sdtContent>
          <w:r w:rsidR="003F70EC">
            <w:fldChar w:fldCharType="begin"/>
          </w:r>
          <w:r w:rsidR="003F70EC">
            <w:instrText xml:space="preserve"> CITATION Off20 \l 2057 </w:instrText>
          </w:r>
          <w:r w:rsidR="003F70EC">
            <w:fldChar w:fldCharType="separate"/>
          </w:r>
          <w:r w:rsidR="00B23A01" w:rsidRPr="00B23A01">
            <w:rPr>
              <w:noProof/>
            </w:rPr>
            <w:t>[1]</w:t>
          </w:r>
          <w:r w:rsidR="003F70EC">
            <w:fldChar w:fldCharType="end"/>
          </w:r>
        </w:sdtContent>
      </w:sdt>
      <w:r>
        <w:t xml:space="preserve"> </w:t>
      </w:r>
    </w:p>
    <w:p w14:paraId="6218CD20" w14:textId="3744524D" w:rsidR="00926C1B" w:rsidRPr="002534D7" w:rsidRDefault="00926C1B" w:rsidP="00926C1B">
      <w:pPr>
        <w:pStyle w:val="F9-Paragraph"/>
      </w:pPr>
      <w:r>
        <w:t>Potential waste arising from land and groundwater remediation required as a result of an incident or emergency should be considered in the licensee’s arrangements.</w:t>
      </w:r>
    </w:p>
    <w:p w14:paraId="1193AF17" w14:textId="0B7DE21C" w:rsidR="006434E8" w:rsidRPr="002534D7" w:rsidRDefault="006434E8" w:rsidP="00DB5405">
      <w:pPr>
        <w:pStyle w:val="Heading3"/>
      </w:pPr>
      <w:r w:rsidRPr="002534D7">
        <w:t xml:space="preserve">Application of the </w:t>
      </w:r>
      <w:r w:rsidR="003F70EC">
        <w:t>w</w:t>
      </w:r>
      <w:r w:rsidRPr="002534D7">
        <w:t xml:space="preserve">aste </w:t>
      </w:r>
      <w:r w:rsidR="003F70EC">
        <w:t>m</w:t>
      </w:r>
      <w:r w:rsidRPr="002534D7">
        <w:t xml:space="preserve">anagement </w:t>
      </w:r>
      <w:r w:rsidR="003F70EC">
        <w:t>h</w:t>
      </w:r>
      <w:r w:rsidRPr="002534D7">
        <w:t>ierarchy</w:t>
      </w:r>
      <w:bookmarkEnd w:id="39"/>
    </w:p>
    <w:p w14:paraId="69B0D2AE" w14:textId="7758154D" w:rsidR="006434E8" w:rsidRPr="002534D7" w:rsidRDefault="006434E8" w:rsidP="00D171EF">
      <w:pPr>
        <w:pStyle w:val="F9-Paragraph"/>
      </w:pPr>
      <w:r w:rsidRPr="002534D7">
        <w:t>It is a requirement of LC</w:t>
      </w:r>
      <w:r w:rsidR="003F70EC">
        <w:t xml:space="preserve"> </w:t>
      </w:r>
      <w:r w:rsidRPr="002534D7">
        <w:t xml:space="preserve">32 that licensees minimise “so far as is reasonably practicable the rate of production and total quantity of radioactive waste </w:t>
      </w:r>
      <w:r w:rsidRPr="009F6B01">
        <w:t>accumulated</w:t>
      </w:r>
      <w:r w:rsidRPr="002534D7">
        <w:t xml:space="preserve"> on the site at any time”.</w:t>
      </w:r>
      <w:r w:rsidR="008D36D3">
        <w:t xml:space="preserve"> </w:t>
      </w:r>
      <w:r w:rsidRPr="002534D7">
        <w:t>In order to achieve this, the LQM plan should implement the waste management hierarchy:</w:t>
      </w:r>
    </w:p>
    <w:p w14:paraId="3F8F486F" w14:textId="77777777" w:rsidR="006434E8" w:rsidRPr="00A71072" w:rsidRDefault="006434E8" w:rsidP="006751A3">
      <w:pPr>
        <w:pStyle w:val="Bulletlist1"/>
        <w:rPr>
          <w:b/>
          <w:caps/>
        </w:rPr>
      </w:pPr>
      <w:r w:rsidRPr="00A71072">
        <w:t>production of radioactive waste should be avoided;</w:t>
      </w:r>
    </w:p>
    <w:p w14:paraId="76DAA163" w14:textId="77777777" w:rsidR="006434E8" w:rsidRPr="00A71072" w:rsidRDefault="006434E8" w:rsidP="006751A3">
      <w:pPr>
        <w:pStyle w:val="Bulletlist1"/>
        <w:rPr>
          <w:b/>
          <w:caps/>
        </w:rPr>
      </w:pPr>
      <w:r w:rsidRPr="00A71072">
        <w:t>where radioactive waste is unavoidable, in order of priority:</w:t>
      </w:r>
    </w:p>
    <w:p w14:paraId="3C6E55B7" w14:textId="77777777" w:rsidR="006434E8" w:rsidRPr="000513DA" w:rsidRDefault="006434E8" w:rsidP="00DB5405">
      <w:pPr>
        <w:pStyle w:val="Bulletlist2"/>
        <w:rPr>
          <w:b/>
          <w:caps/>
        </w:rPr>
      </w:pPr>
      <w:r w:rsidRPr="000513DA">
        <w:t>its production should be minimised;</w:t>
      </w:r>
    </w:p>
    <w:p w14:paraId="6FDB25F8" w14:textId="77777777" w:rsidR="006434E8" w:rsidRPr="000513DA" w:rsidRDefault="006434E8" w:rsidP="00DB5405">
      <w:pPr>
        <w:pStyle w:val="Bulletlist2"/>
        <w:rPr>
          <w:b/>
          <w:caps/>
        </w:rPr>
      </w:pPr>
      <w:r w:rsidRPr="000513DA">
        <w:t>it should be reused;</w:t>
      </w:r>
    </w:p>
    <w:p w14:paraId="454C88CA" w14:textId="77777777" w:rsidR="006434E8" w:rsidRPr="000513DA" w:rsidRDefault="006434E8" w:rsidP="00DB5405">
      <w:pPr>
        <w:pStyle w:val="Bulletlist2"/>
        <w:rPr>
          <w:b/>
          <w:caps/>
        </w:rPr>
      </w:pPr>
      <w:r w:rsidRPr="000513DA">
        <w:t>it should be recycled;</w:t>
      </w:r>
    </w:p>
    <w:p w14:paraId="2428843A" w14:textId="77777777" w:rsidR="006434E8" w:rsidRPr="000513DA" w:rsidRDefault="006434E8" w:rsidP="00DB5405">
      <w:pPr>
        <w:pStyle w:val="Bulletlist2"/>
        <w:rPr>
          <w:b/>
          <w:caps/>
        </w:rPr>
      </w:pPr>
      <w:r w:rsidRPr="000513DA">
        <w:t>only as a last resort should it be disposed of.</w:t>
      </w:r>
    </w:p>
    <w:p w14:paraId="41656C8D" w14:textId="09360F9B" w:rsidR="006434E8" w:rsidRPr="002534D7" w:rsidRDefault="006434E8" w:rsidP="00D171EF">
      <w:pPr>
        <w:pStyle w:val="F9-Paragraph"/>
      </w:pPr>
      <w:r w:rsidRPr="002534D7">
        <w:t xml:space="preserve">LQM activities should avoid the unnecessary generation of waste </w:t>
      </w:r>
      <w:r>
        <w:br/>
      </w:r>
      <w:r w:rsidRPr="002534D7">
        <w:t>(</w:t>
      </w:r>
      <w:r w:rsidR="00AB6C7E">
        <w:t>SAP</w:t>
      </w:r>
      <w:r w:rsidRPr="002534D7">
        <w:t xml:space="preserve"> RW.2) and </w:t>
      </w:r>
      <w:r>
        <w:t>measures</w:t>
      </w:r>
      <w:r w:rsidRPr="002534D7">
        <w:t xml:space="preserve"> to minimise the volume of waste arising from LQM should be </w:t>
      </w:r>
      <w:r>
        <w:t>implemented</w:t>
      </w:r>
      <w:r w:rsidRPr="002534D7">
        <w:t xml:space="preserve"> (</w:t>
      </w:r>
      <w:r w:rsidR="00AB6C7E">
        <w:t xml:space="preserve">SAP </w:t>
      </w:r>
      <w:r w:rsidRPr="002534D7">
        <w:t xml:space="preserve">RW.3). It is important that </w:t>
      </w:r>
      <w:r>
        <w:t>licensees</w:t>
      </w:r>
      <w:r w:rsidRPr="002534D7">
        <w:t xml:space="preserve"> consider the potential types and quantities of wastes which may arise from a particular remediation option and implement measures so as to minimise secondary waste. Any wastes generated should be managed, stored and disposed of in a safe and environmentally responsible manner </w:t>
      </w:r>
      <w:r>
        <w:br/>
      </w:r>
      <w:r w:rsidRPr="002534D7">
        <w:t>(</w:t>
      </w:r>
      <w:r w:rsidR="000F0B65">
        <w:t>SAP</w:t>
      </w:r>
      <w:r w:rsidR="003F70EC">
        <w:t>s</w:t>
      </w:r>
      <w:r w:rsidR="000F0B65">
        <w:t xml:space="preserve"> </w:t>
      </w:r>
      <w:r w:rsidRPr="002534D7">
        <w:t>RW.4 and RW.5).</w:t>
      </w:r>
    </w:p>
    <w:p w14:paraId="50AADF9A" w14:textId="77777777" w:rsidR="006434E8" w:rsidRPr="002534D7" w:rsidRDefault="006434E8" w:rsidP="00D171EF">
      <w:pPr>
        <w:pStyle w:val="F9-Paragraph"/>
      </w:pPr>
      <w:r w:rsidRPr="002534D7">
        <w:lastRenderedPageBreak/>
        <w:t>The inspector may consider whether the following factors have been adequately addressed by the licensee’s arrangements:</w:t>
      </w:r>
    </w:p>
    <w:p w14:paraId="4650FC79" w14:textId="77777777" w:rsidR="006434E8" w:rsidRPr="00685CC4" w:rsidRDefault="006434E8" w:rsidP="006751A3">
      <w:pPr>
        <w:pStyle w:val="Bulletlist1"/>
      </w:pPr>
      <w:r w:rsidRPr="00685CC4">
        <w:t>Has the licensee identified the potential waste production routes for each remediation technique considered during optioneering?</w:t>
      </w:r>
    </w:p>
    <w:p w14:paraId="2BF28C85" w14:textId="77777777" w:rsidR="006434E8" w:rsidRPr="002534D7" w:rsidRDefault="006434E8" w:rsidP="006751A3">
      <w:pPr>
        <w:pStyle w:val="Bulletlist1"/>
        <w:rPr>
          <w:b/>
          <w:caps/>
        </w:rPr>
      </w:pPr>
      <w:r w:rsidRPr="002534D7">
        <w:t>Has the licensee undertaken early containment or removal of the source term to minimise spread of contamination and protect groundwater?</w:t>
      </w:r>
    </w:p>
    <w:p w14:paraId="130586A3" w14:textId="77777777" w:rsidR="006434E8" w:rsidRPr="002534D7" w:rsidRDefault="006434E8" w:rsidP="006751A3">
      <w:pPr>
        <w:pStyle w:val="Bulletlist1"/>
        <w:rPr>
          <w:b/>
          <w:caps/>
        </w:rPr>
      </w:pPr>
      <w:r w:rsidRPr="002534D7">
        <w:t xml:space="preserve">Has the licensee given due consideration to </w:t>
      </w:r>
      <w:r>
        <w:t>alternative management options</w:t>
      </w:r>
      <w:r w:rsidRPr="002534D7">
        <w:t>?</w:t>
      </w:r>
      <w:r>
        <w:t xml:space="preserve"> Examples could include but are not limited to the following</w:t>
      </w:r>
      <w:r w:rsidRPr="002534D7">
        <w:t>:</w:t>
      </w:r>
    </w:p>
    <w:p w14:paraId="560AD728" w14:textId="513F4893" w:rsidR="006434E8" w:rsidRDefault="006434E8" w:rsidP="00D20542">
      <w:pPr>
        <w:pStyle w:val="Bulletlist2"/>
        <w:rPr>
          <w:b/>
          <w:caps/>
        </w:rPr>
      </w:pPr>
      <w:r w:rsidRPr="002534D7">
        <w:t>In situ alternatives to excavating material for management as waste (</w:t>
      </w:r>
      <w:r w:rsidR="00591A99">
        <w:t xml:space="preserve">for example </w:t>
      </w:r>
      <w:r w:rsidRPr="002534D7">
        <w:t>monitored natural attenuation);</w:t>
      </w:r>
    </w:p>
    <w:p w14:paraId="78ECFF5B" w14:textId="77777777" w:rsidR="006434E8" w:rsidRDefault="006434E8" w:rsidP="00DB5405">
      <w:pPr>
        <w:pStyle w:val="Bulletlist2"/>
        <w:rPr>
          <w:b/>
          <w:caps/>
        </w:rPr>
      </w:pPr>
      <w:r w:rsidRPr="00A71072">
        <w:t>Re-use of excavated material, for example via in-fill or landscaping on site or elsewhere, ensuring that any necessary permit or authorisation is obtained;</w:t>
      </w:r>
    </w:p>
    <w:p w14:paraId="370D407E" w14:textId="77777777" w:rsidR="006434E8" w:rsidRDefault="006434E8" w:rsidP="00DB5405">
      <w:pPr>
        <w:pStyle w:val="Bulletlist2"/>
        <w:rPr>
          <w:b/>
          <w:caps/>
        </w:rPr>
      </w:pPr>
      <w:r w:rsidRPr="00A71072">
        <w:t>Sorting, segregation and treatment of excavated material, where practicable; and</w:t>
      </w:r>
    </w:p>
    <w:p w14:paraId="126FF41F" w14:textId="77777777" w:rsidR="006434E8" w:rsidRPr="00A71072" w:rsidRDefault="006434E8" w:rsidP="00DB5405">
      <w:pPr>
        <w:pStyle w:val="Bulletlist2"/>
        <w:rPr>
          <w:b/>
          <w:caps/>
        </w:rPr>
      </w:pPr>
      <w:r w:rsidRPr="00A71072">
        <w:t>Implementation of sentencing arrangements and protocols to exclude or exempt material or waste from regulatory control.</w:t>
      </w:r>
    </w:p>
    <w:p w14:paraId="6BF514A3" w14:textId="3980C0DC" w:rsidR="006434E8" w:rsidRPr="002534D7" w:rsidRDefault="006434E8" w:rsidP="000D626F">
      <w:pPr>
        <w:pStyle w:val="Heading2"/>
        <w:spacing w:after="120" w:line="240" w:lineRule="auto"/>
        <w:contextualSpacing/>
      </w:pPr>
      <w:bookmarkStart w:id="40" w:name="_Toc88037125"/>
      <w:bookmarkStart w:id="41" w:name="_Toc183698830"/>
      <w:r w:rsidRPr="002534D7">
        <w:t xml:space="preserve">Work with </w:t>
      </w:r>
      <w:r w:rsidR="003F70EC">
        <w:t>s</w:t>
      </w:r>
      <w:r w:rsidRPr="002534D7">
        <w:t>takeholders</w:t>
      </w:r>
      <w:bookmarkEnd w:id="40"/>
      <w:r w:rsidR="000D626F">
        <w:t xml:space="preserve"> and other </w:t>
      </w:r>
      <w:r w:rsidR="003F70EC">
        <w:t>i</w:t>
      </w:r>
      <w:r w:rsidR="000D626F">
        <w:t xml:space="preserve">nterested </w:t>
      </w:r>
      <w:r w:rsidR="003F70EC">
        <w:t>p</w:t>
      </w:r>
      <w:r w:rsidR="000D626F">
        <w:t>arties</w:t>
      </w:r>
      <w:bookmarkEnd w:id="41"/>
    </w:p>
    <w:p w14:paraId="3425A714" w14:textId="7D9076C2" w:rsidR="006434E8" w:rsidRPr="002534D7" w:rsidRDefault="006434E8" w:rsidP="00D171EF">
      <w:pPr>
        <w:pStyle w:val="F9-Paragraph"/>
      </w:pPr>
      <w:r w:rsidRPr="002534D7">
        <w:t>To ensure achievable, cost effective and acceptable solutions for remediation it is important to identify</w:t>
      </w:r>
      <w:r>
        <w:t>,</w:t>
      </w:r>
      <w:r w:rsidRPr="002534D7">
        <w:t xml:space="preserve"> at an early-stage</w:t>
      </w:r>
      <w:r>
        <w:t>,</w:t>
      </w:r>
      <w:r w:rsidRPr="002534D7">
        <w:t xml:space="preserve"> stakeholders with an interest in LQM; including, </w:t>
      </w:r>
      <w:r w:rsidRPr="00A07307">
        <w:t>but not restricted to, the regulators (ONR</w:t>
      </w:r>
      <w:r>
        <w:t xml:space="preserve">, </w:t>
      </w:r>
      <w:r w:rsidRPr="00A07307">
        <w:t>relevant environmental regulators</w:t>
      </w:r>
      <w:r>
        <w:t xml:space="preserve"> and local authorities</w:t>
      </w:r>
      <w:r w:rsidRPr="00A07307">
        <w:t>), other</w:t>
      </w:r>
      <w:r w:rsidRPr="002534D7">
        <w:t xml:space="preserve"> sites, the supply chain, and the public. Once identified, stakeholders should be engaged </w:t>
      </w:r>
      <w:r>
        <w:t xml:space="preserve">and given the opportunity to contribute </w:t>
      </w:r>
      <w:r w:rsidRPr="002534D7">
        <w:t>in a proportionate way during the development and implementation of LQM plans.</w:t>
      </w:r>
      <w:r w:rsidR="008D36D3">
        <w:t xml:space="preserve"> </w:t>
      </w:r>
    </w:p>
    <w:p w14:paraId="23877978" w14:textId="1017C87D" w:rsidR="006434E8" w:rsidRPr="002534D7" w:rsidRDefault="006434E8" w:rsidP="00D171EF">
      <w:pPr>
        <w:pStyle w:val="F9-Paragraph"/>
      </w:pPr>
      <w:r w:rsidRPr="002534D7">
        <w:t>To achieve this, the process of developing LQM plans should be supported by an engagement plan that reflects the range of needs of stakeholders. Early, open, continued and transparent involvement of, and communication with those with an interest in LQM plans should help develop trust. Engagement should occur from the outset, focused on an agreed set of objectives and any hold points that may be appropriate.</w:t>
      </w:r>
      <w:r>
        <w:t xml:space="preserve"> Invitation to the regulators to observe the process and have input if necessary is encouraged, but the licensee should be aware that to maintain their regulatory independence the regulators will not be directly involved in any decision-making processes.</w:t>
      </w:r>
    </w:p>
    <w:p w14:paraId="350B62AC" w14:textId="77777777" w:rsidR="00681EA8" w:rsidRDefault="00681EA8" w:rsidP="00D171EF">
      <w:pPr>
        <w:pStyle w:val="F9-Paragraph"/>
        <w:sectPr w:rsidR="00681EA8" w:rsidSect="008A4D4B">
          <w:endnotePr>
            <w:numFmt w:val="decimal"/>
          </w:endnotePr>
          <w:pgSz w:w="11906" w:h="16838"/>
          <w:pgMar w:top="1440" w:right="1440" w:bottom="1440" w:left="1440" w:header="708" w:footer="708" w:gutter="0"/>
          <w:cols w:space="708"/>
          <w:docGrid w:linePitch="360"/>
        </w:sectPr>
      </w:pPr>
    </w:p>
    <w:p w14:paraId="1F4BA3D9" w14:textId="0D922F0A" w:rsidR="006434E8" w:rsidRDefault="005A0382" w:rsidP="00D171EF">
      <w:pPr>
        <w:pStyle w:val="F9-Paragraph"/>
      </w:pPr>
      <w:r>
        <w:lastRenderedPageBreak/>
        <w:t>SAPs p</w:t>
      </w:r>
      <w:r w:rsidR="006434E8" w:rsidRPr="002534D7">
        <w:t>aragraph 882(e) states that ONR expects the LQM strategy to be subject to appropriate stakeholder engagement</w:t>
      </w:r>
      <w:r w:rsidR="006434E8">
        <w:t xml:space="preserve">, </w:t>
      </w:r>
      <w:r w:rsidR="006434E8" w:rsidRPr="002534D7">
        <w:t>promot</w:t>
      </w:r>
      <w:r w:rsidR="006434E8">
        <w:t>ing</w:t>
      </w:r>
      <w:r w:rsidR="006434E8" w:rsidRPr="002534D7">
        <w:t xml:space="preserve"> </w:t>
      </w:r>
      <w:r w:rsidR="00681EA8">
        <w:t>RGP</w:t>
      </w:r>
      <w:r w:rsidR="006434E8" w:rsidRPr="002534D7">
        <w:t xml:space="preserve"> through closer working relationships between all parties who have an interest in LQM</w:t>
      </w:r>
      <w:r w:rsidR="003F70EC">
        <w:t xml:space="preserve"> </w:t>
      </w:r>
      <w:sdt>
        <w:sdtPr>
          <w:id w:val="-514924231"/>
          <w:citation/>
        </w:sdtPr>
        <w:sdtEndPr/>
        <w:sdtContent>
          <w:r w:rsidR="003F70EC">
            <w:fldChar w:fldCharType="begin"/>
          </w:r>
          <w:r w:rsidR="003F70EC">
            <w:instrText xml:space="preserve"> CITATION Off20 \l 2057 </w:instrText>
          </w:r>
          <w:r w:rsidR="003F70EC">
            <w:fldChar w:fldCharType="separate"/>
          </w:r>
          <w:r w:rsidR="00B23A01">
            <w:rPr>
              <w:noProof/>
            </w:rPr>
            <w:t>[1]</w:t>
          </w:r>
          <w:r w:rsidR="003F70EC">
            <w:fldChar w:fldCharType="end"/>
          </w:r>
        </w:sdtContent>
      </w:sdt>
      <w:r w:rsidR="006434E8" w:rsidRPr="002534D7">
        <w:t xml:space="preserve">. </w:t>
      </w:r>
      <w:r w:rsidR="006434E8">
        <w:t>I</w:t>
      </w:r>
      <w:r w:rsidR="006434E8" w:rsidRPr="002534D7">
        <w:t>t is in the licensee’s interest to involve the regulators from the outset to ensure expectations for compliance are understood and achieved.</w:t>
      </w:r>
    </w:p>
    <w:p w14:paraId="33D9789A" w14:textId="0A1C4A50" w:rsidR="006434E8" w:rsidRDefault="006434E8" w:rsidP="00D171EF">
      <w:pPr>
        <w:pStyle w:val="F9-Paragraph"/>
      </w:pPr>
      <w:r>
        <w:t>Appropriate stakeholders could include, but are not limited to:</w:t>
      </w:r>
    </w:p>
    <w:p w14:paraId="38F46B56" w14:textId="1C8EB4D6" w:rsidR="006434E8" w:rsidRPr="00685CC4" w:rsidRDefault="006434E8" w:rsidP="006751A3">
      <w:pPr>
        <w:pStyle w:val="Bulletlist1"/>
      </w:pPr>
      <w:r w:rsidRPr="00685CC4">
        <w:t>Regulators and other enforcing authorities (</w:t>
      </w:r>
      <w:r w:rsidR="00A24FDF">
        <w:t>for example</w:t>
      </w:r>
      <w:r w:rsidRPr="00685CC4">
        <w:t xml:space="preserve"> ONR, EA, SEPA, NRW, Local Authority);</w:t>
      </w:r>
    </w:p>
    <w:p w14:paraId="13C68F59" w14:textId="77777777" w:rsidR="006434E8" w:rsidRPr="00685CC4" w:rsidRDefault="006434E8" w:rsidP="006751A3">
      <w:pPr>
        <w:pStyle w:val="Bulletlist1"/>
      </w:pPr>
      <w:r w:rsidRPr="00685CC4">
        <w:t>Other facilities on the site;</w:t>
      </w:r>
    </w:p>
    <w:p w14:paraId="4375F949" w14:textId="77777777" w:rsidR="006434E8" w:rsidRPr="00685CC4" w:rsidRDefault="006434E8" w:rsidP="006751A3">
      <w:pPr>
        <w:pStyle w:val="Bulletlist1"/>
      </w:pPr>
      <w:r w:rsidRPr="00685CC4">
        <w:t>Other sites;</w:t>
      </w:r>
    </w:p>
    <w:p w14:paraId="4B69E666" w14:textId="1FE948F4" w:rsidR="00DB00BC" w:rsidRPr="00685CC4" w:rsidRDefault="006434E8" w:rsidP="006751A3">
      <w:pPr>
        <w:pStyle w:val="Bulletlist1"/>
      </w:pPr>
      <w:r w:rsidRPr="00685CC4">
        <w:t>The public.</w:t>
      </w:r>
    </w:p>
    <w:p w14:paraId="5B13DF13" w14:textId="5AE3624C" w:rsidR="00DD7DC8" w:rsidRPr="002534D7" w:rsidRDefault="00DD7DC8" w:rsidP="00DD7DC8">
      <w:pPr>
        <w:pStyle w:val="Heading2"/>
        <w:keepNext w:val="0"/>
        <w:spacing w:after="120" w:line="240" w:lineRule="auto"/>
        <w:contextualSpacing/>
      </w:pPr>
      <w:bookmarkStart w:id="42" w:name="_Toc88037127"/>
      <w:bookmarkStart w:id="43" w:name="_Toc183698831"/>
      <w:r w:rsidRPr="002534D7">
        <w:t xml:space="preserve">Maintenance of </w:t>
      </w:r>
      <w:r w:rsidR="003F70EC">
        <w:t>r</w:t>
      </w:r>
      <w:r w:rsidRPr="002534D7">
        <w:t>ecords</w:t>
      </w:r>
      <w:bookmarkEnd w:id="42"/>
      <w:bookmarkEnd w:id="43"/>
    </w:p>
    <w:p w14:paraId="2461D2D1" w14:textId="77777777" w:rsidR="00DD7DC8" w:rsidRPr="002534D7" w:rsidRDefault="00DD7DC8" w:rsidP="00D171EF">
      <w:pPr>
        <w:pStyle w:val="F9-Paragraph"/>
      </w:pPr>
      <w:r w:rsidRPr="002534D7">
        <w:t>Arrangements should be in place to ensure records are made of any leaks and incidents resulting in land and/or groundwater contamination</w:t>
      </w:r>
      <w:r>
        <w:t xml:space="preserve"> and all management actions subsequently taken</w:t>
      </w:r>
      <w:r w:rsidRPr="002534D7">
        <w:t>. All records should be kept and updated as necessary. Care should be taken to ensure that transfer of LQM information between operators, including any contractors, is carried out in a responsible manner, following any transfer in responsibilities at a site.</w:t>
      </w:r>
    </w:p>
    <w:p w14:paraId="57E15984" w14:textId="2A9A2556" w:rsidR="00DD7DC8" w:rsidRPr="002534D7" w:rsidRDefault="00682B39" w:rsidP="00D171EF">
      <w:pPr>
        <w:pStyle w:val="F9-Paragraph"/>
      </w:pPr>
      <w:r>
        <w:t>SAP</w:t>
      </w:r>
      <w:r w:rsidR="00DD7DC8" w:rsidRPr="002534D7">
        <w:t xml:space="preserve"> RL.7 sets out ONR’s expectation that arrangements are made such that information needed for the safe and effective control and remediation of radioactively contaminated land and groundwater, now and in the future, is recorded and preserved. Information relating to radioactively contaminated land and groundwater may also be recorded along with information held regarding safe management of radioactive waste or decommissioning, as per </w:t>
      </w:r>
      <w:r w:rsidR="00462F3D">
        <w:t>SAPs</w:t>
      </w:r>
      <w:r w:rsidR="00DD7DC8">
        <w:t xml:space="preserve"> RW.7 and DC.6, respectively</w:t>
      </w:r>
      <w:r w:rsidR="003F70EC">
        <w:t xml:space="preserve"> </w:t>
      </w:r>
      <w:sdt>
        <w:sdtPr>
          <w:id w:val="-450323662"/>
          <w:citation/>
        </w:sdtPr>
        <w:sdtEndPr/>
        <w:sdtContent>
          <w:r w:rsidR="003F70EC">
            <w:fldChar w:fldCharType="begin"/>
          </w:r>
          <w:r w:rsidR="003F70EC">
            <w:instrText xml:space="preserve"> CITATION Off20 \l 2057 </w:instrText>
          </w:r>
          <w:r w:rsidR="003F70EC">
            <w:fldChar w:fldCharType="separate"/>
          </w:r>
          <w:r w:rsidR="00B23A01">
            <w:rPr>
              <w:noProof/>
            </w:rPr>
            <w:t>[1]</w:t>
          </w:r>
          <w:r w:rsidR="003F70EC">
            <w:fldChar w:fldCharType="end"/>
          </w:r>
        </w:sdtContent>
      </w:sdt>
      <w:r w:rsidR="00DD7DC8">
        <w:t xml:space="preserve">. Further detailed guidance on the keeping and preservation of records is provided in the relevant TAG </w:t>
      </w:r>
      <w:r w:rsidR="00DD7DC8">
        <w:br/>
        <w:t>(NS-TAST-GD-033)</w:t>
      </w:r>
      <w:r w:rsidR="00F32A45" w:rsidRPr="00F32A45">
        <w:t xml:space="preserve"> </w:t>
      </w:r>
      <w:sdt>
        <w:sdtPr>
          <w:id w:val="-118995192"/>
          <w:citation/>
        </w:sdtPr>
        <w:sdtEndPr/>
        <w:sdtContent>
          <w:r w:rsidR="003F70EC">
            <w:fldChar w:fldCharType="begin"/>
          </w:r>
          <w:r w:rsidR="003F70EC">
            <w:instrText xml:space="preserve"> CITATION ONR23 \l 2057 </w:instrText>
          </w:r>
          <w:r w:rsidR="003F70EC">
            <w:fldChar w:fldCharType="separate"/>
          </w:r>
          <w:r w:rsidR="00B23A01">
            <w:rPr>
              <w:noProof/>
            </w:rPr>
            <w:t>[25]</w:t>
          </w:r>
          <w:r w:rsidR="003F70EC">
            <w:fldChar w:fldCharType="end"/>
          </w:r>
        </w:sdtContent>
      </w:sdt>
      <w:r w:rsidR="00DD7DC8">
        <w:t>.</w:t>
      </w:r>
    </w:p>
    <w:p w14:paraId="2CD7A8AD" w14:textId="0EB5A01F" w:rsidR="007636DC" w:rsidRDefault="00DD7DC8" w:rsidP="00D171EF">
      <w:pPr>
        <w:pStyle w:val="F9-Paragraph"/>
      </w:pPr>
      <w:r w:rsidRPr="002534D7">
        <w:t>The requirement for licensees to make such records of radioactively contaminated land and groundwater upon the site is stipulated in LC</w:t>
      </w:r>
      <w:r w:rsidR="003F70EC">
        <w:t xml:space="preserve"> </w:t>
      </w:r>
      <w:r w:rsidRPr="002534D7">
        <w:t>25(2), which states that the licensee’s records</w:t>
      </w:r>
      <w:r w:rsidR="00B23A01">
        <w:t>:</w:t>
      </w:r>
      <w:r w:rsidRPr="002534D7">
        <w:t xml:space="preserve"> </w:t>
      </w:r>
    </w:p>
    <w:p w14:paraId="7A7B2FF5" w14:textId="10203218" w:rsidR="007636DC" w:rsidRDefault="00DD7DC8" w:rsidP="007636DC">
      <w:pPr>
        <w:pStyle w:val="QuoteText"/>
      </w:pPr>
      <w:r w:rsidRPr="002534D7">
        <w:t xml:space="preserve">“shall include records of the amount and location of all </w:t>
      </w:r>
      <w:r>
        <w:t>radioactive</w:t>
      </w:r>
      <w:r w:rsidRPr="002534D7">
        <w:t xml:space="preserve"> material, including nuclear fuel and radioactive waste, used, processed, stored or accumulated upon the site at any time</w:t>
      </w:r>
      <w:r>
        <w:t xml:space="preserve">”. </w:t>
      </w:r>
      <w:sdt>
        <w:sdtPr>
          <w:id w:val="1990826643"/>
          <w:citation/>
        </w:sdtPr>
        <w:sdtEndPr/>
        <w:sdtContent>
          <w:r w:rsidR="00B23A01">
            <w:fldChar w:fldCharType="begin"/>
          </w:r>
          <w:r w:rsidR="00B23A01">
            <w:instrText xml:space="preserve"> CITATION ONR172 \l 2057 </w:instrText>
          </w:r>
          <w:r w:rsidR="00B23A01">
            <w:fldChar w:fldCharType="separate"/>
          </w:r>
          <w:r w:rsidR="00B23A01" w:rsidRPr="00B23A01">
            <w:rPr>
              <w:noProof/>
            </w:rPr>
            <w:t>[8]</w:t>
          </w:r>
          <w:r w:rsidR="00B23A01">
            <w:fldChar w:fldCharType="end"/>
          </w:r>
        </w:sdtContent>
      </w:sdt>
    </w:p>
    <w:p w14:paraId="7B3402A1" w14:textId="686EB74F" w:rsidR="00DD7DC8" w:rsidRPr="002534D7" w:rsidRDefault="00DD7DC8" w:rsidP="00D171EF">
      <w:pPr>
        <w:pStyle w:val="F9-Paragraph"/>
      </w:pPr>
      <w:r>
        <w:t>Note, however, that licensees may instigate monitoring regimes under their LC</w:t>
      </w:r>
      <w:r w:rsidR="003F70EC">
        <w:t xml:space="preserve"> </w:t>
      </w:r>
      <w:r>
        <w:t>28 arrangements, for regular and systematic testing of the ground conditions to ensure that safety of persons is maintained.</w:t>
      </w:r>
    </w:p>
    <w:p w14:paraId="1555C6FD" w14:textId="77777777" w:rsidR="00DD7DC8" w:rsidRPr="002534D7" w:rsidRDefault="00DD7DC8" w:rsidP="00D171EF">
      <w:pPr>
        <w:pStyle w:val="F9-Paragraph"/>
      </w:pPr>
      <w:r w:rsidRPr="002534D7">
        <w:lastRenderedPageBreak/>
        <w:t>The inspector may consider whether the following have been adequately addressed by the licensee’s recording arrangements:</w:t>
      </w:r>
    </w:p>
    <w:p w14:paraId="16BF8BFD" w14:textId="77777777" w:rsidR="00DD7DC8" w:rsidRPr="002534D7" w:rsidRDefault="00DD7DC8" w:rsidP="006751A3">
      <w:pPr>
        <w:pStyle w:val="Bulletlist1"/>
        <w:rPr>
          <w:b/>
          <w:caps/>
        </w:rPr>
      </w:pPr>
      <w:r>
        <w:t>t</w:t>
      </w:r>
      <w:r w:rsidRPr="002534D7">
        <w:t>he nature and extent of radio</w:t>
      </w:r>
      <w:r>
        <w:t>active</w:t>
      </w:r>
      <w:r w:rsidRPr="002534D7">
        <w:t xml:space="preserve"> contamination</w:t>
      </w:r>
      <w:r>
        <w:t xml:space="preserve">, including </w:t>
      </w:r>
      <w:r w:rsidRPr="00B7388C">
        <w:t>records from surveys, investigation, monitoring and surveillance work and the</w:t>
      </w:r>
      <w:r>
        <w:t xml:space="preserve"> </w:t>
      </w:r>
      <w:r w:rsidRPr="00B7388C">
        <w:t>analysis of their results</w:t>
      </w:r>
      <w:r w:rsidRPr="002534D7">
        <w:t>;</w:t>
      </w:r>
    </w:p>
    <w:p w14:paraId="4D6A259A" w14:textId="77777777" w:rsidR="00DD7DC8" w:rsidRDefault="00DD7DC8" w:rsidP="006751A3">
      <w:pPr>
        <w:pStyle w:val="Bulletlist1"/>
        <w:rPr>
          <w:b/>
          <w:caps/>
        </w:rPr>
      </w:pPr>
      <w:r>
        <w:t>the p</w:t>
      </w:r>
      <w:r w:rsidRPr="002534D7">
        <w:t>rocesses used for deciding management options and the setting of strategies;</w:t>
      </w:r>
    </w:p>
    <w:p w14:paraId="7C3163BA" w14:textId="77777777" w:rsidR="00DD7DC8" w:rsidRPr="002534D7" w:rsidRDefault="00DD7DC8" w:rsidP="006751A3">
      <w:pPr>
        <w:pStyle w:val="Bulletlist1"/>
        <w:rPr>
          <w:b/>
          <w:caps/>
        </w:rPr>
      </w:pPr>
      <w:r w:rsidRPr="00B7388C">
        <w:t>records of any incidents, leakages or accid</w:t>
      </w:r>
      <w:r w:rsidRPr="0040043C">
        <w:t>ents resulting in radioactively contaminated land, and of the management actions taken in response;</w:t>
      </w:r>
    </w:p>
    <w:p w14:paraId="0DCBCE29" w14:textId="77777777" w:rsidR="00DD7DC8" w:rsidRPr="002534D7" w:rsidRDefault="00DD7DC8" w:rsidP="006751A3">
      <w:pPr>
        <w:pStyle w:val="Bulletlist1"/>
        <w:rPr>
          <w:b/>
          <w:caps/>
        </w:rPr>
      </w:pPr>
      <w:r>
        <w:t>r</w:t>
      </w:r>
      <w:r w:rsidRPr="002534D7">
        <w:t xml:space="preserve">emediation activities that have been or are planned to be carried out; </w:t>
      </w:r>
    </w:p>
    <w:p w14:paraId="5EB0AA79" w14:textId="77777777" w:rsidR="00DD7DC8" w:rsidRDefault="00DD7DC8" w:rsidP="006751A3">
      <w:pPr>
        <w:pStyle w:val="Bulletlist1"/>
        <w:rPr>
          <w:b/>
          <w:caps/>
        </w:rPr>
      </w:pPr>
      <w:r>
        <w:t>t</w:t>
      </w:r>
      <w:r w:rsidRPr="002534D7">
        <w:t>he methodology for, and results of, validation of the remediation work</w:t>
      </w:r>
      <w:r>
        <w:t>;</w:t>
      </w:r>
    </w:p>
    <w:p w14:paraId="3A88CAE9" w14:textId="77777777" w:rsidR="00DD7DC8" w:rsidRDefault="00DD7DC8" w:rsidP="006751A3">
      <w:pPr>
        <w:pStyle w:val="Bulletlist1"/>
        <w:rPr>
          <w:b/>
          <w:caps/>
        </w:rPr>
      </w:pPr>
      <w:r w:rsidRPr="00B7388C">
        <w:t>relevant information related to the history and use of the site</w:t>
      </w:r>
      <w:r>
        <w:t>; and</w:t>
      </w:r>
    </w:p>
    <w:p w14:paraId="2CDD1627" w14:textId="77777777" w:rsidR="00DD7DC8" w:rsidRPr="00844087" w:rsidRDefault="00DD7DC8" w:rsidP="006751A3">
      <w:pPr>
        <w:pStyle w:val="Bulletlist1"/>
        <w:rPr>
          <w:b/>
          <w:caps/>
        </w:rPr>
      </w:pPr>
      <w:r>
        <w:t>aspects concerning records for radioactive waste relevant to LQM.</w:t>
      </w:r>
    </w:p>
    <w:p w14:paraId="64D0DF82" w14:textId="77777777" w:rsidR="00E6384E" w:rsidRDefault="00E6384E" w:rsidP="00E6384E">
      <w:pPr>
        <w:pStyle w:val="F9-Paragraph"/>
        <w:numPr>
          <w:ilvl w:val="0"/>
          <w:numId w:val="0"/>
        </w:numPr>
        <w:spacing w:after="0"/>
        <w:ind w:left="851" w:hanging="851"/>
      </w:pPr>
      <w:bookmarkStart w:id="44" w:name="_Toc88037129"/>
    </w:p>
    <w:bookmarkEnd w:id="44"/>
    <w:p w14:paraId="5252AC19" w14:textId="77777777" w:rsidR="003F70EC" w:rsidRDefault="003F70EC" w:rsidP="004E3E45">
      <w:pPr>
        <w:pStyle w:val="F9-Paragraph"/>
        <w:numPr>
          <w:ilvl w:val="0"/>
          <w:numId w:val="0"/>
        </w:numPr>
        <w:sectPr w:rsidR="003F70EC" w:rsidSect="008A4D4B">
          <w:endnotePr>
            <w:numFmt w:val="decimal"/>
          </w:endnotePr>
          <w:pgSz w:w="11906" w:h="16838"/>
          <w:pgMar w:top="1440" w:right="1440" w:bottom="1440" w:left="1440" w:header="708" w:footer="708" w:gutter="0"/>
          <w:cols w:space="708"/>
          <w:docGrid w:linePitch="360"/>
        </w:sectPr>
      </w:pPr>
    </w:p>
    <w:sdt>
      <w:sdtPr>
        <w:rPr>
          <w:rFonts w:eastAsia="Calibri"/>
          <w:szCs w:val="22"/>
          <w:lang w:bidi="he-IL"/>
        </w:rPr>
        <w:id w:val="-2072564419"/>
        <w:docPartObj>
          <w:docPartGallery w:val="Bibliographies"/>
          <w:docPartUnique/>
        </w:docPartObj>
      </w:sdtPr>
      <w:sdtEndPr/>
      <w:sdtContent>
        <w:bookmarkStart w:id="45" w:name="_Toc89268373" w:displacedByCustomXml="prev"/>
        <w:p w14:paraId="2A4B7A96" w14:textId="678A77B0" w:rsidR="003F70EC" w:rsidRDefault="003F70EC" w:rsidP="004E3E45">
          <w:pPr>
            <w:pStyle w:val="F9-Paragraph"/>
            <w:numPr>
              <w:ilvl w:val="0"/>
              <w:numId w:val="0"/>
            </w:numPr>
            <w:sectPr w:rsidR="003F70EC" w:rsidSect="006A19BB">
              <w:endnotePr>
                <w:numFmt w:val="decimal"/>
              </w:endnotePr>
              <w:type w:val="continuous"/>
              <w:pgSz w:w="11906" w:h="16838" w:code="9"/>
              <w:pgMar w:top="1440" w:right="1440" w:bottom="1440" w:left="1440" w:header="397" w:footer="397" w:gutter="0"/>
              <w:cols w:space="312"/>
              <w:docGrid w:linePitch="360"/>
            </w:sectPr>
          </w:pPr>
        </w:p>
        <w:p w14:paraId="4290A7F7" w14:textId="3FD99A89" w:rsidR="0070406F" w:rsidRDefault="0070406F" w:rsidP="003F70EC">
          <w:pPr>
            <w:pStyle w:val="Heading1"/>
            <w:numPr>
              <w:ilvl w:val="0"/>
              <w:numId w:val="0"/>
            </w:numPr>
          </w:pPr>
          <w:bookmarkStart w:id="46" w:name="_Appendix_1_-"/>
          <w:bookmarkStart w:id="47" w:name="_Toc183698832"/>
          <w:bookmarkEnd w:id="46"/>
          <w:bookmarkEnd w:id="45"/>
          <w:r>
            <w:lastRenderedPageBreak/>
            <w:t>Appendix 1</w:t>
          </w:r>
          <w:r w:rsidR="00F17A58">
            <w:t xml:space="preserve"> </w:t>
          </w:r>
          <w:r w:rsidR="008713F0">
            <w:t>–</w:t>
          </w:r>
          <w:r w:rsidR="00F17A58">
            <w:t xml:space="preserve"> </w:t>
          </w:r>
          <w:r w:rsidR="00F17A58" w:rsidRPr="00F17A58">
            <w:t>Additional</w:t>
          </w:r>
          <w:r w:rsidR="008713F0">
            <w:t xml:space="preserve"> </w:t>
          </w:r>
          <w:r w:rsidR="003F70EC">
            <w:t>r</w:t>
          </w:r>
          <w:r w:rsidR="00F17A58" w:rsidRPr="00F17A58">
            <w:t xml:space="preserve">elevant </w:t>
          </w:r>
          <w:r w:rsidR="003F70EC">
            <w:t>l</w:t>
          </w:r>
          <w:r w:rsidR="00F17A58" w:rsidRPr="00F17A58">
            <w:t xml:space="preserve">icence </w:t>
          </w:r>
          <w:r w:rsidR="003F70EC">
            <w:t>c</w:t>
          </w:r>
          <w:r w:rsidR="00F17A58" w:rsidRPr="00F17A58">
            <w:t>onditions</w:t>
          </w:r>
          <w:bookmarkEnd w:id="47"/>
        </w:p>
        <w:p w14:paraId="14314F1B" w14:textId="77777777" w:rsidR="008A4D4B" w:rsidRPr="002534D7" w:rsidRDefault="008A4D4B" w:rsidP="003F70EC">
          <w:pPr>
            <w:pStyle w:val="F9-Paragraph"/>
            <w:numPr>
              <w:ilvl w:val="0"/>
              <w:numId w:val="39"/>
            </w:numPr>
            <w:ind w:left="851" w:hanging="851"/>
          </w:pPr>
          <w:r>
            <w:t>T</w:t>
          </w:r>
          <w:r w:rsidRPr="002534D7">
            <w:t xml:space="preserve">he following </w:t>
          </w:r>
          <w:r>
            <w:t>LCs</w:t>
          </w:r>
          <w:r w:rsidRPr="002534D7">
            <w:t xml:space="preserve"> may </w:t>
          </w:r>
          <w:r w:rsidRPr="008D36D3">
            <w:t>have</w:t>
          </w:r>
          <w:r w:rsidRPr="002534D7">
            <w:t xml:space="preserve"> relevance </w:t>
          </w:r>
          <w:r>
            <w:t>when</w:t>
          </w:r>
          <w:r w:rsidRPr="002534D7">
            <w:t xml:space="preserve"> </w:t>
          </w:r>
          <w:r>
            <w:t xml:space="preserve">undertaking </w:t>
          </w:r>
          <w:r w:rsidRPr="002534D7">
            <w:t>assess</w:t>
          </w:r>
          <w:r>
            <w:t xml:space="preserve">ment of the </w:t>
          </w:r>
          <w:r w:rsidRPr="002534D7">
            <w:t>adequacy of LQM arrangements and activities, depending upon the scope of the assessment:</w:t>
          </w:r>
        </w:p>
        <w:p w14:paraId="42B48910" w14:textId="76FEC7ED" w:rsidR="008A4D4B" w:rsidRPr="00065066" w:rsidRDefault="008A4D4B" w:rsidP="008A4D4B">
          <w:pPr>
            <w:pStyle w:val="Bulletlist1"/>
          </w:pPr>
          <w:r w:rsidRPr="00065066">
            <w:rPr>
              <w:b/>
            </w:rPr>
            <w:t>LC</w:t>
          </w:r>
          <w:r w:rsidR="003F70EC">
            <w:rPr>
              <w:b/>
            </w:rPr>
            <w:t xml:space="preserve"> </w:t>
          </w:r>
          <w:r w:rsidRPr="00065066">
            <w:rPr>
              <w:b/>
            </w:rPr>
            <w:t>11: Emergency arrangements</w:t>
          </w:r>
          <w:r w:rsidRPr="00065066">
            <w:t xml:space="preserve"> – “the licensee shall make and implement adequate arrangements for dealing with any accident or emergency arising on the site and their effects”.</w:t>
          </w:r>
          <w:r w:rsidR="003F70EC">
            <w:t xml:space="preserve"> </w:t>
          </w:r>
          <w:r w:rsidRPr="00065066">
            <w:t xml:space="preserve">Licensees’ accident and emergency arrangements should include adequate provision for dealing with aspects of accidents and emergencies capable of resulting in radioactively contaminated land or groundwater on the site. </w:t>
          </w:r>
        </w:p>
        <w:p w14:paraId="22FB04E1" w14:textId="4C5997F5" w:rsidR="008A4D4B" w:rsidRPr="00065066" w:rsidRDefault="008A4D4B" w:rsidP="008A4D4B">
          <w:pPr>
            <w:pStyle w:val="Bulletlist1"/>
          </w:pPr>
          <w:r w:rsidRPr="00065066">
            <w:rPr>
              <w:b/>
            </w:rPr>
            <w:t>LC17: Management systems</w:t>
          </w:r>
          <w:r w:rsidRPr="00065066">
            <w:t xml:space="preserve"> – “the licensee shall establish and implement management systems which give due priority to safety” and “within its management systems, make and implement adequate quality management arrangements in respect of all matters which may affect safety”.</w:t>
          </w:r>
          <w:r w:rsidR="00D20542">
            <w:t xml:space="preserve"> </w:t>
          </w:r>
          <w:r w:rsidRPr="00065066">
            <w:t>Adequate LQM arrangements should be incorporated within the licensee’s management systems.</w:t>
          </w:r>
        </w:p>
        <w:p w14:paraId="12F6EBF4" w14:textId="24277C2E" w:rsidR="008A4D4B" w:rsidRPr="00065066" w:rsidRDefault="008A4D4B" w:rsidP="008A4D4B">
          <w:pPr>
            <w:pStyle w:val="Bulletlist1"/>
          </w:pPr>
          <w:r w:rsidRPr="00065066">
            <w:rPr>
              <w:b/>
            </w:rPr>
            <w:t>LC</w:t>
          </w:r>
          <w:r w:rsidR="003F70EC">
            <w:rPr>
              <w:b/>
            </w:rPr>
            <w:t xml:space="preserve"> </w:t>
          </w:r>
          <w:r w:rsidRPr="00065066">
            <w:rPr>
              <w:b/>
            </w:rPr>
            <w:t>18: Radiological protection</w:t>
          </w:r>
          <w:r w:rsidRPr="00065066">
            <w:t xml:space="preserve"> – “the licensee shall make and implement adequate arrangements for the assessment of the average effective dose … to such class or classes of persons as may be specified in the aforesaid arrangements”.</w:t>
          </w:r>
          <w:r w:rsidR="00D20542">
            <w:t xml:space="preserve"> </w:t>
          </w:r>
          <w:r w:rsidRPr="00065066">
            <w:t>Dose assessments should include adequate consideration of effective dose arising from any radioactively contaminated ground and groundwater.</w:t>
          </w:r>
        </w:p>
        <w:p w14:paraId="25C6BCAB" w14:textId="6984DDA1" w:rsidR="008A4D4B" w:rsidRPr="00065066" w:rsidRDefault="008A4D4B" w:rsidP="008A4D4B">
          <w:pPr>
            <w:pStyle w:val="Bulletlist1"/>
          </w:pPr>
          <w:r w:rsidRPr="00065066">
            <w:rPr>
              <w:b/>
            </w:rPr>
            <w:t>LC</w:t>
          </w:r>
          <w:r w:rsidR="003F70EC">
            <w:rPr>
              <w:b/>
            </w:rPr>
            <w:t xml:space="preserve"> </w:t>
          </w:r>
          <w:r w:rsidRPr="00065066">
            <w:rPr>
              <w:b/>
            </w:rPr>
            <w:t>19: Construction or installation of new plant</w:t>
          </w:r>
          <w:r w:rsidRPr="00065066">
            <w:t xml:space="preserve"> – “the licensee shall make and implement adequate arrangements to control the construction or installation”.</w:t>
          </w:r>
          <w:r w:rsidR="00D20542">
            <w:t xml:space="preserve"> </w:t>
          </w:r>
          <w:r w:rsidRPr="00065066">
            <w:t>Arrangements should include reasonably practicable provision for the control of the potential impact to the quality of land and groundwater from construction and installation operations.</w:t>
          </w:r>
        </w:p>
        <w:p w14:paraId="5440BB78" w14:textId="4CDEA87B" w:rsidR="008A4D4B" w:rsidRPr="00065066" w:rsidRDefault="008A4D4B" w:rsidP="008A4D4B">
          <w:pPr>
            <w:pStyle w:val="Bulletlist1"/>
          </w:pPr>
          <w:r w:rsidRPr="00065066">
            <w:rPr>
              <w:b/>
            </w:rPr>
            <w:t>LC</w:t>
          </w:r>
          <w:r w:rsidR="003F70EC">
            <w:rPr>
              <w:b/>
            </w:rPr>
            <w:t xml:space="preserve"> </w:t>
          </w:r>
          <w:r w:rsidRPr="00065066">
            <w:rPr>
              <w:b/>
            </w:rPr>
            <w:t>22: Modification or experiment on existing plant</w:t>
          </w:r>
          <w:r w:rsidRPr="00065066">
            <w:t xml:space="preserve"> – “the licensee shall make and implement adequate arrangements to control any modification…carried out on any part of the existing plant or processes which may affect safety.”</w:t>
          </w:r>
          <w:r w:rsidR="00D20542">
            <w:t xml:space="preserve"> </w:t>
          </w:r>
          <w:r w:rsidRPr="00065066">
            <w:t>Modifications to the safety case to demonstrate safety of persons from radioactively contaminated land and groundwater should be managed under the licensee’s LC22 arrangements.</w:t>
          </w:r>
        </w:p>
        <w:p w14:paraId="1D5B9C39" w14:textId="77777777" w:rsidR="003F70EC" w:rsidRDefault="003F70EC" w:rsidP="008A4D4B">
          <w:pPr>
            <w:pStyle w:val="Bulletlist1"/>
            <w:rPr>
              <w:b/>
            </w:rPr>
            <w:sectPr w:rsidR="003F70EC" w:rsidSect="003F70EC">
              <w:endnotePr>
                <w:numFmt w:val="decimal"/>
              </w:endnotePr>
              <w:pgSz w:w="11906" w:h="16838" w:code="9"/>
              <w:pgMar w:top="1440" w:right="1440" w:bottom="1440" w:left="1440" w:header="397" w:footer="397" w:gutter="0"/>
              <w:cols w:space="312"/>
              <w:docGrid w:linePitch="360"/>
            </w:sectPr>
          </w:pPr>
        </w:p>
        <w:p w14:paraId="5264D225" w14:textId="322FB203" w:rsidR="008A4D4B" w:rsidRPr="00065066" w:rsidRDefault="008A4D4B" w:rsidP="008A4D4B">
          <w:pPr>
            <w:pStyle w:val="Bulletlist1"/>
          </w:pPr>
          <w:r w:rsidRPr="00065066">
            <w:rPr>
              <w:b/>
            </w:rPr>
            <w:lastRenderedPageBreak/>
            <w:t>LC</w:t>
          </w:r>
          <w:r w:rsidR="003F70EC">
            <w:rPr>
              <w:b/>
            </w:rPr>
            <w:t xml:space="preserve"> </w:t>
          </w:r>
          <w:r w:rsidRPr="00065066">
            <w:rPr>
              <w:b/>
            </w:rPr>
            <w:t>32: Accumulation of radioactive waste</w:t>
          </w:r>
          <w:r w:rsidRPr="00065066">
            <w:t xml:space="preserve"> – “the licensee shall make and implement adequate arrangements for minimising so far as is reasonably practicable the rate of production and total quantity of radioactive waste accumulated on the site at any time and for recording waste so accumulated”.</w:t>
          </w:r>
          <w:r w:rsidR="00D20542">
            <w:t xml:space="preserve"> </w:t>
          </w:r>
          <w:r w:rsidRPr="00065066">
            <w:t>Licensees should therefore have adequate arrangements for LQM to minimise the generation of radioactive waste from LQM activities, including the control, monitoring and remediation of radioactively contaminated land or groundwater.</w:t>
          </w:r>
        </w:p>
        <w:p w14:paraId="00DEB055" w14:textId="77777777" w:rsidR="008A4D4B" w:rsidRPr="002534D7" w:rsidRDefault="008A4D4B" w:rsidP="008A4D4B">
          <w:pPr>
            <w:pStyle w:val="F9-Paragraph"/>
          </w:pPr>
          <w:bookmarkStart w:id="48" w:name="_Ref436992165"/>
          <w:r>
            <w:t>T</w:t>
          </w:r>
          <w:r w:rsidRPr="002534D7">
            <w:t xml:space="preserve">he following </w:t>
          </w:r>
          <w:r>
            <w:t>LCs</w:t>
          </w:r>
          <w:r w:rsidRPr="002534D7">
            <w:t xml:space="preserve"> may </w:t>
          </w:r>
          <w:r>
            <w:t xml:space="preserve">also have </w:t>
          </w:r>
          <w:r w:rsidRPr="002534D7">
            <w:t xml:space="preserve">relevance, depending upon the </w:t>
          </w:r>
          <w:r>
            <w:t xml:space="preserve">particular </w:t>
          </w:r>
          <w:r w:rsidRPr="002534D7">
            <w:t xml:space="preserve">scope of the </w:t>
          </w:r>
          <w:r w:rsidRPr="00065066">
            <w:t>assessment</w:t>
          </w:r>
          <w:r w:rsidRPr="002534D7">
            <w:t>:</w:t>
          </w:r>
          <w:bookmarkEnd w:id="48"/>
        </w:p>
        <w:p w14:paraId="7A1F6D04" w14:textId="6E2939A3" w:rsidR="008A4D4B" w:rsidRPr="00065066" w:rsidRDefault="008A4D4B" w:rsidP="008A4D4B">
          <w:pPr>
            <w:pStyle w:val="Bulletlist1"/>
          </w:pPr>
          <w:r w:rsidRPr="00065066">
            <w:rPr>
              <w:b/>
            </w:rPr>
            <w:t>LC</w:t>
          </w:r>
          <w:r w:rsidR="003F70EC">
            <w:rPr>
              <w:b/>
            </w:rPr>
            <w:t xml:space="preserve"> </w:t>
          </w:r>
          <w:r w:rsidRPr="00065066">
            <w:rPr>
              <w:b/>
            </w:rPr>
            <w:t>6</w:t>
          </w:r>
          <w:r w:rsidR="00D20542">
            <w:t xml:space="preserve"> - </w:t>
          </w:r>
          <w:r w:rsidRPr="00065066">
            <w:t>Documents, records, authorities and certificates</w:t>
          </w:r>
        </w:p>
        <w:p w14:paraId="22A61EE1" w14:textId="0B7154A5" w:rsidR="008A4D4B" w:rsidRPr="00065066" w:rsidRDefault="008A4D4B" w:rsidP="008A4D4B">
          <w:pPr>
            <w:pStyle w:val="Bulletlist1"/>
          </w:pPr>
          <w:r w:rsidRPr="00065066">
            <w:rPr>
              <w:b/>
            </w:rPr>
            <w:t>LC</w:t>
          </w:r>
          <w:r w:rsidR="003F70EC">
            <w:rPr>
              <w:b/>
            </w:rPr>
            <w:t xml:space="preserve"> </w:t>
          </w:r>
          <w:r w:rsidRPr="00065066">
            <w:rPr>
              <w:b/>
            </w:rPr>
            <w:t>7</w:t>
          </w:r>
          <w:r w:rsidR="00D20542">
            <w:t xml:space="preserve"> - </w:t>
          </w:r>
          <w:r w:rsidRPr="00065066">
            <w:t>Incidents on the site</w:t>
          </w:r>
        </w:p>
        <w:p w14:paraId="59FB5675" w14:textId="3C5CE693" w:rsidR="008A4D4B" w:rsidRPr="00065066" w:rsidRDefault="008A4D4B" w:rsidP="008A4D4B">
          <w:pPr>
            <w:pStyle w:val="Bulletlist1"/>
          </w:pPr>
          <w:r w:rsidRPr="00065066">
            <w:rPr>
              <w:b/>
            </w:rPr>
            <w:t>LC</w:t>
          </w:r>
          <w:r w:rsidR="003F70EC">
            <w:rPr>
              <w:b/>
            </w:rPr>
            <w:t xml:space="preserve"> </w:t>
          </w:r>
          <w:r w:rsidRPr="00065066">
            <w:rPr>
              <w:b/>
            </w:rPr>
            <w:t>12</w:t>
          </w:r>
          <w:r w:rsidR="00D20542">
            <w:rPr>
              <w:b/>
            </w:rPr>
            <w:t xml:space="preserve"> </w:t>
          </w:r>
          <w:r w:rsidR="00D20542">
            <w:t xml:space="preserve">- </w:t>
          </w:r>
          <w:r w:rsidRPr="00065066">
            <w:t>Duly authorised and other suitably qualified and experienced</w:t>
          </w:r>
          <w:r w:rsidR="00D20542">
            <w:t xml:space="preserve"> </w:t>
          </w:r>
          <w:r w:rsidRPr="00065066">
            <w:t>persons</w:t>
          </w:r>
        </w:p>
        <w:p w14:paraId="1A30B39A" w14:textId="00B9B5B8" w:rsidR="008A4D4B" w:rsidRPr="00065066" w:rsidRDefault="008A4D4B" w:rsidP="008A4D4B">
          <w:pPr>
            <w:pStyle w:val="Bulletlist1"/>
          </w:pPr>
          <w:r w:rsidRPr="00065066">
            <w:rPr>
              <w:b/>
            </w:rPr>
            <w:t>LC</w:t>
          </w:r>
          <w:r w:rsidR="003F70EC">
            <w:rPr>
              <w:b/>
            </w:rPr>
            <w:t xml:space="preserve"> </w:t>
          </w:r>
          <w:r w:rsidRPr="00065066">
            <w:rPr>
              <w:b/>
            </w:rPr>
            <w:t>24</w:t>
          </w:r>
          <w:r w:rsidRPr="00065066">
            <w:tab/>
          </w:r>
          <w:r w:rsidR="00D20542">
            <w:t xml:space="preserve">- </w:t>
          </w:r>
          <w:r w:rsidRPr="00065066">
            <w:t>Operating instructions</w:t>
          </w:r>
        </w:p>
        <w:p w14:paraId="5966E067" w14:textId="2CEAC177" w:rsidR="008A4D4B" w:rsidRPr="00065066" w:rsidRDefault="008A4D4B" w:rsidP="008A4D4B">
          <w:pPr>
            <w:pStyle w:val="Bulletlist1"/>
          </w:pPr>
          <w:r w:rsidRPr="00065066">
            <w:rPr>
              <w:b/>
            </w:rPr>
            <w:t>LC</w:t>
          </w:r>
          <w:r w:rsidR="003F70EC">
            <w:rPr>
              <w:b/>
            </w:rPr>
            <w:t xml:space="preserve"> </w:t>
          </w:r>
          <w:r w:rsidRPr="00065066">
            <w:rPr>
              <w:b/>
            </w:rPr>
            <w:t>26</w:t>
          </w:r>
          <w:r w:rsidR="00D20542">
            <w:rPr>
              <w:b/>
            </w:rPr>
            <w:t xml:space="preserve"> -  </w:t>
          </w:r>
          <w:r w:rsidRPr="00065066">
            <w:t>Control and supervision of operations</w:t>
          </w:r>
        </w:p>
        <w:p w14:paraId="5ABBB7DE" w14:textId="5387EB11" w:rsidR="008A4D4B" w:rsidRPr="00065066" w:rsidRDefault="008A4D4B" w:rsidP="008A4D4B">
          <w:pPr>
            <w:pStyle w:val="Bulletlist1"/>
          </w:pPr>
          <w:r w:rsidRPr="00065066">
            <w:rPr>
              <w:b/>
            </w:rPr>
            <w:t>LC</w:t>
          </w:r>
          <w:r w:rsidR="003F70EC">
            <w:rPr>
              <w:b/>
            </w:rPr>
            <w:t xml:space="preserve"> </w:t>
          </w:r>
          <w:r w:rsidRPr="00065066">
            <w:rPr>
              <w:b/>
            </w:rPr>
            <w:t>27</w:t>
          </w:r>
          <w:r w:rsidR="00D20542">
            <w:t xml:space="preserve"> - </w:t>
          </w:r>
          <w:r w:rsidRPr="00065066">
            <w:t>Safety mechanisms, devices and circuits</w:t>
          </w:r>
        </w:p>
        <w:p w14:paraId="6E89A16D" w14:textId="7A9B8C28" w:rsidR="008A4D4B" w:rsidRPr="00065066" w:rsidRDefault="008A4D4B" w:rsidP="008A4D4B">
          <w:pPr>
            <w:pStyle w:val="Bulletlist1"/>
          </w:pPr>
          <w:r w:rsidRPr="00065066">
            <w:rPr>
              <w:b/>
            </w:rPr>
            <w:t>LC</w:t>
          </w:r>
          <w:r w:rsidR="003F70EC">
            <w:rPr>
              <w:b/>
            </w:rPr>
            <w:t xml:space="preserve"> </w:t>
          </w:r>
          <w:r w:rsidRPr="00065066">
            <w:rPr>
              <w:b/>
            </w:rPr>
            <w:t>28</w:t>
          </w:r>
          <w:r w:rsidRPr="00065066">
            <w:tab/>
          </w:r>
          <w:r w:rsidR="00D20542">
            <w:t xml:space="preserve">- </w:t>
          </w:r>
          <w:r w:rsidRPr="00065066">
            <w:t>Examination, inspection, maintenance and testing</w:t>
          </w:r>
        </w:p>
        <w:p w14:paraId="3102D460" w14:textId="7268941C" w:rsidR="008A4D4B" w:rsidRDefault="008A4D4B" w:rsidP="008A4D4B">
          <w:pPr>
            <w:pStyle w:val="F9-Paragraph"/>
          </w:pPr>
          <w:r w:rsidRPr="008825D4">
            <w:t xml:space="preserve">Inspectors should ensure that the LQM arrangements take appropriate account of the licensee’s arrangements for compliance with the </w:t>
          </w:r>
          <w:r w:rsidR="00C14771">
            <w:t xml:space="preserve">relevant </w:t>
          </w:r>
          <w:r>
            <w:t>LC</w:t>
          </w:r>
          <w:r w:rsidRPr="008825D4">
            <w:t>s</w:t>
          </w:r>
          <w:r>
            <w:t>,</w:t>
          </w:r>
          <w:r w:rsidRPr="008825D4">
            <w:t xml:space="preserve"> </w:t>
          </w:r>
          <w:r>
            <w:t xml:space="preserve">however, </w:t>
          </w:r>
          <w:r w:rsidRPr="008825D4">
            <w:t xml:space="preserve">it is not expected that </w:t>
          </w:r>
          <w:r>
            <w:t>LQM</w:t>
          </w:r>
          <w:r w:rsidRPr="008825D4">
            <w:t xml:space="preserve"> would </w:t>
          </w:r>
          <w:r>
            <w:t xml:space="preserve">necessarily be included during </w:t>
          </w:r>
          <w:r w:rsidRPr="008825D4">
            <w:t xml:space="preserve">operational </w:t>
          </w:r>
          <w:r w:rsidRPr="00065066">
            <w:t>inspection</w:t>
          </w:r>
          <w:r w:rsidRPr="008825D4">
            <w:t xml:space="preserve"> of compliance with those </w:t>
          </w:r>
          <w:r>
            <w:t>LC</w:t>
          </w:r>
          <w:r w:rsidRPr="008825D4">
            <w:t>s.</w:t>
          </w:r>
        </w:p>
        <w:p w14:paraId="549A316D" w14:textId="1F521B04" w:rsidR="008A4D4B" w:rsidRDefault="008A4D4B" w:rsidP="008A4D4B">
          <w:pPr>
            <w:pStyle w:val="F9-Paragraph"/>
          </w:pPr>
          <w:r>
            <w:t xml:space="preserve">The presence of radioactively contaminated land or groundwater on a nuclear licensed site is not normally considered by ONR to </w:t>
          </w:r>
          <w:r w:rsidRPr="003F70EC">
            <w:t>be “storage”</w:t>
          </w:r>
          <w:r>
            <w:t xml:space="preserve"> of nuclear matter. Storage would imply that the contamination is subject to some form of engineered containment, and in a form and manner that allows it to be retrieved or inspected within a reasonable timescale. Whereas, in reality the nature of the contamination is generally uncontrolled and </w:t>
          </w:r>
          <w:r w:rsidRPr="00065066">
            <w:t>without</w:t>
          </w:r>
          <w:r>
            <w:t xml:space="preserve"> any means of confining the contamination to that location. Hence, ONR considers such contamination to be an accumulation of nuclear matter </w:t>
          </w:r>
          <w:r w:rsidR="00730428">
            <w:t>[</w:t>
          </w:r>
          <w:r w:rsidR="00730428">
            <w:fldChar w:fldCharType="begin"/>
          </w:r>
          <w:r w:rsidR="00730428">
            <w:instrText xml:space="preserve"> NOTEREF _Ref180155170 </w:instrText>
          </w:r>
          <w:r w:rsidR="00730428">
            <w:fldChar w:fldCharType="separate"/>
          </w:r>
          <w:r w:rsidR="001C6309">
            <w:rPr>
              <w:b/>
              <w:bCs/>
            </w:rPr>
            <w:t>Error! Bookmark not defined.</w:t>
          </w:r>
          <w:r w:rsidR="00730428">
            <w:fldChar w:fldCharType="end"/>
          </w:r>
          <w:r w:rsidR="00730428">
            <w:t>]</w:t>
          </w:r>
          <w:r>
            <w:t xml:space="preserve">. Consequently, radioactively contaminated land would not be considered a breach of LC 4(2), which requires licensees to </w:t>
          </w:r>
          <w:r w:rsidRPr="003F70EC">
            <w:rPr>
              <w:iCs/>
            </w:rPr>
            <w:t xml:space="preserve">“ensure that no nuclear matter is stored on the site except in accordance with adequate arrangements made by the licensee for this purpose.” </w:t>
          </w:r>
        </w:p>
        <w:p w14:paraId="0E685BBD" w14:textId="77777777" w:rsidR="003F70EC" w:rsidRDefault="003F70EC" w:rsidP="008A4D4B">
          <w:pPr>
            <w:pStyle w:val="F9-Paragraph"/>
            <w:sectPr w:rsidR="003F70EC" w:rsidSect="003F70EC">
              <w:endnotePr>
                <w:numFmt w:val="decimal"/>
              </w:endnotePr>
              <w:pgSz w:w="11906" w:h="16838" w:code="9"/>
              <w:pgMar w:top="1440" w:right="1440" w:bottom="1440" w:left="1440" w:header="397" w:footer="397" w:gutter="0"/>
              <w:cols w:space="312"/>
              <w:docGrid w:linePitch="360"/>
            </w:sectPr>
          </w:pPr>
        </w:p>
        <w:p w14:paraId="3A671889" w14:textId="549419C8" w:rsidR="008A4D4B" w:rsidRDefault="008A4D4B" w:rsidP="008A4D4B">
          <w:pPr>
            <w:pStyle w:val="F9-Paragraph"/>
          </w:pPr>
          <w:r>
            <w:lastRenderedPageBreak/>
            <w:t xml:space="preserve">Any migration of radioactively contaminated groundwater across a nuclear licensed site boundary in either direction is not considered by ONR as nuclear matter being </w:t>
          </w:r>
          <w:r w:rsidRPr="00EC6923">
            <w:t>brought onto the site</w:t>
          </w:r>
          <w:r>
            <w:t>, as per LC</w:t>
          </w:r>
          <w:r w:rsidR="003F70EC">
            <w:t xml:space="preserve"> </w:t>
          </w:r>
          <w:r>
            <w:t xml:space="preserve">4(1), nor nuclear matter being </w:t>
          </w:r>
          <w:r w:rsidRPr="00EC6923">
            <w:t>consigned</w:t>
          </w:r>
          <w:r>
            <w:t xml:space="preserve"> from the site, as per LC</w:t>
          </w:r>
          <w:r w:rsidR="003F70EC">
            <w:t xml:space="preserve"> </w:t>
          </w:r>
          <w:r>
            <w:t xml:space="preserve">5(1). This does </w:t>
          </w:r>
          <w:r w:rsidRPr="00065066">
            <w:t>not</w:t>
          </w:r>
          <w:r>
            <w:t xml:space="preserve"> preclude ONR from taking enforcement action under LC</w:t>
          </w:r>
          <w:r w:rsidR="003F70EC">
            <w:t xml:space="preserve"> </w:t>
          </w:r>
          <w:r>
            <w:t>34 in respect of a leak or escape leading to radioactively contaminated land or groundwater.</w:t>
          </w:r>
        </w:p>
        <w:p w14:paraId="5FA38A05" w14:textId="6186A560" w:rsidR="008A4D4B" w:rsidRDefault="008A4D4B" w:rsidP="003F70EC">
          <w:pPr>
            <w:pStyle w:val="F9-Paragraph"/>
          </w:pPr>
          <w:r>
            <w:t>LC</w:t>
          </w:r>
          <w:r w:rsidRPr="002534D7">
            <w:t xml:space="preserve"> 33 </w:t>
          </w:r>
          <w:r>
            <w:t>(directed d</w:t>
          </w:r>
          <w:r w:rsidRPr="002534D7">
            <w:t>isposal of radioactive waste</w:t>
          </w:r>
          <w:r>
            <w:t xml:space="preserve">) is not relevant to the regulation of radioactively contaminated </w:t>
          </w:r>
          <w:r w:rsidRPr="00065066">
            <w:t>land</w:t>
          </w:r>
          <w:r>
            <w:t xml:space="preserve"> or groundwater </w:t>
          </w:r>
          <w:r>
            <w:rPr>
              <w:i/>
            </w:rPr>
            <w:t>in situ</w:t>
          </w:r>
          <w:r>
            <w:t>, as</w:t>
          </w:r>
          <w:r w:rsidRPr="002534D7">
            <w:t xml:space="preserve"> </w:t>
          </w:r>
          <w:r>
            <w:t xml:space="preserve">ONR does not consider it to be radioactive waste </w:t>
          </w:r>
          <w:r w:rsidRPr="008D36D3">
            <w:t>in</w:t>
          </w:r>
          <w:r>
            <w:rPr>
              <w:i/>
            </w:rPr>
            <w:t xml:space="preserve"> situ</w:t>
          </w:r>
          <w:r>
            <w:t xml:space="preserve">. </w:t>
          </w:r>
          <w:r w:rsidR="003F70EC">
            <w:br/>
          </w:r>
          <w:r>
            <w:t>Radioactively contaminated</w:t>
          </w:r>
          <w:r w:rsidRPr="002534D7">
            <w:t xml:space="preserve"> land </w:t>
          </w:r>
          <w:r>
            <w:t>and groundwater may become</w:t>
          </w:r>
          <w:r w:rsidRPr="002534D7">
            <w:t xml:space="preserve"> radioactive waste </w:t>
          </w:r>
          <w:r>
            <w:t>after</w:t>
          </w:r>
          <w:r w:rsidRPr="002534D7">
            <w:t xml:space="preserve"> it has been removed during </w:t>
          </w:r>
          <w:r>
            <w:t xml:space="preserve">characterisation or remediation </w:t>
          </w:r>
          <w:r w:rsidRPr="002534D7">
            <w:t>activities</w:t>
          </w:r>
          <w:r>
            <w:t xml:space="preserve">, at which point ONR has the power to direct its disposal under </w:t>
          </w:r>
          <w:r w:rsidR="003F70EC">
            <w:br/>
          </w:r>
          <w:r>
            <w:t>LC</w:t>
          </w:r>
          <w:r w:rsidR="003F70EC">
            <w:t xml:space="preserve"> </w:t>
          </w:r>
          <w:r>
            <w:t xml:space="preserve">33 in accordance with an EPR16 environmental permit or EASR authorisation, if </w:t>
          </w:r>
          <w:r w:rsidRPr="00A07307">
            <w:t>that is appropriate and after discussion with the relevant environmental regulator.</w:t>
          </w:r>
          <w:bookmarkStart w:id="49" w:name="_Toc436748303"/>
          <w:bookmarkStart w:id="50" w:name="_Toc88037140"/>
        </w:p>
        <w:p w14:paraId="05833609" w14:textId="77777777" w:rsidR="003F70EC" w:rsidRDefault="003F70EC" w:rsidP="00F860DD">
          <w:pPr>
            <w:pStyle w:val="Heading2"/>
            <w:numPr>
              <w:ilvl w:val="0"/>
              <w:numId w:val="0"/>
            </w:numPr>
            <w:ind w:left="851" w:hanging="851"/>
            <w:sectPr w:rsidR="003F70EC" w:rsidSect="003F70EC">
              <w:endnotePr>
                <w:numFmt w:val="decimal"/>
              </w:endnotePr>
              <w:pgSz w:w="11906" w:h="16838" w:code="9"/>
              <w:pgMar w:top="1440" w:right="1440" w:bottom="1440" w:left="1440" w:header="397" w:footer="397" w:gutter="0"/>
              <w:cols w:space="312"/>
              <w:docGrid w:linePitch="360"/>
            </w:sectPr>
          </w:pPr>
          <w:bookmarkStart w:id="51" w:name="_Appendix_2_–"/>
          <w:bookmarkStart w:id="52" w:name="_Toc88037141"/>
          <w:bookmarkEnd w:id="49"/>
          <w:bookmarkEnd w:id="50"/>
          <w:bookmarkEnd w:id="51"/>
        </w:p>
        <w:p w14:paraId="19983B04" w14:textId="6A28B729" w:rsidR="00F860DD" w:rsidRDefault="00F860DD" w:rsidP="003F70EC">
          <w:pPr>
            <w:pStyle w:val="Heading1"/>
            <w:numPr>
              <w:ilvl w:val="0"/>
              <w:numId w:val="0"/>
            </w:numPr>
          </w:pPr>
          <w:bookmarkStart w:id="53" w:name="_Appendix_2_–_1"/>
          <w:bookmarkStart w:id="54" w:name="_Toc183698833"/>
          <w:bookmarkEnd w:id="53"/>
          <w:r>
            <w:lastRenderedPageBreak/>
            <w:t xml:space="preserve">Appendix </w:t>
          </w:r>
          <w:r w:rsidR="00EA64FC">
            <w:t>2</w:t>
          </w:r>
          <w:r>
            <w:t xml:space="preserve"> – </w:t>
          </w:r>
          <w:bookmarkEnd w:id="52"/>
          <w:r w:rsidR="00DA5EF9">
            <w:t xml:space="preserve">Sources of </w:t>
          </w:r>
          <w:r w:rsidR="003F70EC">
            <w:t>r</w:t>
          </w:r>
          <w:r w:rsidR="00DA5EF9">
            <w:t xml:space="preserve">elevant </w:t>
          </w:r>
          <w:r w:rsidR="003F70EC">
            <w:t>g</w:t>
          </w:r>
          <w:r w:rsidR="00DA5EF9">
            <w:t xml:space="preserve">ood </w:t>
          </w:r>
          <w:r w:rsidR="003F70EC">
            <w:t>p</w:t>
          </w:r>
          <w:r w:rsidR="00DA5EF9">
            <w:t>ractice</w:t>
          </w:r>
          <w:bookmarkEnd w:id="54"/>
        </w:p>
        <w:p w14:paraId="5F6A2987" w14:textId="4DD5EB44" w:rsidR="00C61E98" w:rsidRDefault="00C61E98" w:rsidP="003F70EC">
          <w:pPr>
            <w:pStyle w:val="F9-Paragraph"/>
            <w:numPr>
              <w:ilvl w:val="0"/>
              <w:numId w:val="40"/>
            </w:numPr>
            <w:ind w:left="851" w:hanging="851"/>
          </w:pPr>
          <w:r>
            <w:t xml:space="preserve">In instances where a shortfall exists between ONR’s expectations and the performance of a licensee, the inspector will need to determine the extent of the risk gap by reference to relevant good practice (RGP), as per the Enforcement Management Model (EMM) </w:t>
          </w:r>
          <w:sdt>
            <w:sdtPr>
              <w:id w:val="462083402"/>
              <w:citation/>
            </w:sdtPr>
            <w:sdtEndPr/>
            <w:sdtContent>
              <w:r w:rsidR="003F70EC">
                <w:fldChar w:fldCharType="begin"/>
              </w:r>
              <w:r w:rsidR="003F70EC">
                <w:instrText xml:space="preserve"> CITATION ONR27 \l 2057 </w:instrText>
              </w:r>
              <w:r w:rsidR="003F70EC">
                <w:fldChar w:fldCharType="separate"/>
              </w:r>
              <w:r w:rsidR="00B23A01">
                <w:rPr>
                  <w:noProof/>
                </w:rPr>
                <w:t>[36]</w:t>
              </w:r>
              <w:r w:rsidR="003F70EC">
                <w:fldChar w:fldCharType="end"/>
              </w:r>
            </w:sdtContent>
          </w:sdt>
          <w:r>
            <w:t>. Where examples of RGP are less well defined, inspectors should influence licensees through engagement and provision of advice, to achieve ONR’s regulatory expectations.</w:t>
          </w:r>
        </w:p>
        <w:p w14:paraId="06C818FB" w14:textId="452841DB" w:rsidR="00C61E98" w:rsidRDefault="00C61E98" w:rsidP="00C61E98">
          <w:pPr>
            <w:pStyle w:val="F9-Paragraph"/>
          </w:pPr>
          <w:r>
            <w:t xml:space="preserve">The following sections provide potential examples of relevant good practice (RGP), when implemented for particular circumstances in an appropriate context and in the appropriate way. For further guidance on determining what may constitute RGP, </w:t>
          </w:r>
          <w:r w:rsidR="003F70EC">
            <w:t xml:space="preserve">refer to </w:t>
          </w:r>
          <w:sdt>
            <w:sdtPr>
              <w:id w:val="1455131207"/>
              <w:citation/>
            </w:sdtPr>
            <w:sdtEndPr/>
            <w:sdtContent>
              <w:r w:rsidR="003F70EC">
                <w:fldChar w:fldCharType="begin"/>
              </w:r>
              <w:r w:rsidR="003F70EC">
                <w:instrText xml:space="preserve"> CITATION ONR16 \l 2057 </w:instrText>
              </w:r>
              <w:r w:rsidR="003F70EC">
                <w:fldChar w:fldCharType="separate"/>
              </w:r>
              <w:r w:rsidR="00B23A01">
                <w:rPr>
                  <w:noProof/>
                </w:rPr>
                <w:t>[10]</w:t>
              </w:r>
              <w:r w:rsidR="003F70EC">
                <w:fldChar w:fldCharType="end"/>
              </w:r>
            </w:sdtContent>
          </w:sdt>
          <w:r>
            <w:t>.</w:t>
          </w:r>
        </w:p>
        <w:p w14:paraId="45730F1A" w14:textId="7B5C761F" w:rsidR="00C61E98" w:rsidRPr="003F70EC" w:rsidRDefault="00C61E98" w:rsidP="003F70EC">
          <w:pPr>
            <w:pStyle w:val="F9-Paragraph"/>
            <w:numPr>
              <w:ilvl w:val="0"/>
              <w:numId w:val="0"/>
            </w:numPr>
            <w:ind w:left="851"/>
            <w:rPr>
              <w:b/>
              <w:bCs/>
            </w:rPr>
          </w:pPr>
          <w:r w:rsidRPr="003F70EC">
            <w:rPr>
              <w:b/>
              <w:bCs/>
            </w:rPr>
            <w:t xml:space="preserve">Remediation </w:t>
          </w:r>
          <w:r w:rsidR="003F70EC">
            <w:rPr>
              <w:b/>
              <w:bCs/>
            </w:rPr>
            <w:t>t</w:t>
          </w:r>
          <w:r w:rsidRPr="003F70EC">
            <w:rPr>
              <w:b/>
              <w:bCs/>
            </w:rPr>
            <w:t xml:space="preserve">echniques for </w:t>
          </w:r>
          <w:r w:rsidR="003F70EC">
            <w:rPr>
              <w:b/>
              <w:bCs/>
            </w:rPr>
            <w:t>r</w:t>
          </w:r>
          <w:r w:rsidRPr="003F70EC">
            <w:rPr>
              <w:b/>
              <w:bCs/>
            </w:rPr>
            <w:t xml:space="preserve">adioactive </w:t>
          </w:r>
          <w:r w:rsidR="003F70EC">
            <w:rPr>
              <w:b/>
              <w:bCs/>
            </w:rPr>
            <w:t>c</w:t>
          </w:r>
          <w:r w:rsidRPr="003F70EC">
            <w:rPr>
              <w:b/>
              <w:bCs/>
            </w:rPr>
            <w:t xml:space="preserve">ontaminated </w:t>
          </w:r>
          <w:r w:rsidR="003F70EC">
            <w:rPr>
              <w:b/>
              <w:bCs/>
            </w:rPr>
            <w:t>l</w:t>
          </w:r>
          <w:r w:rsidRPr="003F70EC">
            <w:rPr>
              <w:b/>
              <w:bCs/>
            </w:rPr>
            <w:t xml:space="preserve">and on </w:t>
          </w:r>
          <w:r w:rsidR="003F70EC">
            <w:rPr>
              <w:b/>
              <w:bCs/>
            </w:rPr>
            <w:t>n</w:t>
          </w:r>
          <w:r w:rsidRPr="003F70EC">
            <w:rPr>
              <w:b/>
              <w:bCs/>
            </w:rPr>
            <w:t xml:space="preserve">uclear </w:t>
          </w:r>
          <w:r w:rsidR="003F70EC">
            <w:rPr>
              <w:b/>
              <w:bCs/>
            </w:rPr>
            <w:t>l</w:t>
          </w:r>
          <w:r w:rsidRPr="003F70EC">
            <w:rPr>
              <w:b/>
              <w:bCs/>
            </w:rPr>
            <w:t xml:space="preserve">icensed </w:t>
          </w:r>
          <w:r w:rsidR="003F70EC">
            <w:rPr>
              <w:b/>
              <w:bCs/>
            </w:rPr>
            <w:t>s</w:t>
          </w:r>
          <w:r w:rsidRPr="003F70EC">
            <w:rPr>
              <w:b/>
              <w:bCs/>
            </w:rPr>
            <w:t>ites</w:t>
          </w:r>
        </w:p>
        <w:p w14:paraId="6A1741F1" w14:textId="31BF1C3B" w:rsidR="00C61E98" w:rsidRDefault="00C61E98" w:rsidP="00C61E98">
          <w:pPr>
            <w:pStyle w:val="F9-Paragraph"/>
            <w:rPr>
              <w:b/>
              <w:bCs/>
            </w:rPr>
          </w:pPr>
          <w:r>
            <w:t>ONR commissioned a report to provide a comprehensive guide on techniques available for the remediation of radioactively contaminated land on nuclear sites and their effectiveness and applicability [</w:t>
          </w:r>
          <w:r>
            <w:fldChar w:fldCharType="begin"/>
          </w:r>
          <w:r>
            <w:instrText xml:space="preserve"> NOTEREF _Ref180158389 </w:instrText>
          </w:r>
          <w:r>
            <w:fldChar w:fldCharType="separate"/>
          </w:r>
          <w:r w:rsidR="003170F3">
            <w:t>24</w:t>
          </w:r>
          <w:r>
            <w:fldChar w:fldCharType="end"/>
          </w:r>
          <w:r>
            <w:t>]. The report explicitly does not identify which techniques should be used in any particular case, but it does provide the inspector with a guide on what remediation techniques are available and what factors it would be reasonable to expect the licensee to have considered when determining the most appropriate remediation technique to use. As such, the report is particularly useful to inform ONR judgements around the robustness of the licensee’s optioneering approach and conclusions in relation to selection of remediation techniques.</w:t>
          </w:r>
        </w:p>
        <w:p w14:paraId="1949B12A" w14:textId="18A7BF0A" w:rsidR="00C61E98" w:rsidRPr="003F70EC" w:rsidRDefault="00C61E98" w:rsidP="003F70EC">
          <w:pPr>
            <w:pStyle w:val="F9-Paragraph"/>
            <w:numPr>
              <w:ilvl w:val="0"/>
              <w:numId w:val="0"/>
            </w:numPr>
            <w:ind w:left="851"/>
            <w:rPr>
              <w:b/>
              <w:bCs/>
            </w:rPr>
          </w:pPr>
          <w:r w:rsidRPr="003F70EC">
            <w:rPr>
              <w:b/>
              <w:bCs/>
            </w:rPr>
            <w:t>Nuclear Industry Codes of Practice and Good Practice Guides</w:t>
          </w:r>
        </w:p>
        <w:p w14:paraId="3B1E6057" w14:textId="3259AFF6" w:rsidR="00C61E98" w:rsidRDefault="00C61E98" w:rsidP="00C61E98">
          <w:pPr>
            <w:pStyle w:val="F9-Paragraph"/>
          </w:pPr>
          <w:r>
            <w:t xml:space="preserve">Nuclear Industry Codes of Practice (NICoP) and Good Practice Guides (NIGPG) may be considered to be ‘established standards’ when considering the application of the EMM, and as such ONR would normally expect licensees to have regard to the guidance given in the relevant NICoP or NIGPG. However, ONR has not formally endorsed any of the guidance contained within the NICoPs or NIGPGs and does not prescribe that they should be implemented. It is the responsibility of the licensee to justify use of such standards; </w:t>
          </w:r>
          <w:r w:rsidR="000076DA">
            <w:t>inspectors should</w:t>
          </w:r>
          <w:r>
            <w:t xml:space="preserve"> judge the applicability and adequacy of use in each case.</w:t>
          </w:r>
        </w:p>
        <w:p w14:paraId="1762B968" w14:textId="52A5E6BF" w:rsidR="00C61E98" w:rsidRDefault="00C61E98" w:rsidP="00C61E98">
          <w:pPr>
            <w:pStyle w:val="Bulletlist1"/>
          </w:pPr>
          <w:r>
            <w:t>NICoP for Routine Water Quality Monitoring</w:t>
          </w:r>
          <w:r w:rsidR="00BF0020">
            <w:t xml:space="preserve"> </w:t>
          </w:r>
          <w:sdt>
            <w:sdtPr>
              <w:id w:val="1037705342"/>
              <w:citation/>
            </w:sdtPr>
            <w:sdtEndPr/>
            <w:sdtContent>
              <w:r w:rsidR="00BF0020">
                <w:fldChar w:fldCharType="begin"/>
              </w:r>
              <w:r w:rsidR="00BF0020">
                <w:instrText xml:space="preserve"> CITATION Nuc151 \l 2057 </w:instrText>
              </w:r>
              <w:r w:rsidR="00BF0020">
                <w:fldChar w:fldCharType="separate"/>
              </w:r>
              <w:r w:rsidR="00B23A01" w:rsidRPr="00B23A01">
                <w:rPr>
                  <w:noProof/>
                </w:rPr>
                <w:t>[37]</w:t>
              </w:r>
              <w:r w:rsidR="00BF0020">
                <w:fldChar w:fldCharType="end"/>
              </w:r>
            </w:sdtContent>
          </w:sdt>
        </w:p>
        <w:p w14:paraId="416F8F6A" w14:textId="50C152C8" w:rsidR="00C61E98" w:rsidRDefault="00C61E98" w:rsidP="00C61E98">
          <w:pPr>
            <w:pStyle w:val="Bulletlist1"/>
          </w:pPr>
          <w:r>
            <w:t xml:space="preserve">NICoP for Qualitative Risk Assessment for Land Contamination, </w:t>
          </w:r>
          <w:r w:rsidR="000B5C68">
            <w:t>i</w:t>
          </w:r>
          <w:r>
            <w:t>ncluding Radioactive Contamination</w:t>
          </w:r>
          <w:r w:rsidR="000B5C68">
            <w:t xml:space="preserve"> </w:t>
          </w:r>
          <w:sdt>
            <w:sdtPr>
              <w:id w:val="1936092946"/>
              <w:citation/>
            </w:sdtPr>
            <w:sdtEndPr/>
            <w:sdtContent>
              <w:r w:rsidR="000B5C68">
                <w:fldChar w:fldCharType="begin"/>
              </w:r>
              <w:r w:rsidR="000B5C68">
                <w:instrText xml:space="preserve"> CITATION Nuc12 \l 2057 </w:instrText>
              </w:r>
              <w:r w:rsidR="000B5C68">
                <w:fldChar w:fldCharType="separate"/>
              </w:r>
              <w:r w:rsidR="00B23A01" w:rsidRPr="00B23A01">
                <w:rPr>
                  <w:noProof/>
                </w:rPr>
                <w:t>[38]</w:t>
              </w:r>
              <w:r w:rsidR="000B5C68">
                <w:fldChar w:fldCharType="end"/>
              </w:r>
            </w:sdtContent>
          </w:sdt>
        </w:p>
        <w:p w14:paraId="6FDDBE08" w14:textId="3C869E2A" w:rsidR="00C61E98" w:rsidRDefault="00C61E98" w:rsidP="00C61E98">
          <w:pPr>
            <w:pStyle w:val="Bulletlist1"/>
          </w:pPr>
          <w:r>
            <w:lastRenderedPageBreak/>
            <w:t>NIGPG on the Application of ALARP to Radiological Risk</w:t>
          </w:r>
          <w:r>
            <w:rPr>
              <w:rStyle w:val="FootnoteReference"/>
            </w:rPr>
            <w:footnoteReference w:id="5"/>
          </w:r>
          <w:r w:rsidR="00A80AD9">
            <w:t xml:space="preserve"> </w:t>
          </w:r>
          <w:sdt>
            <w:sdtPr>
              <w:id w:val="-1237856290"/>
              <w:citation/>
            </w:sdtPr>
            <w:sdtEndPr/>
            <w:sdtContent>
              <w:r w:rsidR="00A80AD9">
                <w:fldChar w:fldCharType="begin"/>
              </w:r>
              <w:r w:rsidR="00A80AD9">
                <w:instrText xml:space="preserve">CITATION Ind12 \l 2057 </w:instrText>
              </w:r>
              <w:r w:rsidR="00A80AD9">
                <w:fldChar w:fldCharType="separate"/>
              </w:r>
              <w:r w:rsidR="00B23A01" w:rsidRPr="00B23A01">
                <w:rPr>
                  <w:noProof/>
                </w:rPr>
                <w:t>[39]</w:t>
              </w:r>
              <w:r w:rsidR="00A80AD9">
                <w:fldChar w:fldCharType="end"/>
              </w:r>
            </w:sdtContent>
          </w:sdt>
        </w:p>
        <w:p w14:paraId="28D021A8" w14:textId="54777F23" w:rsidR="00C61E98" w:rsidRDefault="00C61E98" w:rsidP="00C61E98">
          <w:pPr>
            <w:pStyle w:val="Bulletlist1"/>
          </w:pPr>
          <w:r>
            <w:t>NICoP on Best Available Techniques (BAT) for the Management of the Generation and Disposal of Radioactive Wastes</w:t>
          </w:r>
          <w:r>
            <w:rPr>
              <w:rStyle w:val="FootnoteReference"/>
            </w:rPr>
            <w:footnoteReference w:id="6"/>
          </w:r>
          <w:r w:rsidR="00A10535">
            <w:t xml:space="preserve"> </w:t>
          </w:r>
          <w:sdt>
            <w:sdtPr>
              <w:id w:val="235834028"/>
              <w:citation/>
            </w:sdtPr>
            <w:sdtEndPr/>
            <w:sdtContent>
              <w:r w:rsidR="00A10535">
                <w:fldChar w:fldCharType="begin"/>
              </w:r>
              <w:r w:rsidR="00A10535">
                <w:instrText xml:space="preserve"> CITATION Env10 \l 2057 </w:instrText>
              </w:r>
              <w:r w:rsidR="00A10535">
                <w:fldChar w:fldCharType="separate"/>
              </w:r>
              <w:r w:rsidR="00B23A01" w:rsidRPr="00B23A01">
                <w:rPr>
                  <w:noProof/>
                </w:rPr>
                <w:t>[40]</w:t>
              </w:r>
              <w:r w:rsidR="00A10535">
                <w:fldChar w:fldCharType="end"/>
              </w:r>
            </w:sdtContent>
          </w:sdt>
        </w:p>
        <w:p w14:paraId="53A80179" w14:textId="30CFBDA2" w:rsidR="00C61E98" w:rsidRDefault="00C61E98" w:rsidP="00C61E98">
          <w:pPr>
            <w:pStyle w:val="Bulletlist1"/>
          </w:pPr>
          <w:r>
            <w:t>NICoP on Clearance and Radiological Sentencing: Principles, Processes and Practices for use by the Nuclear Industry</w:t>
          </w:r>
          <w:r>
            <w:rPr>
              <w:rStyle w:val="FootnoteReference"/>
            </w:rPr>
            <w:footnoteReference w:id="7"/>
          </w:r>
          <w:r w:rsidR="006D3402">
            <w:t xml:space="preserve"> </w:t>
          </w:r>
          <w:sdt>
            <w:sdtPr>
              <w:id w:val="-1563472128"/>
              <w:citation/>
            </w:sdtPr>
            <w:sdtEndPr/>
            <w:sdtContent>
              <w:r w:rsidR="006D3402">
                <w:fldChar w:fldCharType="begin"/>
              </w:r>
              <w:r w:rsidR="006D3402">
                <w:instrText xml:space="preserve">CITATION htt6 \l 2057 </w:instrText>
              </w:r>
              <w:r w:rsidR="006D3402">
                <w:fldChar w:fldCharType="separate"/>
              </w:r>
              <w:r w:rsidR="00B23A01" w:rsidRPr="00B23A01">
                <w:rPr>
                  <w:noProof/>
                </w:rPr>
                <w:t>[41]</w:t>
              </w:r>
              <w:r w:rsidR="006D3402">
                <w:fldChar w:fldCharType="end"/>
              </w:r>
            </w:sdtContent>
          </w:sdt>
        </w:p>
        <w:p w14:paraId="6F4D57D2" w14:textId="77777777" w:rsidR="00C61E98" w:rsidRPr="00224C27" w:rsidRDefault="00C61E98" w:rsidP="00224C27">
          <w:pPr>
            <w:pStyle w:val="F9-Paragraph"/>
            <w:numPr>
              <w:ilvl w:val="0"/>
              <w:numId w:val="0"/>
            </w:numPr>
            <w:ind w:left="851"/>
            <w:rPr>
              <w:b/>
              <w:bCs/>
            </w:rPr>
          </w:pPr>
          <w:r w:rsidRPr="00224C27">
            <w:rPr>
              <w:b/>
              <w:bCs/>
            </w:rPr>
            <w:t>SAFEGROUNDS+ - A CIRIA learning Network</w:t>
          </w:r>
        </w:p>
        <w:p w14:paraId="052EFD77" w14:textId="613309EC" w:rsidR="00C61E98" w:rsidRDefault="00C61E98" w:rsidP="00C61E98">
          <w:pPr>
            <w:pStyle w:val="F9-Paragraph"/>
          </w:pPr>
          <w:r>
            <w:t>The SAFEGROUNDS+ programme ran until 2013</w:t>
          </w:r>
          <w:r w:rsidR="00FE3933" w:rsidRPr="00FE3933">
            <w:t xml:space="preserve"> </w:t>
          </w:r>
          <w:sdt>
            <w:sdtPr>
              <w:id w:val="1892157568"/>
              <w:citation/>
            </w:sdtPr>
            <w:sdtEndPr/>
            <w:sdtContent>
              <w:r w:rsidR="00FE3933">
                <w:fldChar w:fldCharType="begin"/>
              </w:r>
              <w:r w:rsidR="00FE3933">
                <w:instrText xml:space="preserve"> CITATION SAF \l 2057 </w:instrText>
              </w:r>
              <w:r w:rsidR="00FE3933">
                <w:fldChar w:fldCharType="separate"/>
              </w:r>
              <w:r w:rsidR="00B23A01">
                <w:rPr>
                  <w:noProof/>
                </w:rPr>
                <w:t>[42]</w:t>
              </w:r>
              <w:r w:rsidR="00FE3933">
                <w:fldChar w:fldCharType="end"/>
              </w:r>
            </w:sdtContent>
          </w:sdt>
          <w:r>
            <w:t>, producing guidance documents on issues relating to managing contaminated land on nuclear and defence sites and non-active/low activity waste from nuclear and defence site decommissioning. Guidance documents published by SAFEGROUNDS included:</w:t>
          </w:r>
        </w:p>
        <w:p w14:paraId="76BE808A" w14:textId="77777777" w:rsidR="00C61E98" w:rsidRDefault="00C61E98" w:rsidP="00C61E98">
          <w:pPr>
            <w:pStyle w:val="Bulletlist1"/>
          </w:pPr>
          <w:r>
            <w:t>Approach to managing contaminated land on nuclear licensed and defence sites – an introduction</w:t>
          </w:r>
        </w:p>
        <w:p w14:paraId="055624D3" w14:textId="77777777" w:rsidR="00C61E98" w:rsidRDefault="00C61E98" w:rsidP="00C61E98">
          <w:pPr>
            <w:pStyle w:val="Bulletlist1"/>
          </w:pPr>
          <w:r>
            <w:t>Good practice guidance for the management of contaminated land on nuclear licensed and defence sites</w:t>
          </w:r>
        </w:p>
        <w:p w14:paraId="54CF5B56" w14:textId="77777777" w:rsidR="00C61E98" w:rsidRDefault="00C61E98" w:rsidP="00C61E98">
          <w:pPr>
            <w:pStyle w:val="Bulletlist1"/>
          </w:pPr>
          <w:r>
            <w:t>Good practice guidance for site characterisation</w:t>
          </w:r>
        </w:p>
        <w:p w14:paraId="31EFE449" w14:textId="77777777" w:rsidR="00C61E98" w:rsidRDefault="00C61E98" w:rsidP="00C61E98">
          <w:pPr>
            <w:pStyle w:val="Bulletlist1"/>
          </w:pPr>
          <w:r>
            <w:t>Guide to the comparison of contaminated land management options</w:t>
          </w:r>
        </w:p>
        <w:p w14:paraId="5B158987" w14:textId="77777777" w:rsidR="00C61E98" w:rsidRDefault="00C61E98" w:rsidP="00C61E98">
          <w:pPr>
            <w:pStyle w:val="Bulletlist1"/>
          </w:pPr>
          <w:r>
            <w:t>Community stakeholder involvement</w:t>
          </w:r>
        </w:p>
        <w:p w14:paraId="6449E50B" w14:textId="77777777" w:rsidR="00C61E98" w:rsidRDefault="00C61E98" w:rsidP="00C61E98">
          <w:pPr>
            <w:pStyle w:val="Bulletlist1"/>
          </w:pPr>
          <w:r>
            <w:t>Good practice guidance for land quality records management for nuclear licensed and defence sites</w:t>
          </w:r>
        </w:p>
        <w:p w14:paraId="01E4D182" w14:textId="77777777" w:rsidR="00C61E98" w:rsidRDefault="00C61E98" w:rsidP="00C61E98">
          <w:pPr>
            <w:pStyle w:val="F9-Paragraph"/>
          </w:pPr>
          <w:r>
            <w:t>At the time of publication, these guidance documents were considered to present relevant good practice. However, whilst they may still contain useful guidance, it should be recognised that as they were published some years ago, they may no longer present contemporary good practice in these areas.</w:t>
          </w:r>
        </w:p>
        <w:p w14:paraId="371A6328" w14:textId="77777777" w:rsidR="003F70EC" w:rsidRDefault="003F70EC" w:rsidP="003F70EC">
          <w:pPr>
            <w:pStyle w:val="F9-Paragraph"/>
            <w:numPr>
              <w:ilvl w:val="0"/>
              <w:numId w:val="0"/>
            </w:numPr>
            <w:ind w:left="851"/>
            <w:sectPr w:rsidR="003F70EC" w:rsidSect="003F70EC">
              <w:endnotePr>
                <w:numFmt w:val="decimal"/>
              </w:endnotePr>
              <w:pgSz w:w="11906" w:h="16838" w:code="9"/>
              <w:pgMar w:top="1440" w:right="1440" w:bottom="1440" w:left="1440" w:header="397" w:footer="397" w:gutter="0"/>
              <w:cols w:space="312"/>
              <w:docGrid w:linePitch="360"/>
            </w:sectPr>
          </w:pPr>
        </w:p>
        <w:p w14:paraId="66A79564" w14:textId="5330E894" w:rsidR="00FE12E4" w:rsidRPr="003F70EC" w:rsidRDefault="00FE12E4" w:rsidP="003F70EC">
          <w:pPr>
            <w:pStyle w:val="F9-Paragraph"/>
            <w:numPr>
              <w:ilvl w:val="0"/>
              <w:numId w:val="0"/>
            </w:numPr>
            <w:ind w:left="851"/>
            <w:rPr>
              <w:b/>
              <w:bCs/>
            </w:rPr>
          </w:pPr>
          <w:r w:rsidRPr="003F70EC">
            <w:rPr>
              <w:b/>
              <w:bCs/>
            </w:rPr>
            <w:lastRenderedPageBreak/>
            <w:t>British Standards</w:t>
          </w:r>
        </w:p>
        <w:p w14:paraId="184BCBE1" w14:textId="6986DC0B" w:rsidR="00FE12E4" w:rsidRDefault="00FE12E4" w:rsidP="00FE12E4">
          <w:pPr>
            <w:pStyle w:val="F9-Paragraph"/>
          </w:pPr>
          <w:r w:rsidRPr="00FE12E4">
            <w:t>ISO 21365 provides a definition of the CSM for contaminated sites consistent with other ISO standards related to contaminated land, providing general guidance on the application of CSM, how they are developed and how they can evolve</w:t>
          </w:r>
          <w:r w:rsidR="00CD2988">
            <w:t xml:space="preserve"> </w:t>
          </w:r>
          <w:sdt>
            <w:sdtPr>
              <w:id w:val="-158235516"/>
              <w:citation/>
            </w:sdtPr>
            <w:sdtEndPr/>
            <w:sdtContent>
              <w:r w:rsidR="00CD2988">
                <w:fldChar w:fldCharType="begin"/>
              </w:r>
              <w:r w:rsidR="00CD2988">
                <w:instrText xml:space="preserve">CITATION ISO6 \l 2057 </w:instrText>
              </w:r>
              <w:r w:rsidR="00CD2988">
                <w:fldChar w:fldCharType="separate"/>
              </w:r>
              <w:r w:rsidR="00B23A01">
                <w:rPr>
                  <w:noProof/>
                </w:rPr>
                <w:t>[43]</w:t>
              </w:r>
              <w:r w:rsidR="00CD2988">
                <w:fldChar w:fldCharType="end"/>
              </w:r>
            </w:sdtContent>
          </w:sdt>
          <w:r w:rsidRPr="00FE12E4">
            <w:t>.</w:t>
          </w:r>
        </w:p>
        <w:p w14:paraId="7FE2E7E7" w14:textId="7ED0E963" w:rsidR="00FE12E4" w:rsidRPr="00FE12E4" w:rsidRDefault="003B6219" w:rsidP="00DB5405">
          <w:pPr>
            <w:pStyle w:val="F9-Paragraph"/>
          </w:pPr>
          <w:r>
            <w:t xml:space="preserve">BS 10175 </w:t>
          </w:r>
          <w:r w:rsidR="0018020E">
            <w:t xml:space="preserve">provides </w:t>
          </w:r>
          <w:r w:rsidR="0018020E" w:rsidRPr="0018020E">
            <w:t>recommendations and guidance intended to ensure that the objectives of an investigation are achieved and that appropriate data for risk assessment are obtained</w:t>
          </w:r>
          <w:r w:rsidR="00CD2988">
            <w:t xml:space="preserve"> </w:t>
          </w:r>
          <w:sdt>
            <w:sdtPr>
              <w:id w:val="-266383518"/>
              <w:citation/>
            </w:sdtPr>
            <w:sdtEndPr/>
            <w:sdtContent>
              <w:r w:rsidR="00CD2988">
                <w:fldChar w:fldCharType="begin"/>
              </w:r>
              <w:r w:rsidR="00CD2988">
                <w:instrText xml:space="preserve">CITATION BSI8 \l 2057 </w:instrText>
              </w:r>
              <w:r w:rsidR="00CD2988">
                <w:fldChar w:fldCharType="separate"/>
              </w:r>
              <w:r w:rsidR="00B23A01">
                <w:rPr>
                  <w:noProof/>
                </w:rPr>
                <w:t>[44]</w:t>
              </w:r>
              <w:r w:rsidR="00CD2988">
                <w:fldChar w:fldCharType="end"/>
              </w:r>
            </w:sdtContent>
          </w:sdt>
          <w:r w:rsidR="00E03EC2">
            <w:t>.</w:t>
          </w:r>
        </w:p>
        <w:p w14:paraId="4FEAC78C" w14:textId="7644CCF5" w:rsidR="00C61E98" w:rsidRPr="00CD2988" w:rsidRDefault="00C61E98" w:rsidP="00CD2988">
          <w:pPr>
            <w:pStyle w:val="F9-Paragraph"/>
            <w:numPr>
              <w:ilvl w:val="0"/>
              <w:numId w:val="0"/>
            </w:numPr>
            <w:ind w:left="851"/>
            <w:rPr>
              <w:b/>
              <w:bCs/>
            </w:rPr>
          </w:pPr>
          <w:r w:rsidRPr="00CD2988">
            <w:rPr>
              <w:b/>
              <w:bCs/>
            </w:rPr>
            <w:t xml:space="preserve">Drinking </w:t>
          </w:r>
          <w:r w:rsidR="00CD2988">
            <w:rPr>
              <w:b/>
              <w:bCs/>
            </w:rPr>
            <w:t>w</w:t>
          </w:r>
          <w:r w:rsidRPr="00CD2988">
            <w:rPr>
              <w:b/>
              <w:bCs/>
            </w:rPr>
            <w:t xml:space="preserve">ater </w:t>
          </w:r>
          <w:r w:rsidR="00CD2988">
            <w:rPr>
              <w:b/>
              <w:bCs/>
            </w:rPr>
            <w:t>i</w:t>
          </w:r>
          <w:r w:rsidRPr="00CD2988">
            <w:rPr>
              <w:b/>
              <w:bCs/>
            </w:rPr>
            <w:t xml:space="preserve">ndicator </w:t>
          </w:r>
          <w:r w:rsidR="00CD2988">
            <w:rPr>
              <w:b/>
              <w:bCs/>
            </w:rPr>
            <w:t>p</w:t>
          </w:r>
          <w:r w:rsidRPr="00CD2988">
            <w:rPr>
              <w:b/>
              <w:bCs/>
            </w:rPr>
            <w:t xml:space="preserve">arameters and </w:t>
          </w:r>
          <w:r w:rsidR="00CD2988">
            <w:rPr>
              <w:b/>
              <w:bCs/>
            </w:rPr>
            <w:t>s</w:t>
          </w:r>
          <w:r w:rsidRPr="00CD2988">
            <w:rPr>
              <w:b/>
              <w:bCs/>
            </w:rPr>
            <w:t xml:space="preserve">creening </w:t>
          </w:r>
          <w:r w:rsidR="00CD2988">
            <w:rPr>
              <w:b/>
              <w:bCs/>
            </w:rPr>
            <w:t>v</w:t>
          </w:r>
          <w:r w:rsidRPr="00CD2988">
            <w:rPr>
              <w:b/>
              <w:bCs/>
            </w:rPr>
            <w:t>alues</w:t>
          </w:r>
        </w:p>
        <w:p w14:paraId="7CF61A9A" w14:textId="77777777" w:rsidR="00C61E98" w:rsidRDefault="00C61E98" w:rsidP="00C61E98">
          <w:pPr>
            <w:pStyle w:val="F9-Paragraph"/>
          </w:pPr>
          <w:r>
            <w:t>Many licensees use drinking water indicator parameters and screening values as a benchmark for groundwater quality. Information is provided here for context to inform inspectors of the significance of such values.</w:t>
          </w:r>
        </w:p>
        <w:p w14:paraId="0867707F" w14:textId="611B2CD1" w:rsidR="00C61E98" w:rsidRDefault="00C61E98" w:rsidP="00C61E98">
          <w:pPr>
            <w:pStyle w:val="F9-Paragraph"/>
          </w:pPr>
          <w:r>
            <w:t>In the UK, regulations pertaining to the quality of water supplied for public use specify screening values for total indicative dose and an indicator value for tritium. The indicative dose is normally monitored by proxy through measurement of gross alpha and gross beta activity against screening values of 0.1 Bq/l and 1.0 Bq</w:t>
          </w:r>
          <w:r w:rsidR="00BC2747">
            <w:t>/</w:t>
          </w:r>
          <w:r>
            <w:t>l, respectively. If either of these screening values is exceeded, monitoring must be carried out to establish which radionuclides are present and to inform further action.</w:t>
          </w:r>
        </w:p>
        <w:p w14:paraId="03537701" w14:textId="3EA00364" w:rsidR="00C61E98" w:rsidRDefault="00C61E98" w:rsidP="00C61E98">
          <w:pPr>
            <w:pStyle w:val="F9-Paragraph"/>
          </w:pPr>
          <w:r>
            <w:t>Tritium is listed as an ‘indicator parameter’ with a specification of 100 Bq/l. Tritium was included on the basis that it provides an indication of other artificial sources of radioactivity in drinking water. If the indicator parameter value is exceeded, it should be reported to DWI as an event and there should be further investigations to identify the source and monitoring to identify additional radionuclides present. More detailed information is available in the DWI guidance on implementation of the regulations in England and Wales</w:t>
          </w:r>
          <w:r w:rsidR="00E34B08">
            <w:t xml:space="preserve"> </w:t>
          </w:r>
          <w:sdt>
            <w:sdtPr>
              <w:id w:val="-155838404"/>
              <w:citation/>
            </w:sdtPr>
            <w:sdtEndPr/>
            <w:sdtContent>
              <w:r w:rsidR="00E34B08">
                <w:fldChar w:fldCharType="begin"/>
              </w:r>
              <w:r w:rsidR="00E34B08">
                <w:instrText xml:space="preserve"> CITATION Dri20 \l 2057 </w:instrText>
              </w:r>
              <w:r w:rsidR="00E34B08">
                <w:fldChar w:fldCharType="separate"/>
              </w:r>
              <w:r w:rsidR="00B23A01">
                <w:rPr>
                  <w:noProof/>
                </w:rPr>
                <w:t>[45]</w:t>
              </w:r>
              <w:r w:rsidR="00E34B08">
                <w:fldChar w:fldCharType="end"/>
              </w:r>
            </w:sdtContent>
          </w:sdt>
          <w:r>
            <w:t>.</w:t>
          </w:r>
        </w:p>
        <w:p w14:paraId="182804C7" w14:textId="42354CC4" w:rsidR="00C61E98" w:rsidRDefault="00C61E98" w:rsidP="00DB5405">
          <w:pPr>
            <w:pStyle w:val="F9-Paragraph"/>
          </w:pPr>
          <w:r>
            <w:t>The World Health Organisation (WHO) prescribe ‘screening levels’ and ‘guidance levels’ for radioactivity in drinking water which represent the concentration that, if present in drinking water throughout the year, would result in an individual dose of 0.1 mSv</w:t>
          </w:r>
          <w:r w:rsidR="00183089">
            <w:t xml:space="preserve"> </w:t>
          </w:r>
          <w:sdt>
            <w:sdtPr>
              <w:id w:val="1069157129"/>
              <w:citation/>
            </w:sdtPr>
            <w:sdtEndPr/>
            <w:sdtContent>
              <w:r w:rsidR="00183089">
                <w:fldChar w:fldCharType="begin"/>
              </w:r>
              <w:r w:rsidR="00183089">
                <w:instrText xml:space="preserve"> CITATION Wor11 \l 2057 </w:instrText>
              </w:r>
              <w:r w:rsidR="00183089">
                <w:fldChar w:fldCharType="separate"/>
              </w:r>
              <w:r w:rsidR="00B23A01">
                <w:rPr>
                  <w:noProof/>
                </w:rPr>
                <w:t>[46]</w:t>
              </w:r>
              <w:r w:rsidR="00183089">
                <w:fldChar w:fldCharType="end"/>
              </w:r>
            </w:sdtContent>
          </w:sdt>
          <w:r>
            <w:t xml:space="preserve">. These guidelines are based on the approach proposed by the ICRP in situations of prolonged radiation exposure of the public. </w:t>
          </w:r>
        </w:p>
        <w:p w14:paraId="001CC42D" w14:textId="2F9F951B" w:rsidR="00F860DD" w:rsidRPr="00CD2988" w:rsidRDefault="00F860DD" w:rsidP="00CD2988">
          <w:pPr>
            <w:pStyle w:val="F9-Paragraph"/>
            <w:numPr>
              <w:ilvl w:val="0"/>
              <w:numId w:val="0"/>
            </w:numPr>
            <w:ind w:left="851"/>
            <w:rPr>
              <w:b/>
              <w:bCs/>
            </w:rPr>
          </w:pPr>
          <w:r w:rsidRPr="00CD2988">
            <w:rPr>
              <w:b/>
              <w:bCs/>
            </w:rPr>
            <w:t>IAEA Safety Standards</w:t>
          </w:r>
        </w:p>
        <w:p w14:paraId="6A9E9CE8" w14:textId="35D79201" w:rsidR="00F860DD" w:rsidRPr="002534D7" w:rsidRDefault="00F860DD" w:rsidP="008D36D3">
          <w:pPr>
            <w:pStyle w:val="F9-Paragraph"/>
          </w:pPr>
          <w:r w:rsidRPr="002534D7">
            <w:t xml:space="preserve">The fundamental safety objective set down in the IAEA Fundamental Safety Principles is </w:t>
          </w:r>
          <w:r w:rsidRPr="00CD2988">
            <w:t>“</w:t>
          </w:r>
          <w:r w:rsidRPr="00CD2988">
            <w:rPr>
              <w:b/>
            </w:rPr>
            <w:t>to protect people and the environment from the harmful effects of ionising radiation</w:t>
          </w:r>
          <w:r w:rsidRPr="00CD2988">
            <w:t>”</w:t>
          </w:r>
          <w:r w:rsidRPr="002534D7">
            <w:t xml:space="preserve"> through control of exposure of people and release of radioactive material to the environment, restriction of likelihood of events that could lead to such instances and to mitigate the consequences of such instances if they were to occur</w:t>
          </w:r>
          <w:r w:rsidR="00EB6B08">
            <w:t xml:space="preserve"> </w:t>
          </w:r>
          <w:sdt>
            <w:sdtPr>
              <w:id w:val="-1274543739"/>
              <w:citation/>
            </w:sdtPr>
            <w:sdtEndPr/>
            <w:sdtContent>
              <w:r w:rsidR="00EB6B08">
                <w:fldChar w:fldCharType="begin"/>
              </w:r>
              <w:r w:rsidR="00EB6B08">
                <w:instrText xml:space="preserve"> CITATION IAE4 \l 2057 </w:instrText>
              </w:r>
              <w:r w:rsidR="00EB6B08">
                <w:fldChar w:fldCharType="separate"/>
              </w:r>
              <w:r w:rsidR="00B23A01">
                <w:rPr>
                  <w:noProof/>
                </w:rPr>
                <w:t>[47]</w:t>
              </w:r>
              <w:r w:rsidR="00EB6B08">
                <w:fldChar w:fldCharType="end"/>
              </w:r>
            </w:sdtContent>
          </w:sdt>
          <w:r w:rsidRPr="002534D7">
            <w:t>.</w:t>
          </w:r>
        </w:p>
        <w:p w14:paraId="61F650B7" w14:textId="6C0E7B0E" w:rsidR="00F860DD" w:rsidRPr="002534D7" w:rsidRDefault="00F860DD" w:rsidP="008D36D3">
          <w:pPr>
            <w:pStyle w:val="F9-Paragraph"/>
          </w:pPr>
          <w:r w:rsidRPr="008B19CC">
            <w:lastRenderedPageBreak/>
            <w:t>The fundamental safety principles flow from the fundamental safety objective, and</w:t>
          </w:r>
          <w:r w:rsidRPr="002534D7">
            <w:t xml:space="preserve"> from those principles, the general safety requirements are derived. Both the requirements and the guides which support them are considered as relevant good practice by ONR and they should therefore be consulted, where relevant.</w:t>
          </w:r>
          <w:r w:rsidR="008D36D3">
            <w:t xml:space="preserve"> </w:t>
          </w:r>
        </w:p>
        <w:p w14:paraId="41835BF0" w14:textId="77777777" w:rsidR="00F860DD" w:rsidRPr="002534D7" w:rsidRDefault="00F860DD" w:rsidP="008D36D3">
          <w:pPr>
            <w:pStyle w:val="F9-Paragraph"/>
          </w:pPr>
          <w:r w:rsidRPr="002534D7">
            <w:t>Principle 7 states that “people and the environment, present and future, must be protected against radiation risks” whilst Principle 10 states that “protective actions to reduce existing or unregulated radiation risks must be justified and optimised.” Together these principles frame the requirement to protect people and the environment through effective LQM, by reducing the risk posed by radioactively contaminated land using a planned approach, which is optimised to the particular situation.</w:t>
          </w:r>
        </w:p>
        <w:p w14:paraId="676AEFC2" w14:textId="77777777" w:rsidR="00F860DD" w:rsidRPr="00CD2988" w:rsidRDefault="00F860DD" w:rsidP="00CD2988">
          <w:pPr>
            <w:pStyle w:val="F9-Paragraph"/>
            <w:numPr>
              <w:ilvl w:val="0"/>
              <w:numId w:val="0"/>
            </w:numPr>
            <w:ind w:left="851"/>
            <w:rPr>
              <w:i/>
              <w:iCs/>
            </w:rPr>
          </w:pPr>
          <w:r w:rsidRPr="00CD2988">
            <w:rPr>
              <w:i/>
              <w:iCs/>
            </w:rPr>
            <w:t>IAEA General Safety Requirements (GSR)</w:t>
          </w:r>
        </w:p>
        <w:p w14:paraId="0C7CE30F" w14:textId="68DD17AE" w:rsidR="00F860DD" w:rsidRPr="002534D7" w:rsidRDefault="00F860DD" w:rsidP="008D36D3">
          <w:pPr>
            <w:pStyle w:val="F9-Paragraph"/>
          </w:pPr>
          <w:r w:rsidRPr="002534D7">
            <w:t xml:space="preserve">Radioactively contaminated land and groundwater constitute an ‘existing exposure situation’, defined in GSR Part 3 </w:t>
          </w:r>
          <w:sdt>
            <w:sdtPr>
              <w:id w:val="1848821087"/>
              <w:citation/>
            </w:sdtPr>
            <w:sdtEndPr/>
            <w:sdtContent>
              <w:r w:rsidR="00CD2988">
                <w:fldChar w:fldCharType="begin"/>
              </w:r>
              <w:r w:rsidR="00CD2988">
                <w:instrText xml:space="preserve"> CITATION IAE1410 \l 2057 </w:instrText>
              </w:r>
              <w:r w:rsidR="00CD2988">
                <w:fldChar w:fldCharType="separate"/>
              </w:r>
              <w:r w:rsidR="00B23A01">
                <w:rPr>
                  <w:noProof/>
                </w:rPr>
                <w:t>[27]</w:t>
              </w:r>
              <w:r w:rsidR="00CD2988">
                <w:fldChar w:fldCharType="end"/>
              </w:r>
            </w:sdtContent>
          </w:sdt>
          <w:r w:rsidRPr="002534D7">
            <w:t xml:space="preserve"> as areas contaminated “by residual radioactive material deriving from…past activities that were never subject to regulatory control or that were subject to regulatory control but not in accordance with the requirements of these standards.” In respect of public exposure, Requirement 48 stipulates that remedial and protective actions are justified and optimised, whilst Requirement 49 lays out the responsibilities for remediation of areas with residual radioactive material and the actions to be taken by those with whom the responsibility rests. </w:t>
          </w:r>
          <w:r w:rsidR="00CD2988">
            <w:br/>
          </w:r>
          <w:r w:rsidRPr="002534D7">
            <w:t>With regards to occupational exposure, Requirement 52 refers to protection for the workforce.</w:t>
          </w:r>
          <w:r w:rsidR="008D36D3">
            <w:t xml:space="preserve"> </w:t>
          </w:r>
        </w:p>
        <w:p w14:paraId="2E1F7A69" w14:textId="78D0613E" w:rsidR="00F860DD" w:rsidRPr="002534D7" w:rsidRDefault="00F860DD" w:rsidP="008D36D3">
          <w:pPr>
            <w:pStyle w:val="F9-Paragraph"/>
          </w:pPr>
          <w:r w:rsidRPr="002534D7">
            <w:t>The requirement for a safety assessment to be conducted, and the components to be included in such an assessment, is laid down in GSR</w:t>
          </w:r>
          <w:r w:rsidR="008D36D3">
            <w:t> </w:t>
          </w:r>
          <w:r w:rsidRPr="002534D7">
            <w:t>Part</w:t>
          </w:r>
          <w:r w:rsidR="008D36D3">
            <w:t> </w:t>
          </w:r>
          <w:r w:rsidRPr="002534D7">
            <w:t>4</w:t>
          </w:r>
          <w:r w:rsidR="00CD2988">
            <w:t xml:space="preserve"> </w:t>
          </w:r>
          <w:sdt>
            <w:sdtPr>
              <w:id w:val="-1636637427"/>
              <w:citation/>
            </w:sdtPr>
            <w:sdtEndPr/>
            <w:sdtContent>
              <w:r w:rsidR="00CD2988">
                <w:fldChar w:fldCharType="begin"/>
              </w:r>
              <w:r w:rsidR="00CD2988">
                <w:instrText xml:space="preserve"> CITATION IAE1619 \l 2057 </w:instrText>
              </w:r>
              <w:r w:rsidR="00CD2988">
                <w:fldChar w:fldCharType="separate"/>
              </w:r>
              <w:r w:rsidR="00B23A01">
                <w:rPr>
                  <w:noProof/>
                </w:rPr>
                <w:t>[28]</w:t>
              </w:r>
              <w:r w:rsidR="00CD2988">
                <w:fldChar w:fldCharType="end"/>
              </w:r>
            </w:sdtContent>
          </w:sdt>
          <w:r w:rsidRPr="002534D7">
            <w:t xml:space="preserve">, for which more guidance is given in the relevant TAG. </w:t>
          </w:r>
          <w:r w:rsidR="00D64E3A">
            <w:br/>
          </w:r>
          <w:r w:rsidRPr="002534D7">
            <w:t xml:space="preserve">ONR expects that dutyholders and </w:t>
          </w:r>
          <w:r>
            <w:t>licensees</w:t>
          </w:r>
          <w:r w:rsidRPr="002534D7">
            <w:t xml:space="preserve"> produce a land quality strategy, which is supported by safety assessments and is integrated with other relevant strategies, such as</w:t>
          </w:r>
          <w:r>
            <w:t xml:space="preserve"> those for</w:t>
          </w:r>
          <w:r w:rsidRPr="002534D7">
            <w:t xml:space="preserve"> radioactive waste m</w:t>
          </w:r>
          <w:r>
            <w:t xml:space="preserve">anagement and decommissioning. </w:t>
          </w:r>
        </w:p>
        <w:p w14:paraId="08A7DE52" w14:textId="22C1A3CF" w:rsidR="00F860DD" w:rsidRPr="002534D7" w:rsidRDefault="00F860DD" w:rsidP="008D36D3">
          <w:pPr>
            <w:pStyle w:val="F9-Paragraph"/>
          </w:pPr>
          <w:r w:rsidRPr="002534D7">
            <w:t xml:space="preserve">GSR Part </w:t>
          </w:r>
          <w:r w:rsidR="00CD2988">
            <w:t xml:space="preserve">5 </w:t>
          </w:r>
          <w:r w:rsidRPr="002534D7">
            <w:t>covers all the steps in the management of radioactive waste from its generation up to disposal, including processing (pre-treatment, treatment and conditioning), storage and transport</w:t>
          </w:r>
          <w:r w:rsidR="00CD2988">
            <w:t xml:space="preserve"> </w:t>
          </w:r>
          <w:sdt>
            <w:sdtPr>
              <w:id w:val="-113061652"/>
              <w:citation/>
            </w:sdtPr>
            <w:sdtEndPr/>
            <w:sdtContent>
              <w:r w:rsidR="00CD2988">
                <w:fldChar w:fldCharType="begin"/>
              </w:r>
              <w:r w:rsidR="00CD2988">
                <w:instrText xml:space="preserve"> CITATION IAE097 \l 2057 </w:instrText>
              </w:r>
              <w:r w:rsidR="00CD2988">
                <w:fldChar w:fldCharType="separate"/>
              </w:r>
              <w:r w:rsidR="00B23A01">
                <w:rPr>
                  <w:noProof/>
                </w:rPr>
                <w:t>[29]</w:t>
              </w:r>
              <w:r w:rsidR="00CD2988">
                <w:fldChar w:fldCharType="end"/>
              </w:r>
            </w:sdtContent>
          </w:sdt>
          <w:r w:rsidRPr="002534D7">
            <w:t xml:space="preserve">. The requirements for predisposal management of radioactive waste apply to aspects of land quality and should be taken into consideration appropriately. </w:t>
          </w:r>
          <w:r w:rsidR="00CD2988">
            <w:br/>
          </w:r>
          <w:r>
            <w:t>Further guidance on management of radioactive waste is provided in the relevant TAG (NS-TAST-GD-024)</w:t>
          </w:r>
          <w:r w:rsidR="00CD2988">
            <w:t xml:space="preserve"> </w:t>
          </w:r>
          <w:sdt>
            <w:sdtPr>
              <w:id w:val="-1026635705"/>
              <w:citation/>
            </w:sdtPr>
            <w:sdtEndPr/>
            <w:sdtContent>
              <w:r w:rsidR="00CD2988">
                <w:fldChar w:fldCharType="begin"/>
              </w:r>
              <w:r w:rsidR="00CD2988">
                <w:instrText xml:space="preserve"> CITATION ONR472 \l 2057 </w:instrText>
              </w:r>
              <w:r w:rsidR="00CD2988">
                <w:fldChar w:fldCharType="separate"/>
              </w:r>
              <w:r w:rsidR="00B23A01">
                <w:rPr>
                  <w:noProof/>
                </w:rPr>
                <w:t>[23]</w:t>
              </w:r>
              <w:r w:rsidR="00CD2988">
                <w:fldChar w:fldCharType="end"/>
              </w:r>
            </w:sdtContent>
          </w:sdt>
          <w:r>
            <w:t>.</w:t>
          </w:r>
          <w:r w:rsidRPr="002534D7">
            <w:t xml:space="preserve"> </w:t>
          </w:r>
        </w:p>
        <w:p w14:paraId="2B08B0E7" w14:textId="1C147B5C" w:rsidR="00F860DD" w:rsidRDefault="00F860DD" w:rsidP="008D36D3">
          <w:pPr>
            <w:pStyle w:val="F9-Paragraph"/>
          </w:pPr>
          <w:r w:rsidRPr="002534D7">
            <w:t>LQM activities will be integrated with decommissioning activities and as such LQM will contribute to satisfying the requirements under GSR Part 6</w:t>
          </w:r>
          <w:r w:rsidR="00CD2988">
            <w:t xml:space="preserve"> </w:t>
          </w:r>
          <w:sdt>
            <w:sdtPr>
              <w:id w:val="-269168740"/>
              <w:citation/>
            </w:sdtPr>
            <w:sdtEndPr/>
            <w:sdtContent>
              <w:r w:rsidR="00CD2988">
                <w:fldChar w:fldCharType="begin"/>
              </w:r>
              <w:r w:rsidR="00CD2988">
                <w:instrText xml:space="preserve"> CITATION IAE1411 \l 2057 </w:instrText>
              </w:r>
              <w:r w:rsidR="00CD2988">
                <w:fldChar w:fldCharType="separate"/>
              </w:r>
              <w:r w:rsidR="00B23A01">
                <w:rPr>
                  <w:noProof/>
                </w:rPr>
                <w:t>[30]</w:t>
              </w:r>
              <w:r w:rsidR="00CD2988">
                <w:fldChar w:fldCharType="end"/>
              </w:r>
            </w:sdtContent>
          </w:sdt>
          <w:r>
            <w:t xml:space="preserve">. Further guidance on decommissioning is provided in the relevant TAG </w:t>
          </w:r>
          <w:r w:rsidR="00CD2988">
            <w:br/>
          </w:r>
          <w:r>
            <w:t>(NS-TAST-GD-026)</w:t>
          </w:r>
          <w:r w:rsidR="00CD2988">
            <w:t xml:space="preserve"> </w:t>
          </w:r>
          <w:sdt>
            <w:sdtPr>
              <w:id w:val="-1934732112"/>
              <w:citation/>
            </w:sdtPr>
            <w:sdtEndPr/>
            <w:sdtContent>
              <w:r w:rsidR="00CD2988">
                <w:fldChar w:fldCharType="begin"/>
              </w:r>
              <w:r w:rsidR="00CD2988">
                <w:instrText xml:space="preserve"> CITATION ONR156 \l 2057 </w:instrText>
              </w:r>
              <w:r w:rsidR="00CD2988">
                <w:fldChar w:fldCharType="separate"/>
              </w:r>
              <w:r w:rsidR="00B23A01">
                <w:rPr>
                  <w:noProof/>
                </w:rPr>
                <w:t>[24]</w:t>
              </w:r>
              <w:r w:rsidR="00CD2988">
                <w:fldChar w:fldCharType="end"/>
              </w:r>
            </w:sdtContent>
          </w:sdt>
          <w:r>
            <w:t xml:space="preserve">. </w:t>
          </w:r>
        </w:p>
        <w:p w14:paraId="22B9168F" w14:textId="77777777" w:rsidR="00CD2988" w:rsidRDefault="00CD2988" w:rsidP="00CD2988">
          <w:pPr>
            <w:pStyle w:val="F9-Paragraph"/>
            <w:sectPr w:rsidR="00CD2988" w:rsidSect="003F70EC">
              <w:endnotePr>
                <w:numFmt w:val="decimal"/>
              </w:endnotePr>
              <w:pgSz w:w="11906" w:h="16838" w:code="9"/>
              <w:pgMar w:top="1440" w:right="1440" w:bottom="1440" w:left="1440" w:header="397" w:footer="397" w:gutter="0"/>
              <w:cols w:space="312"/>
              <w:docGrid w:linePitch="360"/>
            </w:sectPr>
          </w:pPr>
        </w:p>
        <w:p w14:paraId="0185C1D4" w14:textId="77777777" w:rsidR="00A92354" w:rsidRPr="00CD2988" w:rsidRDefault="00A92354" w:rsidP="00CD2988">
          <w:pPr>
            <w:pStyle w:val="F9-Paragraph"/>
            <w:numPr>
              <w:ilvl w:val="0"/>
              <w:numId w:val="0"/>
            </w:numPr>
            <w:ind w:left="851"/>
            <w:rPr>
              <w:i/>
              <w:iCs/>
            </w:rPr>
          </w:pPr>
          <w:r w:rsidRPr="00CD2988">
            <w:rPr>
              <w:i/>
              <w:iCs/>
            </w:rPr>
            <w:lastRenderedPageBreak/>
            <w:t>IAEA Safety Guides</w:t>
          </w:r>
        </w:p>
        <w:p w14:paraId="03699C77" w14:textId="6F4CD0B7" w:rsidR="00A92354" w:rsidRPr="002534D7" w:rsidRDefault="00A92354" w:rsidP="00A92354">
          <w:pPr>
            <w:pStyle w:val="F9-Paragraph"/>
            <w:rPr>
              <w:b/>
              <w:caps/>
            </w:rPr>
          </w:pPr>
          <w:r w:rsidRPr="00D171EF">
            <w:t>The following safety guides form part of the IAEA Safety Standards Series</w:t>
          </w:r>
          <w:r w:rsidRPr="002534D7">
            <w:t xml:space="preserve"> and provide supporting recommendations and guidance in order to achieve compliance with the requirements set out in the </w:t>
          </w:r>
          <w:r w:rsidR="00CD2988">
            <w:t>International Basic Safety Standards (</w:t>
          </w:r>
          <w:r w:rsidRPr="002534D7">
            <w:t>BSS</w:t>
          </w:r>
          <w:r w:rsidR="00CD2988">
            <w:t>)</w:t>
          </w:r>
          <w:r w:rsidRPr="002534D7">
            <w:t xml:space="preserve">: </w:t>
          </w:r>
        </w:p>
        <w:p w14:paraId="05A4286C" w14:textId="0F75FA4B" w:rsidR="00A92354" w:rsidRPr="002534D7" w:rsidRDefault="003B5699" w:rsidP="00A92354">
          <w:pPr>
            <w:pStyle w:val="Bulletlist1"/>
            <w:rPr>
              <w:b/>
              <w:caps/>
            </w:rPr>
          </w:pPr>
          <w:r>
            <w:t>GS</w:t>
          </w:r>
          <w:r w:rsidR="00A92354" w:rsidRPr="002534D7">
            <w:t>G-17</w:t>
          </w:r>
          <w:r w:rsidR="00CD2988">
            <w:t>, ‘</w:t>
          </w:r>
          <w:r w:rsidR="00A92354" w:rsidRPr="002534D7">
            <w:t>Application of the Concept of Exemption</w:t>
          </w:r>
          <w:r w:rsidR="00CD2988">
            <w:t>’</w:t>
          </w:r>
          <w:r w:rsidR="00A92354" w:rsidRPr="002534D7">
            <w:t xml:space="preserve"> </w:t>
          </w:r>
          <w:sdt>
            <w:sdtPr>
              <w:id w:val="1335575201"/>
              <w:citation/>
            </w:sdtPr>
            <w:sdtEndPr/>
            <w:sdtContent>
              <w:r w:rsidR="00CD2988">
                <w:fldChar w:fldCharType="begin"/>
              </w:r>
              <w:r w:rsidR="00566FB7">
                <w:instrText xml:space="preserve">CITATION IAE232 \l 2057 </w:instrText>
              </w:r>
              <w:r w:rsidR="00CD2988">
                <w:fldChar w:fldCharType="separate"/>
              </w:r>
              <w:r w:rsidR="00B23A01" w:rsidRPr="00B23A01">
                <w:rPr>
                  <w:noProof/>
                </w:rPr>
                <w:t>[48]</w:t>
              </w:r>
              <w:r w:rsidR="00CD2988">
                <w:fldChar w:fldCharType="end"/>
              </w:r>
            </w:sdtContent>
          </w:sdt>
          <w:r w:rsidR="00CD2988">
            <w:t xml:space="preserve">, </w:t>
          </w:r>
          <w:r w:rsidR="001E712D">
            <w:t>and GSG-18</w:t>
          </w:r>
          <w:r w:rsidR="00CD2988">
            <w:t>,</w:t>
          </w:r>
          <w:r w:rsidR="001E712D">
            <w:t xml:space="preserve"> </w:t>
          </w:r>
          <w:r w:rsidR="00CD2988">
            <w:t>‘</w:t>
          </w:r>
          <w:r w:rsidR="001E712D">
            <w:t>Application of the Concept of Clearance</w:t>
          </w:r>
          <w:r w:rsidR="00CD2988">
            <w:t xml:space="preserve">’ </w:t>
          </w:r>
          <w:sdt>
            <w:sdtPr>
              <w:id w:val="1219088921"/>
              <w:citation/>
            </w:sdtPr>
            <w:sdtEndPr/>
            <w:sdtContent>
              <w:r w:rsidR="00CD2988">
                <w:fldChar w:fldCharType="begin"/>
              </w:r>
              <w:r w:rsidR="00CD2988">
                <w:instrText xml:space="preserve"> CITATION IAE233 \l 2057 </w:instrText>
              </w:r>
              <w:r w:rsidR="00CD2988">
                <w:fldChar w:fldCharType="separate"/>
              </w:r>
              <w:r w:rsidR="00B23A01" w:rsidRPr="00B23A01">
                <w:rPr>
                  <w:noProof/>
                </w:rPr>
                <w:t>[49]</w:t>
              </w:r>
              <w:r w:rsidR="00CD2988">
                <w:fldChar w:fldCharType="end"/>
              </w:r>
            </w:sdtContent>
          </w:sdt>
          <w:r w:rsidR="00CD2988">
            <w:t xml:space="preserve">, </w:t>
          </w:r>
          <w:r w:rsidR="0048426A">
            <w:t>which together replace RS</w:t>
          </w:r>
          <w:r w:rsidR="008709EB">
            <w:noBreakHyphen/>
            <w:t>G</w:t>
          </w:r>
          <w:r w:rsidR="008709EB">
            <w:noBreakHyphen/>
            <w:t xml:space="preserve">1.7 </w:t>
          </w:r>
          <w:sdt>
            <w:sdtPr>
              <w:id w:val="1407658639"/>
              <w:citation/>
            </w:sdtPr>
            <w:sdtEndPr/>
            <w:sdtContent>
              <w:r w:rsidR="00CD2988">
                <w:fldChar w:fldCharType="begin"/>
              </w:r>
              <w:r w:rsidR="00CD2988">
                <w:instrText xml:space="preserve"> CITATION IAE047 \l 2057 </w:instrText>
              </w:r>
              <w:r w:rsidR="00CD2988">
                <w:fldChar w:fldCharType="separate"/>
              </w:r>
              <w:r w:rsidR="00B23A01" w:rsidRPr="00B23A01">
                <w:rPr>
                  <w:noProof/>
                </w:rPr>
                <w:t>[50]</w:t>
              </w:r>
              <w:r w:rsidR="00CD2988">
                <w:fldChar w:fldCharType="end"/>
              </w:r>
            </w:sdtContent>
          </w:sdt>
          <w:r w:rsidR="00CD2988">
            <w:t xml:space="preserve"> </w:t>
          </w:r>
          <w:r w:rsidR="008709EB">
            <w:t xml:space="preserve">and </w:t>
          </w:r>
          <w:r w:rsidR="00A92354" w:rsidRPr="002534D7">
            <w:t>include derivation of activity concentration levels used for exemption and clearance of bulk amounts of material which provide useful bounding limits for LQM activities.</w:t>
          </w:r>
          <w:r w:rsidR="00A92354">
            <w:rPr>
              <w:rStyle w:val="FootnoteReference"/>
            </w:rPr>
            <w:footnoteReference w:id="8"/>
          </w:r>
        </w:p>
        <w:p w14:paraId="05AF7623" w14:textId="3793D266" w:rsidR="00A92354" w:rsidRPr="002534D7" w:rsidRDefault="00A92354" w:rsidP="00A92354">
          <w:pPr>
            <w:pStyle w:val="Bulletlist1"/>
            <w:rPr>
              <w:b/>
              <w:caps/>
            </w:rPr>
          </w:pPr>
          <w:r w:rsidRPr="002534D7">
            <w:t>RS-G-1.8</w:t>
          </w:r>
          <w:r w:rsidR="00CD2988">
            <w:t>,</w:t>
          </w:r>
          <w:r w:rsidRPr="002534D7">
            <w:t xml:space="preserve"> </w:t>
          </w:r>
          <w:r w:rsidR="00CD2988">
            <w:t>‘</w:t>
          </w:r>
          <w:r w:rsidRPr="002534D7">
            <w:t>Environmental and Source Monitoring for Purposes of Radiation Protection</w:t>
          </w:r>
          <w:r w:rsidR="00CD2988">
            <w:t xml:space="preserve">’ </w:t>
          </w:r>
          <w:sdt>
            <w:sdtPr>
              <w:id w:val="-2589822"/>
              <w:citation/>
            </w:sdtPr>
            <w:sdtEndPr/>
            <w:sdtContent>
              <w:r w:rsidR="00CD2988">
                <w:fldChar w:fldCharType="begin"/>
              </w:r>
              <w:r w:rsidR="00CD2988">
                <w:instrText xml:space="preserve"> CITATION IAE058 \l 2057 </w:instrText>
              </w:r>
              <w:r w:rsidR="00CD2988">
                <w:fldChar w:fldCharType="separate"/>
              </w:r>
              <w:r w:rsidR="00B23A01" w:rsidRPr="00B23A01">
                <w:rPr>
                  <w:noProof/>
                </w:rPr>
                <w:t>[51]</w:t>
              </w:r>
              <w:r w:rsidR="00CD2988">
                <w:fldChar w:fldCharType="end"/>
              </w:r>
            </w:sdtContent>
          </w:sdt>
          <w:r w:rsidR="00CD2988">
            <w:t xml:space="preserve">, </w:t>
          </w:r>
          <w:r w:rsidRPr="002534D7">
            <w:t>provides guidance on programmes for monitoring radionuclides in the environment, including aspects of generic and detailed programme design, interpretation of the data they generate, quality assurance and recording.</w:t>
          </w:r>
        </w:p>
        <w:p w14:paraId="3753C813" w14:textId="099B74C2" w:rsidR="00A92354" w:rsidRPr="002534D7" w:rsidRDefault="00A92354" w:rsidP="00A92354">
          <w:pPr>
            <w:pStyle w:val="Bulletlist1"/>
            <w:rPr>
              <w:b/>
              <w:caps/>
            </w:rPr>
          </w:pPr>
          <w:r w:rsidRPr="002534D7">
            <w:t>WS-G-3.1</w:t>
          </w:r>
          <w:r w:rsidR="00CD2988">
            <w:t>,</w:t>
          </w:r>
          <w:r w:rsidRPr="002534D7">
            <w:t xml:space="preserve"> </w:t>
          </w:r>
          <w:r w:rsidR="00CD2988">
            <w:t>‘</w:t>
          </w:r>
          <w:r w:rsidRPr="002534D7">
            <w:t>Remediation Process for Areas Affected by Past Activities and Accidents</w:t>
          </w:r>
          <w:r w:rsidR="00CD2988">
            <w:t xml:space="preserve">’ </w:t>
          </w:r>
          <w:sdt>
            <w:sdtPr>
              <w:id w:val="-524859642"/>
              <w:citation/>
            </w:sdtPr>
            <w:sdtEndPr/>
            <w:sdtContent>
              <w:r w:rsidR="00566FB7">
                <w:fldChar w:fldCharType="begin"/>
              </w:r>
              <w:r w:rsidR="00566FB7">
                <w:instrText xml:space="preserve"> CITATION IAE074 \l 2057 </w:instrText>
              </w:r>
              <w:r w:rsidR="00566FB7">
                <w:fldChar w:fldCharType="separate"/>
              </w:r>
              <w:r w:rsidR="00B23A01" w:rsidRPr="00B23A01">
                <w:rPr>
                  <w:noProof/>
                </w:rPr>
                <w:t>[52]</w:t>
              </w:r>
              <w:r w:rsidR="00566FB7">
                <w:fldChar w:fldCharType="end"/>
              </w:r>
            </w:sdtContent>
          </w:sdt>
          <w:r w:rsidR="00CD2988">
            <w:t>,</w:t>
          </w:r>
          <w:r w:rsidRPr="002534D7">
            <w:t xml:space="preserve"> provides guidance on the process to be undertaken during remediation planning and implementation</w:t>
          </w:r>
          <w:r w:rsidR="00566FB7">
            <w:t xml:space="preserve"> (since superseded by GSG-15 </w:t>
          </w:r>
          <w:sdt>
            <w:sdtPr>
              <w:id w:val="-2045504674"/>
              <w:citation/>
            </w:sdtPr>
            <w:sdtEndPr/>
            <w:sdtContent>
              <w:r w:rsidR="00566FB7">
                <w:fldChar w:fldCharType="begin"/>
              </w:r>
              <w:r w:rsidR="00566FB7">
                <w:instrText xml:space="preserve"> CITATION IAE2212 \l 2057 </w:instrText>
              </w:r>
              <w:r w:rsidR="00566FB7">
                <w:fldChar w:fldCharType="separate"/>
              </w:r>
              <w:r w:rsidR="00B23A01" w:rsidRPr="00B23A01">
                <w:rPr>
                  <w:noProof/>
                </w:rPr>
                <w:t>[53]</w:t>
              </w:r>
              <w:r w:rsidR="00566FB7">
                <w:fldChar w:fldCharType="end"/>
              </w:r>
            </w:sdtContent>
          </w:sdt>
          <w:r w:rsidR="00566FB7">
            <w:t>)</w:t>
          </w:r>
          <w:r w:rsidRPr="002534D7">
            <w:t>.</w:t>
          </w:r>
        </w:p>
        <w:p w14:paraId="242F617B" w14:textId="3204D263" w:rsidR="00A92354" w:rsidRPr="002534D7" w:rsidRDefault="00A92354" w:rsidP="00A92354">
          <w:pPr>
            <w:pStyle w:val="Bulletlist1"/>
          </w:pPr>
          <w:r w:rsidRPr="002534D7">
            <w:t>WS-G-5.1</w:t>
          </w:r>
          <w:r w:rsidR="00566FB7">
            <w:t>,</w:t>
          </w:r>
          <w:r w:rsidRPr="002534D7">
            <w:t xml:space="preserve"> </w:t>
          </w:r>
          <w:r w:rsidR="00566FB7">
            <w:t>‘</w:t>
          </w:r>
          <w:r w:rsidRPr="002534D7">
            <w:t>Release of Sites from Regulatory Control on Termination of Practices</w:t>
          </w:r>
          <w:r w:rsidR="00566FB7">
            <w:t xml:space="preserve">’ </w:t>
          </w:r>
          <w:sdt>
            <w:sdtPr>
              <w:id w:val="1992210068"/>
              <w:citation/>
            </w:sdtPr>
            <w:sdtEndPr/>
            <w:sdtContent>
              <w:r w:rsidR="00566FB7">
                <w:fldChar w:fldCharType="begin"/>
              </w:r>
              <w:r w:rsidR="00566FB7">
                <w:instrText xml:space="preserve"> CITATION IAE068 \l 2057 </w:instrText>
              </w:r>
              <w:r w:rsidR="00566FB7">
                <w:fldChar w:fldCharType="separate"/>
              </w:r>
              <w:r w:rsidR="00B23A01" w:rsidRPr="00B23A01">
                <w:rPr>
                  <w:noProof/>
                </w:rPr>
                <w:t>[54]</w:t>
              </w:r>
              <w:r w:rsidR="00566FB7">
                <w:fldChar w:fldCharType="end"/>
              </w:r>
            </w:sdtContent>
          </w:sdt>
          <w:r w:rsidR="00566FB7">
            <w:t>,</w:t>
          </w:r>
          <w:r w:rsidRPr="002534D7">
            <w:t xml:space="preserve"> this guide is more applicable to delicensing of nuclear sites but is a useful guide to the end-state requirements which should be the ultimate aim of LQM.</w:t>
          </w:r>
        </w:p>
        <w:p w14:paraId="077761D7" w14:textId="6A933BC5" w:rsidR="00F860DD" w:rsidRPr="00566FB7" w:rsidRDefault="00F860DD" w:rsidP="00566FB7">
          <w:pPr>
            <w:pStyle w:val="F9-Paragraph"/>
            <w:numPr>
              <w:ilvl w:val="0"/>
              <w:numId w:val="0"/>
            </w:numPr>
            <w:ind w:left="851"/>
            <w:rPr>
              <w:i/>
              <w:iCs/>
            </w:rPr>
          </w:pPr>
          <w:r w:rsidRPr="00566FB7">
            <w:rPr>
              <w:i/>
              <w:iCs/>
            </w:rPr>
            <w:t>IAEA Safety Report Series and Technical Report Series</w:t>
          </w:r>
        </w:p>
        <w:p w14:paraId="09F1395E" w14:textId="2824F636" w:rsidR="00F860DD" w:rsidRDefault="00F860DD" w:rsidP="008D36D3">
          <w:pPr>
            <w:pStyle w:val="F9-Paragraph"/>
          </w:pPr>
          <w:r>
            <w:t xml:space="preserve">The IAEA </w:t>
          </w:r>
          <w:r w:rsidRPr="002534D7">
            <w:t xml:space="preserve">Safety Reports </w:t>
          </w:r>
          <w:r>
            <w:t xml:space="preserve">Series </w:t>
          </w:r>
          <w:r w:rsidRPr="002534D7">
            <w:t xml:space="preserve">(SRS) and Technical Reports </w:t>
          </w:r>
          <w:r>
            <w:t xml:space="preserve">Series </w:t>
          </w:r>
          <w:r w:rsidRPr="002534D7">
            <w:t>(TRS)</w:t>
          </w:r>
          <w:r>
            <w:t xml:space="preserve"> </w:t>
          </w:r>
          <w:r w:rsidR="00585924">
            <w:t>u</w:t>
          </w:r>
          <w:r>
            <w:t>nderpin the IAEA Safety Guides. The safety and technical reports listed here are not formally endorsed by ONR and are included for information purposes only</w:t>
          </w:r>
          <w:r w:rsidRPr="002534D7">
            <w:t xml:space="preserve"> </w:t>
          </w:r>
          <w:r>
            <w:t xml:space="preserve">but </w:t>
          </w:r>
          <w:r w:rsidRPr="002534D7">
            <w:t xml:space="preserve">may </w:t>
          </w:r>
          <w:r>
            <w:t>provide inspectors with additional background</w:t>
          </w:r>
          <w:r w:rsidRPr="002534D7">
            <w:t xml:space="preserve"> </w:t>
          </w:r>
          <w:r>
            <w:t>information:</w:t>
          </w:r>
        </w:p>
        <w:p w14:paraId="063290D6" w14:textId="3EF1CAFE" w:rsidR="00F860DD" w:rsidRPr="002534D7" w:rsidRDefault="00F860DD" w:rsidP="008D36D3">
          <w:pPr>
            <w:pStyle w:val="Bulletlist1"/>
          </w:pPr>
          <w:r w:rsidRPr="002534D7">
            <w:t>SRS No. 44</w:t>
          </w:r>
          <w:r w:rsidR="00566FB7">
            <w:t>, ‘</w:t>
          </w:r>
          <w:r w:rsidRPr="002534D7">
            <w:t>Derivation of Activity Concentration Values for Exclusion, Exemption and Clearance</w:t>
          </w:r>
          <w:r w:rsidR="00566FB7">
            <w:t xml:space="preserve">’ </w:t>
          </w:r>
          <w:sdt>
            <w:sdtPr>
              <w:id w:val="2128120167"/>
              <w:citation/>
            </w:sdtPr>
            <w:sdtEndPr/>
            <w:sdtContent>
              <w:r w:rsidR="00566FB7">
                <w:fldChar w:fldCharType="begin"/>
              </w:r>
              <w:r w:rsidR="00566FB7">
                <w:instrText xml:space="preserve"> CITATION IAE059 \l 2057 </w:instrText>
              </w:r>
              <w:r w:rsidR="00566FB7">
                <w:fldChar w:fldCharType="separate"/>
              </w:r>
              <w:r w:rsidR="00B23A01" w:rsidRPr="00B23A01">
                <w:rPr>
                  <w:noProof/>
                </w:rPr>
                <w:t>[55]</w:t>
              </w:r>
              <w:r w:rsidR="00566FB7">
                <w:fldChar w:fldCharType="end"/>
              </w:r>
            </w:sdtContent>
          </w:sdt>
          <w:r w:rsidR="00566FB7">
            <w:t>,</w:t>
          </w:r>
          <w:r w:rsidRPr="002534D7">
            <w:t xml:space="preserve"> provides the methodology and parameters that were used to develop the activity concentration values provided in Safety Guide</w:t>
          </w:r>
          <w:r w:rsidR="00B71E7D">
            <w:t>s</w:t>
          </w:r>
          <w:r w:rsidRPr="002534D7">
            <w:t xml:space="preserve"> </w:t>
          </w:r>
          <w:r w:rsidR="00600AB0">
            <w:t>G</w:t>
          </w:r>
          <w:r w:rsidR="00600AB0" w:rsidRPr="002534D7">
            <w:t>S</w:t>
          </w:r>
          <w:r w:rsidRPr="002534D7">
            <w:t>G-17</w:t>
          </w:r>
          <w:r w:rsidR="00600AB0">
            <w:t xml:space="preserve"> and GSG-18</w:t>
          </w:r>
          <w:r w:rsidR="00333002">
            <w:t xml:space="preserve"> </w:t>
          </w:r>
          <w:sdt>
            <w:sdtPr>
              <w:id w:val="-808629846"/>
              <w:citation/>
            </w:sdtPr>
            <w:sdtEndPr/>
            <w:sdtContent>
              <w:r w:rsidR="00333002">
                <w:fldChar w:fldCharType="begin"/>
              </w:r>
              <w:r w:rsidR="00333002">
                <w:instrText xml:space="preserve"> CITATION IAE232 \l 2057  \m IAE233</w:instrText>
              </w:r>
              <w:r w:rsidR="00333002">
                <w:fldChar w:fldCharType="separate"/>
              </w:r>
              <w:r w:rsidR="00B23A01" w:rsidRPr="00B23A01">
                <w:rPr>
                  <w:noProof/>
                </w:rPr>
                <w:t>[48, 49]</w:t>
              </w:r>
              <w:r w:rsidR="00333002">
                <w:fldChar w:fldCharType="end"/>
              </w:r>
            </w:sdtContent>
          </w:sdt>
          <w:r w:rsidRPr="002534D7">
            <w:t xml:space="preserve">. </w:t>
          </w:r>
        </w:p>
        <w:p w14:paraId="1AF44AB0" w14:textId="77777777" w:rsidR="00566FB7" w:rsidRDefault="00566FB7" w:rsidP="008D36D3">
          <w:pPr>
            <w:pStyle w:val="Bulletlist1"/>
            <w:sectPr w:rsidR="00566FB7" w:rsidSect="003F70EC">
              <w:endnotePr>
                <w:numFmt w:val="decimal"/>
              </w:endnotePr>
              <w:pgSz w:w="11906" w:h="16838" w:code="9"/>
              <w:pgMar w:top="1440" w:right="1440" w:bottom="1440" w:left="1440" w:header="397" w:footer="397" w:gutter="0"/>
              <w:cols w:space="312"/>
              <w:docGrid w:linePitch="360"/>
            </w:sectPr>
          </w:pPr>
        </w:p>
        <w:p w14:paraId="5CEB125F" w14:textId="6DDD7C97" w:rsidR="00F860DD" w:rsidRPr="002534D7" w:rsidRDefault="00F860DD" w:rsidP="008D36D3">
          <w:pPr>
            <w:pStyle w:val="Bulletlist1"/>
          </w:pPr>
          <w:r w:rsidRPr="002534D7">
            <w:lastRenderedPageBreak/>
            <w:t>SRS No. 64</w:t>
          </w:r>
          <w:r w:rsidR="00566FB7">
            <w:t>,</w:t>
          </w:r>
          <w:r w:rsidRPr="002534D7">
            <w:t xml:space="preserve"> </w:t>
          </w:r>
          <w:r w:rsidR="00566FB7">
            <w:t>‘</w:t>
          </w:r>
          <w:r w:rsidRPr="002534D7">
            <w:t>Programmes and Systems for Source and Environmental Radiation Monitoring</w:t>
          </w:r>
          <w:r w:rsidR="00566FB7">
            <w:t xml:space="preserve">’ </w:t>
          </w:r>
          <w:sdt>
            <w:sdtPr>
              <w:id w:val="671226873"/>
              <w:citation/>
            </w:sdtPr>
            <w:sdtEndPr/>
            <w:sdtContent>
              <w:r w:rsidR="0041645D">
                <w:fldChar w:fldCharType="begin"/>
              </w:r>
              <w:r w:rsidR="0041645D">
                <w:instrText xml:space="preserve"> CITATION IAE101 \l 2057 </w:instrText>
              </w:r>
              <w:r w:rsidR="0041645D">
                <w:fldChar w:fldCharType="separate"/>
              </w:r>
              <w:r w:rsidR="00B23A01" w:rsidRPr="00B23A01">
                <w:rPr>
                  <w:noProof/>
                </w:rPr>
                <w:t>[56]</w:t>
              </w:r>
              <w:r w:rsidR="0041645D">
                <w:fldChar w:fldCharType="end"/>
              </w:r>
            </w:sdtContent>
          </w:sdt>
          <w:r w:rsidR="00566FB7">
            <w:t>,</w:t>
          </w:r>
          <w:r w:rsidRPr="002534D7">
            <w:t xml:space="preserve"> provides detailed practical information on the design and operation of source and environmental monitoring programmes and systems, supporting Safety Guide RS-G-1.8</w:t>
          </w:r>
          <w:r w:rsidR="00566FB7">
            <w:t xml:space="preserve"> </w:t>
          </w:r>
          <w:sdt>
            <w:sdtPr>
              <w:id w:val="579329487"/>
              <w:citation/>
            </w:sdtPr>
            <w:sdtEndPr/>
            <w:sdtContent>
              <w:r w:rsidR="00566FB7">
                <w:fldChar w:fldCharType="begin"/>
              </w:r>
              <w:r w:rsidR="00566FB7">
                <w:instrText xml:space="preserve"> CITATION IAE058 \l 2057 </w:instrText>
              </w:r>
              <w:r w:rsidR="00566FB7">
                <w:fldChar w:fldCharType="separate"/>
              </w:r>
              <w:r w:rsidR="00B23A01" w:rsidRPr="00B23A01">
                <w:rPr>
                  <w:noProof/>
                </w:rPr>
                <w:t>[51]</w:t>
              </w:r>
              <w:r w:rsidR="00566FB7">
                <w:fldChar w:fldCharType="end"/>
              </w:r>
            </w:sdtContent>
          </w:sdt>
          <w:r w:rsidRPr="002534D7">
            <w:t xml:space="preserve">. </w:t>
          </w:r>
        </w:p>
        <w:p w14:paraId="412C9BEE" w14:textId="21593D77" w:rsidR="00F860DD" w:rsidRPr="002534D7" w:rsidRDefault="00F860DD" w:rsidP="008D36D3">
          <w:pPr>
            <w:pStyle w:val="Bulletlist1"/>
          </w:pPr>
          <w:r w:rsidRPr="002534D7">
            <w:t>SRS No. 67</w:t>
          </w:r>
          <w:r w:rsidR="00556B23">
            <w:t xml:space="preserve">, </w:t>
          </w:r>
          <w:r w:rsidRPr="002534D7">
            <w:t xml:space="preserve"> </w:t>
          </w:r>
          <w:r w:rsidR="00556B23">
            <w:t>‘</w:t>
          </w:r>
          <w:r w:rsidRPr="002534D7">
            <w:t>Monitoring for Compliance with Exemption and Clearance Levels</w:t>
          </w:r>
          <w:r w:rsidR="00556B23">
            <w:t xml:space="preserve">’ </w:t>
          </w:r>
          <w:sdt>
            <w:sdtPr>
              <w:id w:val="2126807102"/>
              <w:citation/>
            </w:sdtPr>
            <w:sdtEndPr/>
            <w:sdtContent>
              <w:r w:rsidR="006A5DFF">
                <w:fldChar w:fldCharType="begin"/>
              </w:r>
              <w:r w:rsidR="006A5DFF">
                <w:instrText xml:space="preserve"> CITATION IAE122 \l 2057 </w:instrText>
              </w:r>
              <w:r w:rsidR="006A5DFF">
                <w:fldChar w:fldCharType="separate"/>
              </w:r>
              <w:r w:rsidR="00B23A01" w:rsidRPr="00B23A01">
                <w:rPr>
                  <w:noProof/>
                </w:rPr>
                <w:t>[57]</w:t>
              </w:r>
              <w:r w:rsidR="006A5DFF">
                <w:fldChar w:fldCharType="end"/>
              </w:r>
            </w:sdtContent>
          </w:sdt>
          <w:r w:rsidR="00556B23">
            <w:t xml:space="preserve">, </w:t>
          </w:r>
          <w:r w:rsidRPr="002534D7">
            <w:t>provides practical information on the application of the exemption and clearance levels set out in Safety Guide</w:t>
          </w:r>
          <w:r w:rsidR="00B71E7D">
            <w:t>s</w:t>
          </w:r>
          <w:r w:rsidRPr="002534D7">
            <w:t xml:space="preserve"> </w:t>
          </w:r>
          <w:r w:rsidR="00B71E7D">
            <w:t>G</w:t>
          </w:r>
          <w:r w:rsidR="00B71E7D" w:rsidRPr="002534D7">
            <w:t>SG-17</w:t>
          </w:r>
          <w:r w:rsidR="00B71E7D">
            <w:t xml:space="preserve"> and GSG-18</w:t>
          </w:r>
          <w:r w:rsidR="00E316E8">
            <w:t xml:space="preserve"> </w:t>
          </w:r>
          <w:sdt>
            <w:sdtPr>
              <w:id w:val="-1801527022"/>
              <w:citation/>
            </w:sdtPr>
            <w:sdtEndPr/>
            <w:sdtContent>
              <w:r w:rsidR="00E316E8">
                <w:fldChar w:fldCharType="begin"/>
              </w:r>
              <w:r w:rsidR="00E316E8">
                <w:instrText xml:space="preserve"> CITATION IAE232 \l 2057  \m IAE233</w:instrText>
              </w:r>
              <w:r w:rsidR="00E316E8">
                <w:fldChar w:fldCharType="separate"/>
              </w:r>
              <w:r w:rsidR="00B23A01" w:rsidRPr="00B23A01">
                <w:rPr>
                  <w:noProof/>
                </w:rPr>
                <w:t>[48, 49]</w:t>
              </w:r>
              <w:r w:rsidR="00E316E8">
                <w:fldChar w:fldCharType="end"/>
              </w:r>
            </w:sdtContent>
          </w:sdt>
          <w:r w:rsidRPr="002534D7">
            <w:t xml:space="preserve">, and activities for the demonstration of compliance with these levels. </w:t>
          </w:r>
        </w:p>
        <w:p w14:paraId="6766D5FF" w14:textId="0F6BB270" w:rsidR="00F860DD" w:rsidRPr="002534D7" w:rsidRDefault="00F860DD" w:rsidP="008D36D3">
          <w:pPr>
            <w:pStyle w:val="Bulletlist1"/>
          </w:pPr>
          <w:r w:rsidRPr="002534D7">
            <w:t>SRS No. 72</w:t>
          </w:r>
          <w:r w:rsidR="006A5DFF">
            <w:t>,</w:t>
          </w:r>
          <w:r w:rsidRPr="002534D7">
            <w:t xml:space="preserve"> </w:t>
          </w:r>
          <w:r w:rsidR="006A5DFF">
            <w:t>‘</w:t>
          </w:r>
          <w:r w:rsidRPr="002534D7">
            <w:t>Monitoring for Compliance with Remediation Criteria for Sites</w:t>
          </w:r>
          <w:r w:rsidR="006A5DFF">
            <w:t xml:space="preserve">’ </w:t>
          </w:r>
          <w:sdt>
            <w:sdtPr>
              <w:id w:val="953906438"/>
              <w:citation/>
            </w:sdtPr>
            <w:sdtEndPr/>
            <w:sdtContent>
              <w:r w:rsidR="000F44A9">
                <w:fldChar w:fldCharType="begin"/>
              </w:r>
              <w:r w:rsidR="000F44A9">
                <w:instrText xml:space="preserve"> CITATION IAE123 \l 2057 </w:instrText>
              </w:r>
              <w:r w:rsidR="000F44A9">
                <w:fldChar w:fldCharType="separate"/>
              </w:r>
              <w:r w:rsidR="00B23A01" w:rsidRPr="00B23A01">
                <w:rPr>
                  <w:noProof/>
                </w:rPr>
                <w:t>[58]</w:t>
              </w:r>
              <w:r w:rsidR="000F44A9">
                <w:fldChar w:fldCharType="end"/>
              </w:r>
            </w:sdtContent>
          </w:sdt>
          <w:r w:rsidR="006A5DFF">
            <w:t>,</w:t>
          </w:r>
          <w:r w:rsidRPr="002534D7">
            <w:t xml:space="preserve"> provides practical advice on the development and implementation of strategies for monitoring for compliance with remediation criteria set out in WS-G-3.1 </w:t>
          </w:r>
          <w:sdt>
            <w:sdtPr>
              <w:id w:val="823861170"/>
              <w:citation/>
            </w:sdtPr>
            <w:sdtEndPr/>
            <w:sdtContent>
              <w:r w:rsidR="007D3376">
                <w:fldChar w:fldCharType="begin"/>
              </w:r>
              <w:r w:rsidR="007D3376">
                <w:instrText xml:space="preserve"> CITATION IAE074 \l 2057 </w:instrText>
              </w:r>
              <w:r w:rsidR="007D3376">
                <w:fldChar w:fldCharType="separate"/>
              </w:r>
              <w:r w:rsidR="00B23A01" w:rsidRPr="00B23A01">
                <w:rPr>
                  <w:noProof/>
                </w:rPr>
                <w:t>[52]</w:t>
              </w:r>
              <w:r w:rsidR="007D3376">
                <w:fldChar w:fldCharType="end"/>
              </w:r>
            </w:sdtContent>
          </w:sdt>
          <w:r w:rsidR="007D3376">
            <w:t xml:space="preserve"> </w:t>
          </w:r>
          <w:r w:rsidRPr="002534D7">
            <w:t xml:space="preserve">after completion of remediation activities. </w:t>
          </w:r>
        </w:p>
        <w:p w14:paraId="6F2C7DFC" w14:textId="11F68C14" w:rsidR="00F860DD" w:rsidRPr="002534D7" w:rsidRDefault="00F860DD" w:rsidP="008D36D3">
          <w:pPr>
            <w:pStyle w:val="Bulletlist1"/>
          </w:pPr>
          <w:r w:rsidRPr="002534D7">
            <w:t>TRS No. 424</w:t>
          </w:r>
          <w:r w:rsidR="000F44A9">
            <w:t>,</w:t>
          </w:r>
          <w:r w:rsidRPr="002534D7">
            <w:t xml:space="preserve"> </w:t>
          </w:r>
          <w:r w:rsidR="000F44A9">
            <w:t>‘</w:t>
          </w:r>
          <w:r w:rsidRPr="002534D7">
            <w:t>Remediation of Sites with Dispersed Radioactive Contamination</w:t>
          </w:r>
          <w:r w:rsidR="000F44A9">
            <w:t>’</w:t>
          </w:r>
          <w:r w:rsidR="000C71B8">
            <w:t xml:space="preserve"> </w:t>
          </w:r>
          <w:sdt>
            <w:sdtPr>
              <w:id w:val="1956211194"/>
              <w:citation/>
            </w:sdtPr>
            <w:sdtEndPr/>
            <w:sdtContent>
              <w:r w:rsidR="000C71B8">
                <w:fldChar w:fldCharType="begin"/>
              </w:r>
              <w:r w:rsidR="000C71B8">
                <w:instrText xml:space="preserve"> CITATION IAE048 \l 2057 </w:instrText>
              </w:r>
              <w:r w:rsidR="000C71B8">
                <w:fldChar w:fldCharType="separate"/>
              </w:r>
              <w:r w:rsidR="00B23A01" w:rsidRPr="00B23A01">
                <w:rPr>
                  <w:noProof/>
                </w:rPr>
                <w:t>[59]</w:t>
              </w:r>
              <w:r w:rsidR="000C71B8">
                <w:fldChar w:fldCharType="end"/>
              </w:r>
            </w:sdtContent>
          </w:sdt>
          <w:r w:rsidR="000F44A9">
            <w:t xml:space="preserve">, </w:t>
          </w:r>
          <w:r w:rsidRPr="002534D7">
            <w:t xml:space="preserve">describes remediation techniques that are applicable to dispersed radioactive contamination at a variety of sites, including surface soil, the vadose zone, surface water, sediments and groundwater. </w:t>
          </w:r>
        </w:p>
        <w:p w14:paraId="18EA3166" w14:textId="74E663EE" w:rsidR="00F860DD" w:rsidRPr="002534D7" w:rsidRDefault="00F860DD" w:rsidP="008D36D3">
          <w:pPr>
            <w:pStyle w:val="Bulletlist1"/>
          </w:pPr>
          <w:r w:rsidRPr="002534D7">
            <w:t>TRS No. 445</w:t>
          </w:r>
          <w:r w:rsidR="000C71B8">
            <w:t>,</w:t>
          </w:r>
          <w:r w:rsidRPr="002534D7">
            <w:t xml:space="preserve"> </w:t>
          </w:r>
          <w:r w:rsidR="000C71B8">
            <w:t>‘</w:t>
          </w:r>
          <w:r w:rsidRPr="002534D7">
            <w:t>Applicability of Monitored Natural Attenuation at Radioactively Contaminated Sites</w:t>
          </w:r>
          <w:r w:rsidR="000C71B8">
            <w:t>’</w:t>
          </w:r>
          <w:r w:rsidR="00D86B6F">
            <w:t xml:space="preserve"> </w:t>
          </w:r>
          <w:sdt>
            <w:sdtPr>
              <w:id w:val="1434473670"/>
              <w:citation/>
            </w:sdtPr>
            <w:sdtEndPr/>
            <w:sdtContent>
              <w:r w:rsidR="00D86B6F">
                <w:fldChar w:fldCharType="begin"/>
              </w:r>
              <w:r w:rsidR="00D86B6F">
                <w:instrText xml:space="preserve"> CITATION IAE069 \l 2057 </w:instrText>
              </w:r>
              <w:r w:rsidR="00D86B6F">
                <w:fldChar w:fldCharType="separate"/>
              </w:r>
              <w:r w:rsidR="00B23A01" w:rsidRPr="00B23A01">
                <w:rPr>
                  <w:noProof/>
                </w:rPr>
                <w:t>[60]</w:t>
              </w:r>
              <w:r w:rsidR="00D86B6F">
                <w:fldChar w:fldCharType="end"/>
              </w:r>
            </w:sdtContent>
          </w:sdt>
          <w:r w:rsidR="000C71B8">
            <w:t>,</w:t>
          </w:r>
          <w:r w:rsidRPr="002534D7">
            <w:t xml:space="preserve"> discusses the mechanisms effecting natural attenuation, the applicability or otherwise of natural attenuation strategies, uncertainties in parameter estimation, Monitored Natural Attenuation (MNA) assessment methods and related monitoring requirements. </w:t>
          </w:r>
        </w:p>
        <w:p w14:paraId="6B75CB7A" w14:textId="3131EEBF" w:rsidR="00F860DD" w:rsidRDefault="00F860DD" w:rsidP="008D36D3">
          <w:pPr>
            <w:pStyle w:val="Bulletlist1"/>
          </w:pPr>
          <w:r w:rsidRPr="002534D7">
            <w:t>TRS No. 475</w:t>
          </w:r>
          <w:r w:rsidR="00D86B6F">
            <w:t>,</w:t>
          </w:r>
          <w:r w:rsidRPr="002534D7">
            <w:t xml:space="preserve"> </w:t>
          </w:r>
          <w:r w:rsidR="00D86B6F">
            <w:t>‘</w:t>
          </w:r>
          <w:r w:rsidRPr="002534D7">
            <w:t>Guidelines for Remediation Strategies to Reduce the Radiological Consequences of Environmental Contamination</w:t>
          </w:r>
          <w:r w:rsidR="00D86B6F">
            <w:t xml:space="preserve">’ </w:t>
          </w:r>
          <w:sdt>
            <w:sdtPr>
              <w:id w:val="-2054837966"/>
              <w:citation/>
            </w:sdtPr>
            <w:sdtEndPr/>
            <w:sdtContent>
              <w:r w:rsidR="00A751FB">
                <w:fldChar w:fldCharType="begin"/>
              </w:r>
              <w:r w:rsidR="00A751FB">
                <w:instrText xml:space="preserve"> CITATION IAE133 \l 2057 </w:instrText>
              </w:r>
              <w:r w:rsidR="00A751FB">
                <w:fldChar w:fldCharType="separate"/>
              </w:r>
              <w:r w:rsidR="00B23A01" w:rsidRPr="00B23A01">
                <w:rPr>
                  <w:noProof/>
                </w:rPr>
                <w:t>[61]</w:t>
              </w:r>
              <w:r w:rsidR="00A751FB">
                <w:fldChar w:fldCharType="end"/>
              </w:r>
            </w:sdtContent>
          </w:sdt>
          <w:r w:rsidR="00D86B6F">
            <w:t>,</w:t>
          </w:r>
          <w:r w:rsidRPr="002534D7">
            <w:t xml:space="preserve"> provides information on available management options for remediation of land contaminated with radioactive substances, guidelines on the formulation of sustainable remediation strategies and guides readers to other relevant IAEA publications providing detailed information on different aspects of remediation</w:t>
          </w:r>
          <w:r>
            <w:t>.</w:t>
          </w:r>
        </w:p>
        <w:p w14:paraId="764A92C1" w14:textId="77777777" w:rsidR="00A751FB" w:rsidRDefault="00A751FB" w:rsidP="00A751FB">
          <w:pPr>
            <w:pStyle w:val="Bulletlist1"/>
            <w:numPr>
              <w:ilvl w:val="0"/>
              <w:numId w:val="0"/>
            </w:numPr>
            <w:ind w:left="1418" w:hanging="357"/>
            <w:sectPr w:rsidR="00A751FB" w:rsidSect="003F70EC">
              <w:endnotePr>
                <w:numFmt w:val="decimal"/>
              </w:endnotePr>
              <w:pgSz w:w="11906" w:h="16838" w:code="9"/>
              <w:pgMar w:top="1440" w:right="1440" w:bottom="1440" w:left="1440" w:header="397" w:footer="397" w:gutter="0"/>
              <w:cols w:space="312"/>
              <w:docGrid w:linePitch="360"/>
            </w:sectPr>
          </w:pPr>
        </w:p>
        <w:bookmarkStart w:id="55" w:name="_Toc183698834" w:displacedByCustomXml="next"/>
        <w:sdt>
          <w:sdtPr>
            <w:rPr>
              <w:color w:val="auto"/>
              <w:sz w:val="24"/>
            </w:rPr>
            <w:id w:val="-858580325"/>
            <w:docPartObj>
              <w:docPartGallery w:val="Bibliographies"/>
              <w:docPartUnique/>
            </w:docPartObj>
          </w:sdtPr>
          <w:sdtEndPr/>
          <w:sdtContent>
            <w:p w14:paraId="5186E149" w14:textId="416F5058" w:rsidR="00A751FB" w:rsidRDefault="00A751FB" w:rsidP="00A751FB">
              <w:pPr>
                <w:pStyle w:val="Heading1"/>
                <w:numPr>
                  <w:ilvl w:val="0"/>
                  <w:numId w:val="0"/>
                </w:numPr>
                <w:ind w:left="851" w:hanging="851"/>
              </w:pPr>
              <w:r>
                <w:t>References</w:t>
              </w:r>
              <w:bookmarkEnd w:id="55"/>
            </w:p>
            <w:sdt>
              <w:sdtPr>
                <w:id w:val="-2078970980"/>
                <w:bibliography/>
              </w:sdtPr>
              <w:sdtEndPr/>
              <w:sdtContent>
                <w:p w14:paraId="19BD71FE" w14:textId="77777777" w:rsidR="00B23A01" w:rsidRDefault="00A751FB">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1"/>
                    <w:gridCol w:w="8735"/>
                  </w:tblGrid>
                  <w:tr w:rsidR="00B23A01" w14:paraId="0C472090" w14:textId="77777777">
                    <w:trPr>
                      <w:divId w:val="468667769"/>
                      <w:tblCellSpacing w:w="15" w:type="dxa"/>
                    </w:trPr>
                    <w:tc>
                      <w:tcPr>
                        <w:tcW w:w="50" w:type="pct"/>
                        <w:hideMark/>
                      </w:tcPr>
                      <w:p w14:paraId="31E7157B" w14:textId="1EBED350" w:rsidR="00B23A01" w:rsidRDefault="00B23A01">
                        <w:pPr>
                          <w:pStyle w:val="Bibliography"/>
                          <w:rPr>
                            <w:noProof/>
                            <w:szCs w:val="24"/>
                          </w:rPr>
                        </w:pPr>
                        <w:r>
                          <w:rPr>
                            <w:noProof/>
                          </w:rPr>
                          <w:t xml:space="preserve">[1] </w:t>
                        </w:r>
                      </w:p>
                    </w:tc>
                    <w:tc>
                      <w:tcPr>
                        <w:tcW w:w="0" w:type="auto"/>
                        <w:hideMark/>
                      </w:tcPr>
                      <w:p w14:paraId="092FDD3D" w14:textId="77777777" w:rsidR="00B23A01" w:rsidRDefault="00B23A01">
                        <w:pPr>
                          <w:pStyle w:val="Bibliography"/>
                          <w:rPr>
                            <w:noProof/>
                          </w:rPr>
                        </w:pPr>
                        <w:r>
                          <w:rPr>
                            <w:noProof/>
                          </w:rPr>
                          <w:t>ONR, “Safety Assessment Principles for Nuclear Facilities. 2014 Edition Revision 1, Office for Nuclear Regulation,” January 2020. [Online]. Available: www.onr.org.uk/saps/saps2014.pdf.</w:t>
                        </w:r>
                      </w:p>
                    </w:tc>
                  </w:tr>
                  <w:tr w:rsidR="00B23A01" w14:paraId="2C1CE695" w14:textId="77777777">
                    <w:trPr>
                      <w:divId w:val="468667769"/>
                      <w:tblCellSpacing w:w="15" w:type="dxa"/>
                    </w:trPr>
                    <w:tc>
                      <w:tcPr>
                        <w:tcW w:w="50" w:type="pct"/>
                        <w:hideMark/>
                      </w:tcPr>
                      <w:p w14:paraId="1FB8FF05" w14:textId="77777777" w:rsidR="00B23A01" w:rsidRDefault="00B23A01">
                        <w:pPr>
                          <w:pStyle w:val="Bibliography"/>
                          <w:rPr>
                            <w:noProof/>
                          </w:rPr>
                        </w:pPr>
                        <w:r>
                          <w:rPr>
                            <w:noProof/>
                          </w:rPr>
                          <w:t xml:space="preserve">[2] </w:t>
                        </w:r>
                      </w:p>
                    </w:tc>
                    <w:tc>
                      <w:tcPr>
                        <w:tcW w:w="0" w:type="auto"/>
                        <w:hideMark/>
                      </w:tcPr>
                      <w:p w14:paraId="171C19F7" w14:textId="77777777" w:rsidR="00B23A01" w:rsidRDefault="00B23A01">
                        <w:pPr>
                          <w:pStyle w:val="Bibliography"/>
                          <w:rPr>
                            <w:noProof/>
                          </w:rPr>
                        </w:pPr>
                        <w:r>
                          <w:rPr>
                            <w:noProof/>
                          </w:rPr>
                          <w:t>ONR, EA, “Memorandum of Understanding between ONR and EA on matters of mutual interest in England,” August 2015. [Online]. Available: http://www.onr.org.uk/documents/2015/mou-onr-ea-180815.pdf.</w:t>
                        </w:r>
                      </w:p>
                    </w:tc>
                  </w:tr>
                  <w:tr w:rsidR="00B23A01" w14:paraId="06E3E816" w14:textId="77777777">
                    <w:trPr>
                      <w:divId w:val="468667769"/>
                      <w:tblCellSpacing w:w="15" w:type="dxa"/>
                    </w:trPr>
                    <w:tc>
                      <w:tcPr>
                        <w:tcW w:w="50" w:type="pct"/>
                        <w:hideMark/>
                      </w:tcPr>
                      <w:p w14:paraId="6BC6B167" w14:textId="77777777" w:rsidR="00B23A01" w:rsidRDefault="00B23A01">
                        <w:pPr>
                          <w:pStyle w:val="Bibliography"/>
                          <w:rPr>
                            <w:noProof/>
                          </w:rPr>
                        </w:pPr>
                        <w:r>
                          <w:rPr>
                            <w:noProof/>
                          </w:rPr>
                          <w:t xml:space="preserve">[3] </w:t>
                        </w:r>
                      </w:p>
                    </w:tc>
                    <w:tc>
                      <w:tcPr>
                        <w:tcW w:w="0" w:type="auto"/>
                        <w:hideMark/>
                      </w:tcPr>
                      <w:p w14:paraId="40909D00" w14:textId="77777777" w:rsidR="00B23A01" w:rsidRDefault="00B23A01">
                        <w:pPr>
                          <w:pStyle w:val="Bibliography"/>
                          <w:rPr>
                            <w:noProof/>
                          </w:rPr>
                        </w:pPr>
                        <w:r>
                          <w:rPr>
                            <w:noProof/>
                          </w:rPr>
                          <w:t>ONR, SEPA, “Memorandum of Understanding between ONR and SEPA on matters of mutual interest in Scotland,” January 2019. [Online]. Available: http://www.onr.org.uk/documents/2019/mou-onr-sepa.pdf.</w:t>
                        </w:r>
                      </w:p>
                    </w:tc>
                  </w:tr>
                  <w:tr w:rsidR="00B23A01" w14:paraId="73EB9011" w14:textId="77777777">
                    <w:trPr>
                      <w:divId w:val="468667769"/>
                      <w:tblCellSpacing w:w="15" w:type="dxa"/>
                    </w:trPr>
                    <w:tc>
                      <w:tcPr>
                        <w:tcW w:w="50" w:type="pct"/>
                        <w:hideMark/>
                      </w:tcPr>
                      <w:p w14:paraId="704B5AB9" w14:textId="77777777" w:rsidR="00B23A01" w:rsidRDefault="00B23A01">
                        <w:pPr>
                          <w:pStyle w:val="Bibliography"/>
                          <w:rPr>
                            <w:noProof/>
                          </w:rPr>
                        </w:pPr>
                        <w:r>
                          <w:rPr>
                            <w:noProof/>
                          </w:rPr>
                          <w:t xml:space="preserve">[4] </w:t>
                        </w:r>
                      </w:p>
                    </w:tc>
                    <w:tc>
                      <w:tcPr>
                        <w:tcW w:w="0" w:type="auto"/>
                        <w:hideMark/>
                      </w:tcPr>
                      <w:p w14:paraId="15E45708" w14:textId="77777777" w:rsidR="00B23A01" w:rsidRDefault="00B23A01">
                        <w:pPr>
                          <w:pStyle w:val="Bibliography"/>
                          <w:rPr>
                            <w:noProof/>
                          </w:rPr>
                        </w:pPr>
                        <w:r>
                          <w:rPr>
                            <w:noProof/>
                          </w:rPr>
                          <w:t>ONR, NRW, “Memorandum of Understanding between ONR and NRW on matters of mutual interest in Wales,” February 2015. [Online]. Available: http://www.onr.org.uk/documents/2015/nrw-mou.pdf.</w:t>
                        </w:r>
                      </w:p>
                    </w:tc>
                  </w:tr>
                  <w:tr w:rsidR="00B23A01" w14:paraId="591479FF" w14:textId="77777777">
                    <w:trPr>
                      <w:divId w:val="468667769"/>
                      <w:tblCellSpacing w:w="15" w:type="dxa"/>
                    </w:trPr>
                    <w:tc>
                      <w:tcPr>
                        <w:tcW w:w="50" w:type="pct"/>
                        <w:hideMark/>
                      </w:tcPr>
                      <w:p w14:paraId="2F02C4ED" w14:textId="77777777" w:rsidR="00B23A01" w:rsidRDefault="00B23A01">
                        <w:pPr>
                          <w:pStyle w:val="Bibliography"/>
                          <w:rPr>
                            <w:noProof/>
                          </w:rPr>
                        </w:pPr>
                        <w:r>
                          <w:rPr>
                            <w:noProof/>
                          </w:rPr>
                          <w:t xml:space="preserve">[5] </w:t>
                        </w:r>
                      </w:p>
                    </w:tc>
                    <w:tc>
                      <w:tcPr>
                        <w:tcW w:w="0" w:type="auto"/>
                        <w:hideMark/>
                      </w:tcPr>
                      <w:p w14:paraId="18498F8B" w14:textId="77777777" w:rsidR="00B23A01" w:rsidRDefault="00B23A01">
                        <w:pPr>
                          <w:pStyle w:val="Bibliography"/>
                          <w:rPr>
                            <w:noProof/>
                          </w:rPr>
                        </w:pPr>
                        <w:r>
                          <w:rPr>
                            <w:noProof/>
                          </w:rPr>
                          <w:t xml:space="preserve">ONR, “ONR-INSP-GD-061 - Guidance to support the Joint Regulatory Memorandum of Understanding between ONR and EA on Matters of Mutual Interest in England,” [Online]. </w:t>
                        </w:r>
                      </w:p>
                    </w:tc>
                  </w:tr>
                  <w:tr w:rsidR="00B23A01" w14:paraId="700117D3" w14:textId="77777777">
                    <w:trPr>
                      <w:divId w:val="468667769"/>
                      <w:tblCellSpacing w:w="15" w:type="dxa"/>
                    </w:trPr>
                    <w:tc>
                      <w:tcPr>
                        <w:tcW w:w="50" w:type="pct"/>
                        <w:hideMark/>
                      </w:tcPr>
                      <w:p w14:paraId="019915D0" w14:textId="77777777" w:rsidR="00B23A01" w:rsidRDefault="00B23A01">
                        <w:pPr>
                          <w:pStyle w:val="Bibliography"/>
                          <w:rPr>
                            <w:noProof/>
                          </w:rPr>
                        </w:pPr>
                        <w:r>
                          <w:rPr>
                            <w:noProof/>
                          </w:rPr>
                          <w:t xml:space="preserve">[6] </w:t>
                        </w:r>
                      </w:p>
                    </w:tc>
                    <w:tc>
                      <w:tcPr>
                        <w:tcW w:w="0" w:type="auto"/>
                        <w:hideMark/>
                      </w:tcPr>
                      <w:p w14:paraId="68E68ECC" w14:textId="77777777" w:rsidR="00B23A01" w:rsidRDefault="00B23A01">
                        <w:pPr>
                          <w:pStyle w:val="Bibliography"/>
                          <w:rPr>
                            <w:noProof/>
                          </w:rPr>
                        </w:pPr>
                        <w:r>
                          <w:rPr>
                            <w:noProof/>
                          </w:rPr>
                          <w:t xml:space="preserve">ONR, “ONR-INSP-GD-062 - Guidance to support the Joint Regulatory Memorandum of Understanding between ONR and SEPA on Matters of Mutual Interest in England,” [Online]. </w:t>
                        </w:r>
                      </w:p>
                    </w:tc>
                  </w:tr>
                  <w:tr w:rsidR="00B23A01" w14:paraId="7A24C1C5" w14:textId="77777777">
                    <w:trPr>
                      <w:divId w:val="468667769"/>
                      <w:tblCellSpacing w:w="15" w:type="dxa"/>
                    </w:trPr>
                    <w:tc>
                      <w:tcPr>
                        <w:tcW w:w="50" w:type="pct"/>
                        <w:hideMark/>
                      </w:tcPr>
                      <w:p w14:paraId="74FBFEA6" w14:textId="77777777" w:rsidR="00B23A01" w:rsidRDefault="00B23A01">
                        <w:pPr>
                          <w:pStyle w:val="Bibliography"/>
                          <w:rPr>
                            <w:noProof/>
                          </w:rPr>
                        </w:pPr>
                        <w:r>
                          <w:rPr>
                            <w:noProof/>
                          </w:rPr>
                          <w:t xml:space="preserve">[7] </w:t>
                        </w:r>
                      </w:p>
                    </w:tc>
                    <w:tc>
                      <w:tcPr>
                        <w:tcW w:w="0" w:type="auto"/>
                        <w:hideMark/>
                      </w:tcPr>
                      <w:p w14:paraId="02651008" w14:textId="77777777" w:rsidR="00B23A01" w:rsidRDefault="00B23A01">
                        <w:pPr>
                          <w:pStyle w:val="Bibliography"/>
                          <w:rPr>
                            <w:noProof/>
                          </w:rPr>
                        </w:pPr>
                        <w:r>
                          <w:rPr>
                            <w:noProof/>
                          </w:rPr>
                          <w:t xml:space="preserve">ONR, “ONR-INSP-GD-063 - Guidance to support the Joint Regulatory Memorandum of Understanding between ONR and NRW on Matters of Mutual Interest in England,” [Online]. </w:t>
                        </w:r>
                      </w:p>
                    </w:tc>
                  </w:tr>
                  <w:tr w:rsidR="00B23A01" w14:paraId="4AEC5294" w14:textId="77777777">
                    <w:trPr>
                      <w:divId w:val="468667769"/>
                      <w:tblCellSpacing w:w="15" w:type="dxa"/>
                    </w:trPr>
                    <w:tc>
                      <w:tcPr>
                        <w:tcW w:w="50" w:type="pct"/>
                        <w:hideMark/>
                      </w:tcPr>
                      <w:p w14:paraId="6F2A8B9E" w14:textId="77777777" w:rsidR="00B23A01" w:rsidRDefault="00B23A01">
                        <w:pPr>
                          <w:pStyle w:val="Bibliography"/>
                          <w:rPr>
                            <w:noProof/>
                          </w:rPr>
                        </w:pPr>
                        <w:r>
                          <w:rPr>
                            <w:noProof/>
                          </w:rPr>
                          <w:t xml:space="preserve">[8] </w:t>
                        </w:r>
                      </w:p>
                    </w:tc>
                    <w:tc>
                      <w:tcPr>
                        <w:tcW w:w="0" w:type="auto"/>
                        <w:hideMark/>
                      </w:tcPr>
                      <w:p w14:paraId="4E3B1047" w14:textId="77777777" w:rsidR="00B23A01" w:rsidRDefault="00B23A01">
                        <w:pPr>
                          <w:pStyle w:val="Bibliography"/>
                          <w:rPr>
                            <w:noProof/>
                          </w:rPr>
                        </w:pPr>
                        <w:r>
                          <w:rPr>
                            <w:noProof/>
                          </w:rPr>
                          <w:t>ONR, “Licence Condition Handbook,” February 2017. [Online]. Available: http://www.onr.org.uk/documents/licence-condition-handbook.pdf.</w:t>
                        </w:r>
                      </w:p>
                    </w:tc>
                  </w:tr>
                  <w:tr w:rsidR="00B23A01" w14:paraId="57A3FD25" w14:textId="77777777">
                    <w:trPr>
                      <w:divId w:val="468667769"/>
                      <w:tblCellSpacing w:w="15" w:type="dxa"/>
                    </w:trPr>
                    <w:tc>
                      <w:tcPr>
                        <w:tcW w:w="50" w:type="pct"/>
                        <w:hideMark/>
                      </w:tcPr>
                      <w:p w14:paraId="6728C8FC" w14:textId="77777777" w:rsidR="00B23A01" w:rsidRDefault="00B23A01">
                        <w:pPr>
                          <w:pStyle w:val="Bibliography"/>
                          <w:rPr>
                            <w:noProof/>
                          </w:rPr>
                        </w:pPr>
                        <w:r>
                          <w:rPr>
                            <w:noProof/>
                          </w:rPr>
                          <w:t xml:space="preserve">[9] </w:t>
                        </w:r>
                      </w:p>
                    </w:tc>
                    <w:tc>
                      <w:tcPr>
                        <w:tcW w:w="0" w:type="auto"/>
                        <w:hideMark/>
                      </w:tcPr>
                      <w:p w14:paraId="22B367DB" w14:textId="77777777" w:rsidR="00B23A01" w:rsidRDefault="00B23A01">
                        <w:pPr>
                          <w:pStyle w:val="Bibliography"/>
                          <w:rPr>
                            <w:noProof/>
                          </w:rPr>
                        </w:pPr>
                        <w:r>
                          <w:rPr>
                            <w:noProof/>
                          </w:rPr>
                          <w:t>UK Government, “Guidance on the scope of and exemptions from the radioactive substances legislation in the UK,” August 2018. [Online]. Available: https://www.gov.uk/government/publications/guidance-on-the-scope-of-and-exemptions-from-the-radioactive-substances-legislation-in-the-uk.</w:t>
                        </w:r>
                      </w:p>
                    </w:tc>
                  </w:tr>
                  <w:tr w:rsidR="00B23A01" w14:paraId="247DC743" w14:textId="77777777">
                    <w:trPr>
                      <w:divId w:val="468667769"/>
                      <w:tblCellSpacing w:w="15" w:type="dxa"/>
                    </w:trPr>
                    <w:tc>
                      <w:tcPr>
                        <w:tcW w:w="50" w:type="pct"/>
                        <w:hideMark/>
                      </w:tcPr>
                      <w:p w14:paraId="4933644F" w14:textId="77777777" w:rsidR="00B23A01" w:rsidRDefault="00B23A01">
                        <w:pPr>
                          <w:pStyle w:val="Bibliography"/>
                          <w:rPr>
                            <w:noProof/>
                          </w:rPr>
                        </w:pPr>
                        <w:r>
                          <w:rPr>
                            <w:noProof/>
                          </w:rPr>
                          <w:t xml:space="preserve">[10] </w:t>
                        </w:r>
                      </w:p>
                    </w:tc>
                    <w:tc>
                      <w:tcPr>
                        <w:tcW w:w="0" w:type="auto"/>
                        <w:hideMark/>
                      </w:tcPr>
                      <w:p w14:paraId="539C0BCE" w14:textId="77777777" w:rsidR="00B23A01" w:rsidRDefault="00B23A01">
                        <w:pPr>
                          <w:pStyle w:val="Bibliography"/>
                          <w:rPr>
                            <w:noProof/>
                          </w:rPr>
                        </w:pPr>
                        <w:r>
                          <w:rPr>
                            <w:noProof/>
                          </w:rPr>
                          <w:t xml:space="preserve">ONR, “NS-TAST-GD-005 - Regulation duties to reduce risks to ALARP,” [Online]. </w:t>
                        </w:r>
                      </w:p>
                    </w:tc>
                  </w:tr>
                  <w:tr w:rsidR="00B23A01" w14:paraId="71B92427" w14:textId="77777777">
                    <w:trPr>
                      <w:divId w:val="468667769"/>
                      <w:tblCellSpacing w:w="15" w:type="dxa"/>
                    </w:trPr>
                    <w:tc>
                      <w:tcPr>
                        <w:tcW w:w="50" w:type="pct"/>
                        <w:hideMark/>
                      </w:tcPr>
                      <w:p w14:paraId="08521EA0" w14:textId="77777777" w:rsidR="00B23A01" w:rsidRDefault="00B23A01">
                        <w:pPr>
                          <w:pStyle w:val="Bibliography"/>
                          <w:rPr>
                            <w:noProof/>
                          </w:rPr>
                        </w:pPr>
                        <w:r>
                          <w:rPr>
                            <w:noProof/>
                          </w:rPr>
                          <w:lastRenderedPageBreak/>
                          <w:t xml:space="preserve">[11] </w:t>
                        </w:r>
                      </w:p>
                    </w:tc>
                    <w:tc>
                      <w:tcPr>
                        <w:tcW w:w="0" w:type="auto"/>
                        <w:hideMark/>
                      </w:tcPr>
                      <w:p w14:paraId="516D85F7" w14:textId="77777777" w:rsidR="00B23A01" w:rsidRDefault="00B23A01">
                        <w:pPr>
                          <w:pStyle w:val="Bibliography"/>
                          <w:rPr>
                            <w:noProof/>
                          </w:rPr>
                        </w:pPr>
                        <w:r>
                          <w:rPr>
                            <w:noProof/>
                          </w:rPr>
                          <w:t>ONR, EA, NRW, SEPA, “Regulatory Expectations for Successful Land Quality Management at Nuclear Licensed Sites,” June 2014. [Online]. Available: www.onr.org.uk/documents/2014/land-quality-management.pdf.</w:t>
                        </w:r>
                      </w:p>
                    </w:tc>
                  </w:tr>
                  <w:tr w:rsidR="00B23A01" w14:paraId="2B168824" w14:textId="77777777">
                    <w:trPr>
                      <w:divId w:val="468667769"/>
                      <w:tblCellSpacing w:w="15" w:type="dxa"/>
                    </w:trPr>
                    <w:tc>
                      <w:tcPr>
                        <w:tcW w:w="50" w:type="pct"/>
                        <w:hideMark/>
                      </w:tcPr>
                      <w:p w14:paraId="66ACDAAF" w14:textId="77777777" w:rsidR="00B23A01" w:rsidRDefault="00B23A01">
                        <w:pPr>
                          <w:pStyle w:val="Bibliography"/>
                          <w:rPr>
                            <w:noProof/>
                          </w:rPr>
                        </w:pPr>
                        <w:r>
                          <w:rPr>
                            <w:noProof/>
                          </w:rPr>
                          <w:t xml:space="preserve">[12] </w:t>
                        </w:r>
                      </w:p>
                    </w:tc>
                    <w:tc>
                      <w:tcPr>
                        <w:tcW w:w="0" w:type="auto"/>
                        <w:hideMark/>
                      </w:tcPr>
                      <w:p w14:paraId="104E68C8" w14:textId="77777777" w:rsidR="00B23A01" w:rsidRDefault="00B23A01">
                        <w:pPr>
                          <w:pStyle w:val="Bibliography"/>
                          <w:rPr>
                            <w:noProof/>
                          </w:rPr>
                        </w:pPr>
                        <w:r>
                          <w:rPr>
                            <w:noProof/>
                          </w:rPr>
                          <w:t>ONR, EA, SEPA, NRW, “On-site disposal of solid radioactive waste on nuclear licensed sites. Joint regulators' statement of common understanding,” February 2021. [Online]. Available: http://www.onr.org.uk/documents/2021/joint-regulators-statement.pdf.</w:t>
                        </w:r>
                      </w:p>
                    </w:tc>
                  </w:tr>
                  <w:tr w:rsidR="00B23A01" w14:paraId="78F5B666" w14:textId="77777777">
                    <w:trPr>
                      <w:divId w:val="468667769"/>
                      <w:tblCellSpacing w:w="15" w:type="dxa"/>
                    </w:trPr>
                    <w:tc>
                      <w:tcPr>
                        <w:tcW w:w="50" w:type="pct"/>
                        <w:hideMark/>
                      </w:tcPr>
                      <w:p w14:paraId="1A718B7F" w14:textId="77777777" w:rsidR="00B23A01" w:rsidRDefault="00B23A01">
                        <w:pPr>
                          <w:pStyle w:val="Bibliography"/>
                          <w:rPr>
                            <w:noProof/>
                          </w:rPr>
                        </w:pPr>
                        <w:r>
                          <w:rPr>
                            <w:noProof/>
                          </w:rPr>
                          <w:t xml:space="preserve">[13] </w:t>
                        </w:r>
                      </w:p>
                    </w:tc>
                    <w:tc>
                      <w:tcPr>
                        <w:tcW w:w="0" w:type="auto"/>
                        <w:hideMark/>
                      </w:tcPr>
                      <w:p w14:paraId="11014661" w14:textId="77777777" w:rsidR="00B23A01" w:rsidRDefault="00B23A01">
                        <w:pPr>
                          <w:pStyle w:val="Bibliography"/>
                          <w:rPr>
                            <w:noProof/>
                          </w:rPr>
                        </w:pPr>
                        <w:r>
                          <w:rPr>
                            <w:noProof/>
                          </w:rPr>
                          <w:t>BEIS, “Environmental Protection Act 1990: Part IIA Contaminated Land - Radioactive Contaminated Land Statutory Guidance,” June 2018. [Online]. Available: https://assets.publishing.service.gov.uk/government/uploads/system/uploads/attachment_data/file/718848/RCL_Statutory_Guidance_Final_220618.pdf.</w:t>
                        </w:r>
                      </w:p>
                    </w:tc>
                  </w:tr>
                  <w:tr w:rsidR="00B23A01" w14:paraId="6BB4288C" w14:textId="77777777">
                    <w:trPr>
                      <w:divId w:val="468667769"/>
                      <w:tblCellSpacing w:w="15" w:type="dxa"/>
                    </w:trPr>
                    <w:tc>
                      <w:tcPr>
                        <w:tcW w:w="50" w:type="pct"/>
                        <w:hideMark/>
                      </w:tcPr>
                      <w:p w14:paraId="05636BFB" w14:textId="77777777" w:rsidR="00B23A01" w:rsidRDefault="00B23A01">
                        <w:pPr>
                          <w:pStyle w:val="Bibliography"/>
                          <w:rPr>
                            <w:noProof/>
                          </w:rPr>
                        </w:pPr>
                        <w:r>
                          <w:rPr>
                            <w:noProof/>
                          </w:rPr>
                          <w:t xml:space="preserve">[14] </w:t>
                        </w:r>
                      </w:p>
                    </w:tc>
                    <w:tc>
                      <w:tcPr>
                        <w:tcW w:w="0" w:type="auto"/>
                        <w:hideMark/>
                      </w:tcPr>
                      <w:p w14:paraId="523238A6" w14:textId="77777777" w:rsidR="00B23A01" w:rsidRDefault="00B23A01">
                        <w:pPr>
                          <w:pStyle w:val="Bibliography"/>
                          <w:rPr>
                            <w:noProof/>
                          </w:rPr>
                        </w:pPr>
                        <w:r>
                          <w:rPr>
                            <w:noProof/>
                          </w:rPr>
                          <w:t>Scottish Government, “Environmental Protection Act 1990: Part IIA Contaminated Land - Radioactive Contaminated Land (Scotland) Amendment Regulations 2009 Statutory Guidance,” March 2010. [Online]. Available: https://www.gov.scot/publications/radioactive-contaminated-land-scotland-amendment-regulations-2009-statutory-guidance/pages/1/.</w:t>
                        </w:r>
                      </w:p>
                    </w:tc>
                  </w:tr>
                  <w:tr w:rsidR="00B23A01" w14:paraId="29820AE6" w14:textId="77777777">
                    <w:trPr>
                      <w:divId w:val="468667769"/>
                      <w:tblCellSpacing w:w="15" w:type="dxa"/>
                    </w:trPr>
                    <w:tc>
                      <w:tcPr>
                        <w:tcW w:w="50" w:type="pct"/>
                        <w:hideMark/>
                      </w:tcPr>
                      <w:p w14:paraId="79846071" w14:textId="77777777" w:rsidR="00B23A01" w:rsidRDefault="00B23A01">
                        <w:pPr>
                          <w:pStyle w:val="Bibliography"/>
                          <w:rPr>
                            <w:noProof/>
                          </w:rPr>
                        </w:pPr>
                        <w:r>
                          <w:rPr>
                            <w:noProof/>
                          </w:rPr>
                          <w:t xml:space="preserve">[15] </w:t>
                        </w:r>
                      </w:p>
                    </w:tc>
                    <w:tc>
                      <w:tcPr>
                        <w:tcW w:w="0" w:type="auto"/>
                        <w:hideMark/>
                      </w:tcPr>
                      <w:p w14:paraId="6674CA4E" w14:textId="77777777" w:rsidR="00B23A01" w:rsidRDefault="00B23A01">
                        <w:pPr>
                          <w:pStyle w:val="Bibliography"/>
                          <w:rPr>
                            <w:noProof/>
                          </w:rPr>
                        </w:pPr>
                        <w:r>
                          <w:rPr>
                            <w:noProof/>
                          </w:rPr>
                          <w:t>Welsh Government, “Radioactive Contaminated Land Statutory Guidance for Wales,” 2012. [Online]. Available: https://gov.wales/sites/default/files/publications/2019-07/rclguidance0613.pdf.</w:t>
                        </w:r>
                      </w:p>
                    </w:tc>
                  </w:tr>
                  <w:tr w:rsidR="00B23A01" w14:paraId="338973B0" w14:textId="77777777">
                    <w:trPr>
                      <w:divId w:val="468667769"/>
                      <w:tblCellSpacing w:w="15" w:type="dxa"/>
                    </w:trPr>
                    <w:tc>
                      <w:tcPr>
                        <w:tcW w:w="50" w:type="pct"/>
                        <w:hideMark/>
                      </w:tcPr>
                      <w:p w14:paraId="7CE8D6FE" w14:textId="77777777" w:rsidR="00B23A01" w:rsidRDefault="00B23A01">
                        <w:pPr>
                          <w:pStyle w:val="Bibliography"/>
                          <w:rPr>
                            <w:noProof/>
                          </w:rPr>
                        </w:pPr>
                        <w:r>
                          <w:rPr>
                            <w:noProof/>
                          </w:rPr>
                          <w:t xml:space="preserve">[16] </w:t>
                        </w:r>
                      </w:p>
                    </w:tc>
                    <w:tc>
                      <w:tcPr>
                        <w:tcW w:w="0" w:type="auto"/>
                        <w:hideMark/>
                      </w:tcPr>
                      <w:p w14:paraId="0B8CCC62" w14:textId="77777777" w:rsidR="00B23A01" w:rsidRDefault="00B23A01">
                        <w:pPr>
                          <w:pStyle w:val="Bibliography"/>
                          <w:rPr>
                            <w:noProof/>
                          </w:rPr>
                        </w:pPr>
                        <w:r>
                          <w:rPr>
                            <w:noProof/>
                          </w:rPr>
                          <w:t>ICRP, “The 2007 Recommendations of the International Commission on Radiological Protection (ICRP) Publication 103 Ann. ICRP 37 (2-4),” 2007. [Online]. Available: https://www.icrp.org/publication.asp?id=ICRP%20Publication%20103.</w:t>
                        </w:r>
                      </w:p>
                    </w:tc>
                  </w:tr>
                  <w:tr w:rsidR="00B23A01" w14:paraId="7B50B82B" w14:textId="77777777">
                    <w:trPr>
                      <w:divId w:val="468667769"/>
                      <w:tblCellSpacing w:w="15" w:type="dxa"/>
                    </w:trPr>
                    <w:tc>
                      <w:tcPr>
                        <w:tcW w:w="50" w:type="pct"/>
                        <w:hideMark/>
                      </w:tcPr>
                      <w:p w14:paraId="3B280798" w14:textId="77777777" w:rsidR="00B23A01" w:rsidRDefault="00B23A01">
                        <w:pPr>
                          <w:pStyle w:val="Bibliography"/>
                          <w:rPr>
                            <w:noProof/>
                          </w:rPr>
                        </w:pPr>
                        <w:r>
                          <w:rPr>
                            <w:noProof/>
                          </w:rPr>
                          <w:t xml:space="preserve">[17] </w:t>
                        </w:r>
                      </w:p>
                    </w:tc>
                    <w:tc>
                      <w:tcPr>
                        <w:tcW w:w="0" w:type="auto"/>
                        <w:hideMark/>
                      </w:tcPr>
                      <w:p w14:paraId="09B83833" w14:textId="77777777" w:rsidR="00B23A01" w:rsidRDefault="00B23A01">
                        <w:pPr>
                          <w:pStyle w:val="Bibliography"/>
                          <w:rPr>
                            <w:noProof/>
                          </w:rPr>
                        </w:pPr>
                        <w:r>
                          <w:rPr>
                            <w:noProof/>
                          </w:rPr>
                          <w:t>DEFRA, “Environmental Permitting Guidance - Groundwater Activities; guidance for the Environmental Permitting (England and Wales) Regulations,” December 2010. [Online]. Available: https://assets.publishing.service.gov.uk/government/uploads/system/uploads/attachment_data/file/69474/pb13555-ep-groundwater-activities-101221.pdf.</w:t>
                        </w:r>
                      </w:p>
                    </w:tc>
                  </w:tr>
                  <w:tr w:rsidR="00B23A01" w14:paraId="4C957997" w14:textId="77777777">
                    <w:trPr>
                      <w:divId w:val="468667769"/>
                      <w:tblCellSpacing w:w="15" w:type="dxa"/>
                    </w:trPr>
                    <w:tc>
                      <w:tcPr>
                        <w:tcW w:w="50" w:type="pct"/>
                        <w:hideMark/>
                      </w:tcPr>
                      <w:p w14:paraId="62B639F0" w14:textId="77777777" w:rsidR="00B23A01" w:rsidRDefault="00B23A01">
                        <w:pPr>
                          <w:pStyle w:val="Bibliography"/>
                          <w:rPr>
                            <w:noProof/>
                          </w:rPr>
                        </w:pPr>
                        <w:r>
                          <w:rPr>
                            <w:noProof/>
                          </w:rPr>
                          <w:t xml:space="preserve">[18] </w:t>
                        </w:r>
                      </w:p>
                    </w:tc>
                    <w:tc>
                      <w:tcPr>
                        <w:tcW w:w="0" w:type="auto"/>
                        <w:hideMark/>
                      </w:tcPr>
                      <w:p w14:paraId="03D990D2" w14:textId="77777777" w:rsidR="00B23A01" w:rsidRDefault="00B23A01">
                        <w:pPr>
                          <w:pStyle w:val="Bibliography"/>
                          <w:rPr>
                            <w:noProof/>
                          </w:rPr>
                        </w:pPr>
                        <w:r>
                          <w:rPr>
                            <w:noProof/>
                          </w:rPr>
                          <w:t>ONR, “NS-PER-POL-001 - ONR Criterion for Delicensing Nuclear Sites,” [Online]. Available: https://www.onr.org.uk/media/thijflmf/ns-per-pol-001.pdf.</w:t>
                        </w:r>
                      </w:p>
                    </w:tc>
                  </w:tr>
                  <w:tr w:rsidR="00B23A01" w14:paraId="70B0B08C" w14:textId="77777777">
                    <w:trPr>
                      <w:divId w:val="468667769"/>
                      <w:tblCellSpacing w:w="15" w:type="dxa"/>
                    </w:trPr>
                    <w:tc>
                      <w:tcPr>
                        <w:tcW w:w="50" w:type="pct"/>
                        <w:hideMark/>
                      </w:tcPr>
                      <w:p w14:paraId="1D6683A1" w14:textId="77777777" w:rsidR="00B23A01" w:rsidRDefault="00B23A01">
                        <w:pPr>
                          <w:pStyle w:val="Bibliography"/>
                          <w:rPr>
                            <w:noProof/>
                          </w:rPr>
                        </w:pPr>
                        <w:r>
                          <w:rPr>
                            <w:noProof/>
                          </w:rPr>
                          <w:t xml:space="preserve">[19] </w:t>
                        </w:r>
                      </w:p>
                    </w:tc>
                    <w:tc>
                      <w:tcPr>
                        <w:tcW w:w="0" w:type="auto"/>
                        <w:hideMark/>
                      </w:tcPr>
                      <w:p w14:paraId="00D46EF0" w14:textId="77777777" w:rsidR="00B23A01" w:rsidRDefault="00B23A01">
                        <w:pPr>
                          <w:pStyle w:val="Bibliography"/>
                          <w:rPr>
                            <w:noProof/>
                          </w:rPr>
                        </w:pPr>
                        <w:r>
                          <w:rPr>
                            <w:noProof/>
                          </w:rPr>
                          <w:t xml:space="preserve">ONR, “NS-PER-GD-019 - Guidance to inspectors on the interpretation and implementation of the ONR criterion,” [Online]. </w:t>
                        </w:r>
                      </w:p>
                    </w:tc>
                  </w:tr>
                  <w:tr w:rsidR="00B23A01" w14:paraId="283045FE" w14:textId="77777777">
                    <w:trPr>
                      <w:divId w:val="468667769"/>
                      <w:tblCellSpacing w:w="15" w:type="dxa"/>
                    </w:trPr>
                    <w:tc>
                      <w:tcPr>
                        <w:tcW w:w="50" w:type="pct"/>
                        <w:hideMark/>
                      </w:tcPr>
                      <w:p w14:paraId="4571D004" w14:textId="77777777" w:rsidR="00B23A01" w:rsidRDefault="00B23A01">
                        <w:pPr>
                          <w:pStyle w:val="Bibliography"/>
                          <w:rPr>
                            <w:noProof/>
                          </w:rPr>
                        </w:pPr>
                        <w:r>
                          <w:rPr>
                            <w:noProof/>
                          </w:rPr>
                          <w:t xml:space="preserve">[20] </w:t>
                        </w:r>
                      </w:p>
                    </w:tc>
                    <w:tc>
                      <w:tcPr>
                        <w:tcW w:w="0" w:type="auto"/>
                        <w:hideMark/>
                      </w:tcPr>
                      <w:p w14:paraId="3A45F0B6" w14:textId="77777777" w:rsidR="00B23A01" w:rsidRDefault="00B23A01">
                        <w:pPr>
                          <w:pStyle w:val="Bibliography"/>
                          <w:rPr>
                            <w:noProof/>
                          </w:rPr>
                        </w:pPr>
                        <w:r>
                          <w:rPr>
                            <w:noProof/>
                          </w:rPr>
                          <w:t>EA, SEPA, NRW, “Management of radioactive waste from decommissioning of nuclear sites: Guidance on Requirements for Release from Radioactive Substances Regulation, Version 1.0,” July 2018. [Online]. Available: www.sepa.org.uk/regulations/radioactive-substances/nuclear-industry.</w:t>
                        </w:r>
                      </w:p>
                    </w:tc>
                  </w:tr>
                  <w:tr w:rsidR="00B23A01" w14:paraId="09DF886C" w14:textId="77777777">
                    <w:trPr>
                      <w:divId w:val="468667769"/>
                      <w:tblCellSpacing w:w="15" w:type="dxa"/>
                    </w:trPr>
                    <w:tc>
                      <w:tcPr>
                        <w:tcW w:w="50" w:type="pct"/>
                        <w:hideMark/>
                      </w:tcPr>
                      <w:p w14:paraId="5EF9ECE0" w14:textId="77777777" w:rsidR="00B23A01" w:rsidRDefault="00B23A01">
                        <w:pPr>
                          <w:pStyle w:val="Bibliography"/>
                          <w:rPr>
                            <w:noProof/>
                          </w:rPr>
                        </w:pPr>
                        <w:r>
                          <w:rPr>
                            <w:noProof/>
                          </w:rPr>
                          <w:lastRenderedPageBreak/>
                          <w:t xml:space="preserve">[21] </w:t>
                        </w:r>
                      </w:p>
                    </w:tc>
                    <w:tc>
                      <w:tcPr>
                        <w:tcW w:w="0" w:type="auto"/>
                        <w:hideMark/>
                      </w:tcPr>
                      <w:p w14:paraId="350131C8" w14:textId="77777777" w:rsidR="00B23A01" w:rsidRDefault="00B23A01">
                        <w:pPr>
                          <w:pStyle w:val="Bibliography"/>
                          <w:rPr>
                            <w:noProof/>
                          </w:rPr>
                        </w:pPr>
                        <w:r>
                          <w:rPr>
                            <w:noProof/>
                          </w:rPr>
                          <w:t>ONR, “NS-TAST-GD-009 - Examination, Inspection, Maintenance and Testing of Items Important to Safety”.</w:t>
                        </w:r>
                      </w:p>
                    </w:tc>
                  </w:tr>
                  <w:tr w:rsidR="00B23A01" w14:paraId="2E0312A1" w14:textId="77777777">
                    <w:trPr>
                      <w:divId w:val="468667769"/>
                      <w:tblCellSpacing w:w="15" w:type="dxa"/>
                    </w:trPr>
                    <w:tc>
                      <w:tcPr>
                        <w:tcW w:w="50" w:type="pct"/>
                        <w:hideMark/>
                      </w:tcPr>
                      <w:p w14:paraId="5F8144A4" w14:textId="77777777" w:rsidR="00B23A01" w:rsidRDefault="00B23A01">
                        <w:pPr>
                          <w:pStyle w:val="Bibliography"/>
                          <w:rPr>
                            <w:noProof/>
                          </w:rPr>
                        </w:pPr>
                        <w:r>
                          <w:rPr>
                            <w:noProof/>
                          </w:rPr>
                          <w:t xml:space="preserve">[22] </w:t>
                        </w:r>
                      </w:p>
                    </w:tc>
                    <w:tc>
                      <w:tcPr>
                        <w:tcW w:w="0" w:type="auto"/>
                        <w:hideMark/>
                      </w:tcPr>
                      <w:p w14:paraId="7D332443" w14:textId="77777777" w:rsidR="00B23A01" w:rsidRDefault="00B23A01">
                        <w:pPr>
                          <w:pStyle w:val="Bibliography"/>
                          <w:rPr>
                            <w:noProof/>
                          </w:rPr>
                        </w:pPr>
                        <w:r>
                          <w:rPr>
                            <w:noProof/>
                          </w:rPr>
                          <w:t>ONR, “NS-TAST-GD-023 - Control of Processes Involving Nuclear Matter”.</w:t>
                        </w:r>
                      </w:p>
                    </w:tc>
                  </w:tr>
                  <w:tr w:rsidR="00B23A01" w14:paraId="50449C13" w14:textId="77777777">
                    <w:trPr>
                      <w:divId w:val="468667769"/>
                      <w:tblCellSpacing w:w="15" w:type="dxa"/>
                    </w:trPr>
                    <w:tc>
                      <w:tcPr>
                        <w:tcW w:w="50" w:type="pct"/>
                        <w:hideMark/>
                      </w:tcPr>
                      <w:p w14:paraId="46EE80BB" w14:textId="77777777" w:rsidR="00B23A01" w:rsidRDefault="00B23A01">
                        <w:pPr>
                          <w:pStyle w:val="Bibliography"/>
                          <w:rPr>
                            <w:noProof/>
                          </w:rPr>
                        </w:pPr>
                        <w:r>
                          <w:rPr>
                            <w:noProof/>
                          </w:rPr>
                          <w:t xml:space="preserve">[23] </w:t>
                        </w:r>
                      </w:p>
                    </w:tc>
                    <w:tc>
                      <w:tcPr>
                        <w:tcW w:w="0" w:type="auto"/>
                        <w:hideMark/>
                      </w:tcPr>
                      <w:p w14:paraId="46CD6265" w14:textId="77777777" w:rsidR="00B23A01" w:rsidRDefault="00B23A01">
                        <w:pPr>
                          <w:pStyle w:val="Bibliography"/>
                          <w:rPr>
                            <w:noProof/>
                          </w:rPr>
                        </w:pPr>
                        <w:r>
                          <w:rPr>
                            <w:noProof/>
                          </w:rPr>
                          <w:t>ONR, “NS-TAST-GD-024 - Management of Radioactive Materials and Radioactive Waste on Nuclear Licensed Sites”.</w:t>
                        </w:r>
                      </w:p>
                    </w:tc>
                  </w:tr>
                  <w:tr w:rsidR="00B23A01" w14:paraId="63459B56" w14:textId="77777777">
                    <w:trPr>
                      <w:divId w:val="468667769"/>
                      <w:tblCellSpacing w:w="15" w:type="dxa"/>
                    </w:trPr>
                    <w:tc>
                      <w:tcPr>
                        <w:tcW w:w="50" w:type="pct"/>
                        <w:hideMark/>
                      </w:tcPr>
                      <w:p w14:paraId="73246781" w14:textId="77777777" w:rsidR="00B23A01" w:rsidRDefault="00B23A01">
                        <w:pPr>
                          <w:pStyle w:val="Bibliography"/>
                          <w:rPr>
                            <w:noProof/>
                          </w:rPr>
                        </w:pPr>
                        <w:r>
                          <w:rPr>
                            <w:noProof/>
                          </w:rPr>
                          <w:t xml:space="preserve">[24] </w:t>
                        </w:r>
                      </w:p>
                    </w:tc>
                    <w:tc>
                      <w:tcPr>
                        <w:tcW w:w="0" w:type="auto"/>
                        <w:hideMark/>
                      </w:tcPr>
                      <w:p w14:paraId="56A3C190" w14:textId="77777777" w:rsidR="00B23A01" w:rsidRDefault="00B23A01">
                        <w:pPr>
                          <w:pStyle w:val="Bibliography"/>
                          <w:rPr>
                            <w:noProof/>
                          </w:rPr>
                        </w:pPr>
                        <w:r>
                          <w:rPr>
                            <w:noProof/>
                          </w:rPr>
                          <w:t xml:space="preserve">ONR, “NS-TAST-GD-026 - Decommissioning,” [Online]. </w:t>
                        </w:r>
                      </w:p>
                    </w:tc>
                  </w:tr>
                  <w:tr w:rsidR="00B23A01" w14:paraId="68C81729" w14:textId="77777777">
                    <w:trPr>
                      <w:divId w:val="468667769"/>
                      <w:tblCellSpacing w:w="15" w:type="dxa"/>
                    </w:trPr>
                    <w:tc>
                      <w:tcPr>
                        <w:tcW w:w="50" w:type="pct"/>
                        <w:hideMark/>
                      </w:tcPr>
                      <w:p w14:paraId="00650CE9" w14:textId="77777777" w:rsidR="00B23A01" w:rsidRDefault="00B23A01">
                        <w:pPr>
                          <w:pStyle w:val="Bibliography"/>
                          <w:rPr>
                            <w:noProof/>
                          </w:rPr>
                        </w:pPr>
                        <w:r>
                          <w:rPr>
                            <w:noProof/>
                          </w:rPr>
                          <w:t xml:space="preserve">[25] </w:t>
                        </w:r>
                      </w:p>
                    </w:tc>
                    <w:tc>
                      <w:tcPr>
                        <w:tcW w:w="0" w:type="auto"/>
                        <w:hideMark/>
                      </w:tcPr>
                      <w:p w14:paraId="3FACF1E1" w14:textId="77777777" w:rsidR="00B23A01" w:rsidRDefault="00B23A01">
                        <w:pPr>
                          <w:pStyle w:val="Bibliography"/>
                          <w:rPr>
                            <w:noProof/>
                          </w:rPr>
                        </w:pPr>
                        <w:r>
                          <w:rPr>
                            <w:noProof/>
                          </w:rPr>
                          <w:t xml:space="preserve">ONR, “NS-TAST-GD-033 - Management of Records,” [Online]. </w:t>
                        </w:r>
                      </w:p>
                    </w:tc>
                  </w:tr>
                  <w:tr w:rsidR="00B23A01" w14:paraId="4C41DB6C" w14:textId="77777777">
                    <w:trPr>
                      <w:divId w:val="468667769"/>
                      <w:tblCellSpacing w:w="15" w:type="dxa"/>
                    </w:trPr>
                    <w:tc>
                      <w:tcPr>
                        <w:tcW w:w="50" w:type="pct"/>
                        <w:hideMark/>
                      </w:tcPr>
                      <w:p w14:paraId="5F2D60A0" w14:textId="77777777" w:rsidR="00B23A01" w:rsidRDefault="00B23A01">
                        <w:pPr>
                          <w:pStyle w:val="Bibliography"/>
                          <w:rPr>
                            <w:noProof/>
                          </w:rPr>
                        </w:pPr>
                        <w:r>
                          <w:rPr>
                            <w:noProof/>
                          </w:rPr>
                          <w:t xml:space="preserve">[26] </w:t>
                        </w:r>
                      </w:p>
                    </w:tc>
                    <w:tc>
                      <w:tcPr>
                        <w:tcW w:w="0" w:type="auto"/>
                        <w:hideMark/>
                      </w:tcPr>
                      <w:p w14:paraId="6AE0C712" w14:textId="77777777" w:rsidR="00B23A01" w:rsidRDefault="00B23A01">
                        <w:pPr>
                          <w:pStyle w:val="Bibliography"/>
                          <w:rPr>
                            <w:noProof/>
                          </w:rPr>
                        </w:pPr>
                        <w:r>
                          <w:rPr>
                            <w:noProof/>
                          </w:rPr>
                          <w:t>ONR, “NS-TAST-GD-038 - Radiological Protection”.</w:t>
                        </w:r>
                      </w:p>
                    </w:tc>
                  </w:tr>
                  <w:tr w:rsidR="00B23A01" w14:paraId="750C8D55" w14:textId="77777777">
                    <w:trPr>
                      <w:divId w:val="468667769"/>
                      <w:tblCellSpacing w:w="15" w:type="dxa"/>
                    </w:trPr>
                    <w:tc>
                      <w:tcPr>
                        <w:tcW w:w="50" w:type="pct"/>
                        <w:hideMark/>
                      </w:tcPr>
                      <w:p w14:paraId="158BAF01" w14:textId="77777777" w:rsidR="00B23A01" w:rsidRDefault="00B23A01">
                        <w:pPr>
                          <w:pStyle w:val="Bibliography"/>
                          <w:rPr>
                            <w:noProof/>
                          </w:rPr>
                        </w:pPr>
                        <w:r>
                          <w:rPr>
                            <w:noProof/>
                          </w:rPr>
                          <w:t xml:space="preserve">[27] </w:t>
                        </w:r>
                      </w:p>
                    </w:tc>
                    <w:tc>
                      <w:tcPr>
                        <w:tcW w:w="0" w:type="auto"/>
                        <w:hideMark/>
                      </w:tcPr>
                      <w:p w14:paraId="2AC57B01" w14:textId="77777777" w:rsidR="00B23A01" w:rsidRDefault="00B23A01">
                        <w:pPr>
                          <w:pStyle w:val="Bibliography"/>
                          <w:rPr>
                            <w:noProof/>
                          </w:rPr>
                        </w:pPr>
                        <w:r>
                          <w:rPr>
                            <w:noProof/>
                          </w:rPr>
                          <w:t>IAEA, “Safety Standards Series No. GSR Part 3 - Radiation Protection and Safety of Radiation Sources: International Basic Safety Standards,” 2014. [Online]. Available: https://www.iaea.org/publications/8930/radiation-protection-and-safety-of-radiation-sources-international-basic-safety-standards.</w:t>
                        </w:r>
                      </w:p>
                    </w:tc>
                  </w:tr>
                  <w:tr w:rsidR="00B23A01" w14:paraId="0D716BC9" w14:textId="77777777">
                    <w:trPr>
                      <w:divId w:val="468667769"/>
                      <w:tblCellSpacing w:w="15" w:type="dxa"/>
                    </w:trPr>
                    <w:tc>
                      <w:tcPr>
                        <w:tcW w:w="50" w:type="pct"/>
                        <w:hideMark/>
                      </w:tcPr>
                      <w:p w14:paraId="7D96EA04" w14:textId="77777777" w:rsidR="00B23A01" w:rsidRDefault="00B23A01">
                        <w:pPr>
                          <w:pStyle w:val="Bibliography"/>
                          <w:rPr>
                            <w:noProof/>
                          </w:rPr>
                        </w:pPr>
                        <w:r>
                          <w:rPr>
                            <w:noProof/>
                          </w:rPr>
                          <w:t xml:space="preserve">[28] </w:t>
                        </w:r>
                      </w:p>
                    </w:tc>
                    <w:tc>
                      <w:tcPr>
                        <w:tcW w:w="0" w:type="auto"/>
                        <w:hideMark/>
                      </w:tcPr>
                      <w:p w14:paraId="219C8A46" w14:textId="77777777" w:rsidR="00B23A01" w:rsidRDefault="00B23A01">
                        <w:pPr>
                          <w:pStyle w:val="Bibliography"/>
                          <w:rPr>
                            <w:noProof/>
                          </w:rPr>
                        </w:pPr>
                        <w:r>
                          <w:rPr>
                            <w:noProof/>
                          </w:rPr>
                          <w:t>IAEA, “Safety Standards Series No. GSR Part 4 (Rev. 1) - Safety Assessment for Facilities and Activities,” 2016. [Online]. Available: https://www.iaea.org/publications/10884/safety-assessment-for-facilities-and-activities.</w:t>
                        </w:r>
                      </w:p>
                    </w:tc>
                  </w:tr>
                  <w:tr w:rsidR="00B23A01" w14:paraId="1E591D74" w14:textId="77777777">
                    <w:trPr>
                      <w:divId w:val="468667769"/>
                      <w:tblCellSpacing w:w="15" w:type="dxa"/>
                    </w:trPr>
                    <w:tc>
                      <w:tcPr>
                        <w:tcW w:w="50" w:type="pct"/>
                        <w:hideMark/>
                      </w:tcPr>
                      <w:p w14:paraId="5340B504" w14:textId="77777777" w:rsidR="00B23A01" w:rsidRDefault="00B23A01">
                        <w:pPr>
                          <w:pStyle w:val="Bibliography"/>
                          <w:rPr>
                            <w:noProof/>
                          </w:rPr>
                        </w:pPr>
                        <w:r>
                          <w:rPr>
                            <w:noProof/>
                          </w:rPr>
                          <w:t xml:space="preserve">[29] </w:t>
                        </w:r>
                      </w:p>
                    </w:tc>
                    <w:tc>
                      <w:tcPr>
                        <w:tcW w:w="0" w:type="auto"/>
                        <w:hideMark/>
                      </w:tcPr>
                      <w:p w14:paraId="746D40BA" w14:textId="77777777" w:rsidR="00B23A01" w:rsidRDefault="00B23A01">
                        <w:pPr>
                          <w:pStyle w:val="Bibliography"/>
                          <w:rPr>
                            <w:noProof/>
                          </w:rPr>
                        </w:pPr>
                        <w:r>
                          <w:rPr>
                            <w:noProof/>
                          </w:rPr>
                          <w:t>IAEA, “Safety Standards Series No. GSR Part 5 - Predisposal Management of Radioactive Waste,” 2009. [Online]. Available: https://www.iaea.org/publications/8004/predisposal-management-of-radioactive-waste.</w:t>
                        </w:r>
                      </w:p>
                    </w:tc>
                  </w:tr>
                  <w:tr w:rsidR="00B23A01" w14:paraId="20B1D42F" w14:textId="77777777">
                    <w:trPr>
                      <w:divId w:val="468667769"/>
                      <w:tblCellSpacing w:w="15" w:type="dxa"/>
                    </w:trPr>
                    <w:tc>
                      <w:tcPr>
                        <w:tcW w:w="50" w:type="pct"/>
                        <w:hideMark/>
                      </w:tcPr>
                      <w:p w14:paraId="5BCBA49C" w14:textId="77777777" w:rsidR="00B23A01" w:rsidRDefault="00B23A01">
                        <w:pPr>
                          <w:pStyle w:val="Bibliography"/>
                          <w:rPr>
                            <w:noProof/>
                          </w:rPr>
                        </w:pPr>
                        <w:r>
                          <w:rPr>
                            <w:noProof/>
                          </w:rPr>
                          <w:t xml:space="preserve">[30] </w:t>
                        </w:r>
                      </w:p>
                    </w:tc>
                    <w:tc>
                      <w:tcPr>
                        <w:tcW w:w="0" w:type="auto"/>
                        <w:hideMark/>
                      </w:tcPr>
                      <w:p w14:paraId="2E76DABA" w14:textId="77777777" w:rsidR="00B23A01" w:rsidRDefault="00B23A01">
                        <w:pPr>
                          <w:pStyle w:val="Bibliography"/>
                          <w:rPr>
                            <w:noProof/>
                          </w:rPr>
                        </w:pPr>
                        <w:r>
                          <w:rPr>
                            <w:noProof/>
                          </w:rPr>
                          <w:t>IAEA, “Safety Standards Series No. GSR Part 6 - Decommissioning of Facilities,” 2014. [Online]. Available: https://www.iaea.org/publications/10676/decommissioning-of-facilities.</w:t>
                        </w:r>
                      </w:p>
                    </w:tc>
                  </w:tr>
                  <w:tr w:rsidR="00B23A01" w14:paraId="6EB2BDCA" w14:textId="77777777">
                    <w:trPr>
                      <w:divId w:val="468667769"/>
                      <w:tblCellSpacing w:w="15" w:type="dxa"/>
                    </w:trPr>
                    <w:tc>
                      <w:tcPr>
                        <w:tcW w:w="50" w:type="pct"/>
                        <w:hideMark/>
                      </w:tcPr>
                      <w:p w14:paraId="6125D4E8" w14:textId="77777777" w:rsidR="00B23A01" w:rsidRDefault="00B23A01">
                        <w:pPr>
                          <w:pStyle w:val="Bibliography"/>
                          <w:rPr>
                            <w:noProof/>
                          </w:rPr>
                        </w:pPr>
                        <w:r>
                          <w:rPr>
                            <w:noProof/>
                          </w:rPr>
                          <w:t xml:space="preserve">[31] </w:t>
                        </w:r>
                      </w:p>
                    </w:tc>
                    <w:tc>
                      <w:tcPr>
                        <w:tcW w:w="0" w:type="auto"/>
                        <w:hideMark/>
                      </w:tcPr>
                      <w:p w14:paraId="0365AD37" w14:textId="77777777" w:rsidR="00B23A01" w:rsidRDefault="00B23A01">
                        <w:pPr>
                          <w:pStyle w:val="Bibliography"/>
                          <w:rPr>
                            <w:noProof/>
                          </w:rPr>
                        </w:pPr>
                        <w:r>
                          <w:rPr>
                            <w:noProof/>
                          </w:rPr>
                          <w:t>ONR, “NS-INSP-GD-034 - LC 34 Leakage and Escape of Radioactive Material and Radioactive Waste”.</w:t>
                        </w:r>
                      </w:p>
                    </w:tc>
                  </w:tr>
                  <w:tr w:rsidR="00B23A01" w14:paraId="5AE7857D" w14:textId="77777777">
                    <w:trPr>
                      <w:divId w:val="468667769"/>
                      <w:tblCellSpacing w:w="15" w:type="dxa"/>
                    </w:trPr>
                    <w:tc>
                      <w:tcPr>
                        <w:tcW w:w="50" w:type="pct"/>
                        <w:hideMark/>
                      </w:tcPr>
                      <w:p w14:paraId="5A27F208" w14:textId="77777777" w:rsidR="00B23A01" w:rsidRDefault="00B23A01">
                        <w:pPr>
                          <w:pStyle w:val="Bibliography"/>
                          <w:rPr>
                            <w:noProof/>
                          </w:rPr>
                        </w:pPr>
                        <w:r>
                          <w:rPr>
                            <w:noProof/>
                          </w:rPr>
                          <w:t xml:space="preserve">[32] </w:t>
                        </w:r>
                      </w:p>
                    </w:tc>
                    <w:tc>
                      <w:tcPr>
                        <w:tcW w:w="0" w:type="auto"/>
                        <w:hideMark/>
                      </w:tcPr>
                      <w:p w14:paraId="497CFC4A" w14:textId="77777777" w:rsidR="00B23A01" w:rsidRDefault="00B23A01">
                        <w:pPr>
                          <w:pStyle w:val="Bibliography"/>
                          <w:rPr>
                            <w:noProof/>
                          </w:rPr>
                        </w:pPr>
                        <w:r>
                          <w:rPr>
                            <w:noProof/>
                          </w:rPr>
                          <w:t xml:space="preserve">ONR, “NS-INSP-GD-017 - LC 17 - Management Systems,” [Online]. </w:t>
                        </w:r>
                      </w:p>
                    </w:tc>
                  </w:tr>
                  <w:tr w:rsidR="00B23A01" w14:paraId="707EDB16" w14:textId="77777777">
                    <w:trPr>
                      <w:divId w:val="468667769"/>
                      <w:tblCellSpacing w:w="15" w:type="dxa"/>
                    </w:trPr>
                    <w:tc>
                      <w:tcPr>
                        <w:tcW w:w="50" w:type="pct"/>
                        <w:hideMark/>
                      </w:tcPr>
                      <w:p w14:paraId="7EF8E7BF" w14:textId="77777777" w:rsidR="00B23A01" w:rsidRDefault="00B23A01">
                        <w:pPr>
                          <w:pStyle w:val="Bibliography"/>
                          <w:rPr>
                            <w:noProof/>
                          </w:rPr>
                        </w:pPr>
                        <w:r>
                          <w:rPr>
                            <w:noProof/>
                          </w:rPr>
                          <w:t xml:space="preserve">[33] </w:t>
                        </w:r>
                      </w:p>
                    </w:tc>
                    <w:tc>
                      <w:tcPr>
                        <w:tcW w:w="0" w:type="auto"/>
                        <w:hideMark/>
                      </w:tcPr>
                      <w:p w14:paraId="2DDF7456" w14:textId="77777777" w:rsidR="00B23A01" w:rsidRDefault="00B23A01">
                        <w:pPr>
                          <w:pStyle w:val="Bibliography"/>
                          <w:rPr>
                            <w:noProof/>
                          </w:rPr>
                        </w:pPr>
                        <w:r>
                          <w:rPr>
                            <w:noProof/>
                          </w:rPr>
                          <w:t xml:space="preserve">ONR, “NS-TAST-GD-051 - The Purpose, Scope and Content of Safety Cases,” [Online]. </w:t>
                        </w:r>
                      </w:p>
                    </w:tc>
                  </w:tr>
                  <w:tr w:rsidR="00B23A01" w14:paraId="20FBB888" w14:textId="77777777">
                    <w:trPr>
                      <w:divId w:val="468667769"/>
                      <w:tblCellSpacing w:w="15" w:type="dxa"/>
                    </w:trPr>
                    <w:tc>
                      <w:tcPr>
                        <w:tcW w:w="50" w:type="pct"/>
                        <w:hideMark/>
                      </w:tcPr>
                      <w:p w14:paraId="4DA7BEA5" w14:textId="77777777" w:rsidR="00B23A01" w:rsidRDefault="00B23A01">
                        <w:pPr>
                          <w:pStyle w:val="Bibliography"/>
                          <w:rPr>
                            <w:noProof/>
                          </w:rPr>
                        </w:pPr>
                        <w:r>
                          <w:rPr>
                            <w:noProof/>
                          </w:rPr>
                          <w:lastRenderedPageBreak/>
                          <w:t xml:space="preserve">[34] </w:t>
                        </w:r>
                      </w:p>
                    </w:tc>
                    <w:tc>
                      <w:tcPr>
                        <w:tcW w:w="0" w:type="auto"/>
                        <w:hideMark/>
                      </w:tcPr>
                      <w:p w14:paraId="3749B043" w14:textId="77777777" w:rsidR="00B23A01" w:rsidRDefault="00B23A01">
                        <w:pPr>
                          <w:pStyle w:val="Bibliography"/>
                          <w:rPr>
                            <w:noProof/>
                          </w:rPr>
                        </w:pPr>
                        <w:r>
                          <w:rPr>
                            <w:noProof/>
                          </w:rPr>
                          <w:t xml:space="preserve">ONR, “NS-INSP-GD-023 - LC 23 Operating Rules,” [Online]. </w:t>
                        </w:r>
                      </w:p>
                    </w:tc>
                  </w:tr>
                  <w:tr w:rsidR="00B23A01" w14:paraId="01C6B5AF" w14:textId="77777777">
                    <w:trPr>
                      <w:divId w:val="468667769"/>
                      <w:tblCellSpacing w:w="15" w:type="dxa"/>
                    </w:trPr>
                    <w:tc>
                      <w:tcPr>
                        <w:tcW w:w="50" w:type="pct"/>
                        <w:hideMark/>
                      </w:tcPr>
                      <w:p w14:paraId="73E30A1A" w14:textId="77777777" w:rsidR="00B23A01" w:rsidRDefault="00B23A01">
                        <w:pPr>
                          <w:pStyle w:val="Bibliography"/>
                          <w:rPr>
                            <w:noProof/>
                          </w:rPr>
                        </w:pPr>
                        <w:r>
                          <w:rPr>
                            <w:noProof/>
                          </w:rPr>
                          <w:t xml:space="preserve">[35] </w:t>
                        </w:r>
                      </w:p>
                    </w:tc>
                    <w:tc>
                      <w:tcPr>
                        <w:tcW w:w="0" w:type="auto"/>
                        <w:hideMark/>
                      </w:tcPr>
                      <w:p w14:paraId="68077956" w14:textId="77777777" w:rsidR="00B23A01" w:rsidRDefault="00B23A01">
                        <w:pPr>
                          <w:pStyle w:val="Bibliography"/>
                          <w:rPr>
                            <w:noProof/>
                          </w:rPr>
                        </w:pPr>
                        <w:r>
                          <w:rPr>
                            <w:noProof/>
                          </w:rPr>
                          <w:t xml:space="preserve">ONR, “NS-INSP-GD-035 - LC 35 Decommissioning,” [Online]. </w:t>
                        </w:r>
                      </w:p>
                    </w:tc>
                  </w:tr>
                  <w:tr w:rsidR="00B23A01" w14:paraId="7BCD3EBE" w14:textId="77777777">
                    <w:trPr>
                      <w:divId w:val="468667769"/>
                      <w:tblCellSpacing w:w="15" w:type="dxa"/>
                    </w:trPr>
                    <w:tc>
                      <w:tcPr>
                        <w:tcW w:w="50" w:type="pct"/>
                        <w:hideMark/>
                      </w:tcPr>
                      <w:p w14:paraId="3F349B18" w14:textId="77777777" w:rsidR="00B23A01" w:rsidRDefault="00B23A01">
                        <w:pPr>
                          <w:pStyle w:val="Bibliography"/>
                          <w:rPr>
                            <w:noProof/>
                          </w:rPr>
                        </w:pPr>
                        <w:r>
                          <w:rPr>
                            <w:noProof/>
                          </w:rPr>
                          <w:t xml:space="preserve">[36] </w:t>
                        </w:r>
                      </w:p>
                    </w:tc>
                    <w:tc>
                      <w:tcPr>
                        <w:tcW w:w="0" w:type="auto"/>
                        <w:hideMark/>
                      </w:tcPr>
                      <w:p w14:paraId="602EBB1D" w14:textId="77777777" w:rsidR="00B23A01" w:rsidRDefault="00B23A01">
                        <w:pPr>
                          <w:pStyle w:val="Bibliography"/>
                          <w:rPr>
                            <w:noProof/>
                          </w:rPr>
                        </w:pPr>
                        <w:r>
                          <w:rPr>
                            <w:noProof/>
                          </w:rPr>
                          <w:t>ONR, “ONR-ENF-GD-006 - Enforcement”.</w:t>
                        </w:r>
                      </w:p>
                    </w:tc>
                  </w:tr>
                  <w:tr w:rsidR="00B23A01" w14:paraId="124271B4" w14:textId="77777777">
                    <w:trPr>
                      <w:divId w:val="468667769"/>
                      <w:tblCellSpacing w:w="15" w:type="dxa"/>
                    </w:trPr>
                    <w:tc>
                      <w:tcPr>
                        <w:tcW w:w="50" w:type="pct"/>
                        <w:hideMark/>
                      </w:tcPr>
                      <w:p w14:paraId="0BECFEDB" w14:textId="77777777" w:rsidR="00B23A01" w:rsidRDefault="00B23A01">
                        <w:pPr>
                          <w:pStyle w:val="Bibliography"/>
                          <w:rPr>
                            <w:noProof/>
                          </w:rPr>
                        </w:pPr>
                        <w:r>
                          <w:rPr>
                            <w:noProof/>
                          </w:rPr>
                          <w:t xml:space="preserve">[37] </w:t>
                        </w:r>
                      </w:p>
                    </w:tc>
                    <w:tc>
                      <w:tcPr>
                        <w:tcW w:w="0" w:type="auto"/>
                        <w:hideMark/>
                      </w:tcPr>
                      <w:p w14:paraId="1DF9C68B" w14:textId="77777777" w:rsidR="00B23A01" w:rsidRDefault="00B23A01">
                        <w:pPr>
                          <w:pStyle w:val="Bibliography"/>
                          <w:rPr>
                            <w:noProof/>
                          </w:rPr>
                        </w:pPr>
                        <w:r>
                          <w:rPr>
                            <w:noProof/>
                          </w:rPr>
                          <w:t>Nuclear Industry Group for Land Quality, “NICoP for Routine Water Quality Monitoring (Version 1),” February 2015. [Online]. Available: https://assets.publishing.service.gov.uk/media/5a7f86ceed915d74e622b013/Nuclear-industry-code-of-practice-for-routine-water-quality-monitoring.pdf.</w:t>
                        </w:r>
                      </w:p>
                    </w:tc>
                  </w:tr>
                  <w:tr w:rsidR="00B23A01" w14:paraId="49E135E8" w14:textId="77777777">
                    <w:trPr>
                      <w:divId w:val="468667769"/>
                      <w:tblCellSpacing w:w="15" w:type="dxa"/>
                    </w:trPr>
                    <w:tc>
                      <w:tcPr>
                        <w:tcW w:w="50" w:type="pct"/>
                        <w:hideMark/>
                      </w:tcPr>
                      <w:p w14:paraId="1A10CA81" w14:textId="77777777" w:rsidR="00B23A01" w:rsidRDefault="00B23A01">
                        <w:pPr>
                          <w:pStyle w:val="Bibliography"/>
                          <w:rPr>
                            <w:noProof/>
                          </w:rPr>
                        </w:pPr>
                        <w:r>
                          <w:rPr>
                            <w:noProof/>
                          </w:rPr>
                          <w:t xml:space="preserve">[38] </w:t>
                        </w:r>
                      </w:p>
                    </w:tc>
                    <w:tc>
                      <w:tcPr>
                        <w:tcW w:w="0" w:type="auto"/>
                        <w:hideMark/>
                      </w:tcPr>
                      <w:p w14:paraId="11356E9D" w14:textId="77777777" w:rsidR="00B23A01" w:rsidRDefault="00B23A01">
                        <w:pPr>
                          <w:pStyle w:val="Bibliography"/>
                          <w:rPr>
                            <w:noProof/>
                          </w:rPr>
                        </w:pPr>
                        <w:r>
                          <w:rPr>
                            <w:noProof/>
                          </w:rPr>
                          <w:t>Nuclear Industry Group for Land Quality, “NICoP for Qualitative Risk Assessment for Land Contamination, Including Radioactive Contamination (Version 1.1),” June 2012. [Online]. Available: https://assets.publishing.service.gov.uk/media/5a80ab9c40f0b62302694d77/Qualitative-risk-assessment-for-land-contamination-including-radioactive-contamination-June-2012.pdf.</w:t>
                        </w:r>
                      </w:p>
                    </w:tc>
                  </w:tr>
                  <w:tr w:rsidR="00B23A01" w14:paraId="42E914C2" w14:textId="77777777">
                    <w:trPr>
                      <w:divId w:val="468667769"/>
                      <w:tblCellSpacing w:w="15" w:type="dxa"/>
                    </w:trPr>
                    <w:tc>
                      <w:tcPr>
                        <w:tcW w:w="50" w:type="pct"/>
                        <w:hideMark/>
                      </w:tcPr>
                      <w:p w14:paraId="5FDDD9F3" w14:textId="77777777" w:rsidR="00B23A01" w:rsidRDefault="00B23A01">
                        <w:pPr>
                          <w:pStyle w:val="Bibliography"/>
                          <w:rPr>
                            <w:noProof/>
                          </w:rPr>
                        </w:pPr>
                        <w:r>
                          <w:rPr>
                            <w:noProof/>
                          </w:rPr>
                          <w:t xml:space="preserve">[39] </w:t>
                        </w:r>
                      </w:p>
                    </w:tc>
                    <w:tc>
                      <w:tcPr>
                        <w:tcW w:w="0" w:type="auto"/>
                        <w:hideMark/>
                      </w:tcPr>
                      <w:p w14:paraId="5CFF22DB" w14:textId="77777777" w:rsidR="00B23A01" w:rsidRDefault="00B23A01">
                        <w:pPr>
                          <w:pStyle w:val="Bibliography"/>
                          <w:rPr>
                            <w:noProof/>
                          </w:rPr>
                        </w:pPr>
                        <w:r>
                          <w:rPr>
                            <w:noProof/>
                          </w:rPr>
                          <w:t>Industry Radiological Protection Co-ordination Group (IRPCG), “Nuclear Industry Good Practice Guide on The Application of ALARP to Radiological Risk (Issue 1),” December 2012. [Online]. Available: https://nuclearinst.com/write/MediaUploads/SDF%20documents/IRPCG/Application_of_ALARP_to_Radiological_Risk.pdf.</w:t>
                        </w:r>
                      </w:p>
                    </w:tc>
                  </w:tr>
                  <w:tr w:rsidR="00B23A01" w14:paraId="1020402A" w14:textId="77777777">
                    <w:trPr>
                      <w:divId w:val="468667769"/>
                      <w:tblCellSpacing w:w="15" w:type="dxa"/>
                    </w:trPr>
                    <w:tc>
                      <w:tcPr>
                        <w:tcW w:w="50" w:type="pct"/>
                        <w:hideMark/>
                      </w:tcPr>
                      <w:p w14:paraId="02CE3138" w14:textId="77777777" w:rsidR="00B23A01" w:rsidRDefault="00B23A01">
                        <w:pPr>
                          <w:pStyle w:val="Bibliography"/>
                          <w:rPr>
                            <w:noProof/>
                          </w:rPr>
                        </w:pPr>
                        <w:r>
                          <w:rPr>
                            <w:noProof/>
                          </w:rPr>
                          <w:t xml:space="preserve">[40] </w:t>
                        </w:r>
                      </w:p>
                    </w:tc>
                    <w:tc>
                      <w:tcPr>
                        <w:tcW w:w="0" w:type="auto"/>
                        <w:hideMark/>
                      </w:tcPr>
                      <w:p w14:paraId="3B42E38C" w14:textId="77777777" w:rsidR="00B23A01" w:rsidRDefault="00B23A01">
                        <w:pPr>
                          <w:pStyle w:val="Bibliography"/>
                          <w:rPr>
                            <w:noProof/>
                          </w:rPr>
                        </w:pPr>
                        <w:r>
                          <w:rPr>
                            <w:noProof/>
                          </w:rPr>
                          <w:t>Environment Agencies Requirements Working Group (EARWG), “Best Available Techniques (BAT) for the Management of the Generation and Disposal of Radioactive Wastes (Issue 1),” December 2010. [Online]. Available: https://nuclearinst.com/write/MediaUploads/SDF%20documents/EARWG/BAT_Good_Practice_Guide_May_2017.pdf.</w:t>
                        </w:r>
                      </w:p>
                    </w:tc>
                  </w:tr>
                  <w:tr w:rsidR="00B23A01" w14:paraId="6D044B4D" w14:textId="77777777">
                    <w:trPr>
                      <w:divId w:val="468667769"/>
                      <w:tblCellSpacing w:w="15" w:type="dxa"/>
                    </w:trPr>
                    <w:tc>
                      <w:tcPr>
                        <w:tcW w:w="50" w:type="pct"/>
                        <w:hideMark/>
                      </w:tcPr>
                      <w:p w14:paraId="404A4E9E" w14:textId="77777777" w:rsidR="00B23A01" w:rsidRDefault="00B23A01">
                        <w:pPr>
                          <w:pStyle w:val="Bibliography"/>
                          <w:rPr>
                            <w:noProof/>
                          </w:rPr>
                        </w:pPr>
                        <w:r>
                          <w:rPr>
                            <w:noProof/>
                          </w:rPr>
                          <w:t xml:space="preserve">[41] </w:t>
                        </w:r>
                      </w:p>
                    </w:tc>
                    <w:tc>
                      <w:tcPr>
                        <w:tcW w:w="0" w:type="auto"/>
                        <w:hideMark/>
                      </w:tcPr>
                      <w:p w14:paraId="7DB6E88C" w14:textId="77777777" w:rsidR="00B23A01" w:rsidRDefault="00B23A01">
                        <w:pPr>
                          <w:pStyle w:val="Bibliography"/>
                          <w:rPr>
                            <w:noProof/>
                          </w:rPr>
                        </w:pPr>
                        <w:r>
                          <w:rPr>
                            <w:noProof/>
                          </w:rPr>
                          <w:t>Clearance and Exemption Working Group, “NICoP on Clearance and Radiological Sentencing: Principles, Processes and Practices for use by the Nuclear Industry (Issue 2.01),” May 2017. [Online]. Available: https://nuclearinst.com/write/MediaUploads/SDF%20documents/CEWG/Clearance_and_Exemption_GPG_2.01.pdf.</w:t>
                        </w:r>
                      </w:p>
                    </w:tc>
                  </w:tr>
                  <w:tr w:rsidR="00B23A01" w14:paraId="2AEACAFB" w14:textId="77777777">
                    <w:trPr>
                      <w:divId w:val="468667769"/>
                      <w:tblCellSpacing w:w="15" w:type="dxa"/>
                    </w:trPr>
                    <w:tc>
                      <w:tcPr>
                        <w:tcW w:w="50" w:type="pct"/>
                        <w:hideMark/>
                      </w:tcPr>
                      <w:p w14:paraId="58C9C055" w14:textId="77777777" w:rsidR="00B23A01" w:rsidRDefault="00B23A01">
                        <w:pPr>
                          <w:pStyle w:val="Bibliography"/>
                          <w:rPr>
                            <w:noProof/>
                          </w:rPr>
                        </w:pPr>
                        <w:r>
                          <w:rPr>
                            <w:noProof/>
                          </w:rPr>
                          <w:t xml:space="preserve">[42] </w:t>
                        </w:r>
                      </w:p>
                    </w:tc>
                    <w:tc>
                      <w:tcPr>
                        <w:tcW w:w="0" w:type="auto"/>
                        <w:hideMark/>
                      </w:tcPr>
                      <w:p w14:paraId="4EE4645B" w14:textId="77777777" w:rsidR="00B23A01" w:rsidRDefault="00B23A01">
                        <w:pPr>
                          <w:pStyle w:val="Bibliography"/>
                          <w:rPr>
                            <w:noProof/>
                          </w:rPr>
                        </w:pPr>
                        <w:r>
                          <w:rPr>
                            <w:noProof/>
                          </w:rPr>
                          <w:t>SAFEGROUNDS, “SAFEGROUNDS and SD:SPUR guidance and information,” [Online]. Available: http://www.safegrounds.com/guidance.htm.</w:t>
                        </w:r>
                      </w:p>
                    </w:tc>
                  </w:tr>
                  <w:tr w:rsidR="00B23A01" w14:paraId="10FC4014" w14:textId="77777777">
                    <w:trPr>
                      <w:divId w:val="468667769"/>
                      <w:tblCellSpacing w:w="15" w:type="dxa"/>
                    </w:trPr>
                    <w:tc>
                      <w:tcPr>
                        <w:tcW w:w="50" w:type="pct"/>
                        <w:hideMark/>
                      </w:tcPr>
                      <w:p w14:paraId="0C79C372" w14:textId="77777777" w:rsidR="00B23A01" w:rsidRDefault="00B23A01">
                        <w:pPr>
                          <w:pStyle w:val="Bibliography"/>
                          <w:rPr>
                            <w:noProof/>
                          </w:rPr>
                        </w:pPr>
                        <w:r>
                          <w:rPr>
                            <w:noProof/>
                          </w:rPr>
                          <w:t xml:space="preserve">[43] </w:t>
                        </w:r>
                      </w:p>
                    </w:tc>
                    <w:tc>
                      <w:tcPr>
                        <w:tcW w:w="0" w:type="auto"/>
                        <w:hideMark/>
                      </w:tcPr>
                      <w:p w14:paraId="364BB219" w14:textId="77777777" w:rsidR="00B23A01" w:rsidRDefault="00B23A01">
                        <w:pPr>
                          <w:pStyle w:val="Bibliography"/>
                          <w:rPr>
                            <w:noProof/>
                          </w:rPr>
                        </w:pPr>
                        <w:r>
                          <w:rPr>
                            <w:noProof/>
                          </w:rPr>
                          <w:t>ISO, “ISO 21365:2019 - Soil quality — Conceptual site models for potentially contaminated sites,” 2019.</w:t>
                        </w:r>
                      </w:p>
                    </w:tc>
                  </w:tr>
                  <w:tr w:rsidR="00B23A01" w14:paraId="7A930280" w14:textId="77777777">
                    <w:trPr>
                      <w:divId w:val="468667769"/>
                      <w:tblCellSpacing w:w="15" w:type="dxa"/>
                    </w:trPr>
                    <w:tc>
                      <w:tcPr>
                        <w:tcW w:w="50" w:type="pct"/>
                        <w:hideMark/>
                      </w:tcPr>
                      <w:p w14:paraId="3832EE52" w14:textId="77777777" w:rsidR="00B23A01" w:rsidRDefault="00B23A01">
                        <w:pPr>
                          <w:pStyle w:val="Bibliography"/>
                          <w:rPr>
                            <w:noProof/>
                          </w:rPr>
                        </w:pPr>
                        <w:r>
                          <w:rPr>
                            <w:noProof/>
                          </w:rPr>
                          <w:lastRenderedPageBreak/>
                          <w:t xml:space="preserve">[44] </w:t>
                        </w:r>
                      </w:p>
                    </w:tc>
                    <w:tc>
                      <w:tcPr>
                        <w:tcW w:w="0" w:type="auto"/>
                        <w:hideMark/>
                      </w:tcPr>
                      <w:p w14:paraId="14ED9C54" w14:textId="77777777" w:rsidR="00B23A01" w:rsidRDefault="00B23A01">
                        <w:pPr>
                          <w:pStyle w:val="Bibliography"/>
                          <w:rPr>
                            <w:noProof/>
                          </w:rPr>
                        </w:pPr>
                        <w:r>
                          <w:rPr>
                            <w:noProof/>
                          </w:rPr>
                          <w:t>BSI, “BS 10175:2011+A2:2017 - Investigation of potentially contaminated sites. Code of practice - Code of practice,” 2017.</w:t>
                        </w:r>
                      </w:p>
                    </w:tc>
                  </w:tr>
                  <w:tr w:rsidR="00B23A01" w14:paraId="5A5FAB5E" w14:textId="77777777">
                    <w:trPr>
                      <w:divId w:val="468667769"/>
                      <w:tblCellSpacing w:w="15" w:type="dxa"/>
                    </w:trPr>
                    <w:tc>
                      <w:tcPr>
                        <w:tcW w:w="50" w:type="pct"/>
                        <w:hideMark/>
                      </w:tcPr>
                      <w:p w14:paraId="74D3ED58" w14:textId="77777777" w:rsidR="00B23A01" w:rsidRDefault="00B23A01">
                        <w:pPr>
                          <w:pStyle w:val="Bibliography"/>
                          <w:rPr>
                            <w:noProof/>
                          </w:rPr>
                        </w:pPr>
                        <w:r>
                          <w:rPr>
                            <w:noProof/>
                          </w:rPr>
                          <w:t xml:space="preserve">[45] </w:t>
                        </w:r>
                      </w:p>
                    </w:tc>
                    <w:tc>
                      <w:tcPr>
                        <w:tcW w:w="0" w:type="auto"/>
                        <w:hideMark/>
                      </w:tcPr>
                      <w:p w14:paraId="01454B20" w14:textId="77777777" w:rsidR="00B23A01" w:rsidRDefault="00B23A01">
                        <w:pPr>
                          <w:pStyle w:val="Bibliography"/>
                          <w:rPr>
                            <w:noProof/>
                          </w:rPr>
                        </w:pPr>
                        <w:r>
                          <w:rPr>
                            <w:noProof/>
                          </w:rPr>
                          <w:t>Drinking Water Inspectorate, “Guidance on the implementation of the Water Supply (Water Quality) Regulations 2016 (as amended) in England and the Water Supply (Water Quality) Regulations (Wales) 2018, Version 3.0,” April 2020. [Online]. Available: https://www.dwi.gov.uk/water-companies/guidance-and-codes-of-practice/guidance-on-implementing-the-water-supply-water-quality-regulations/.</w:t>
                        </w:r>
                      </w:p>
                    </w:tc>
                  </w:tr>
                  <w:tr w:rsidR="00B23A01" w14:paraId="172FBBA2" w14:textId="77777777">
                    <w:trPr>
                      <w:divId w:val="468667769"/>
                      <w:tblCellSpacing w:w="15" w:type="dxa"/>
                    </w:trPr>
                    <w:tc>
                      <w:tcPr>
                        <w:tcW w:w="50" w:type="pct"/>
                        <w:hideMark/>
                      </w:tcPr>
                      <w:p w14:paraId="233E1D74" w14:textId="77777777" w:rsidR="00B23A01" w:rsidRDefault="00B23A01">
                        <w:pPr>
                          <w:pStyle w:val="Bibliography"/>
                          <w:rPr>
                            <w:noProof/>
                          </w:rPr>
                        </w:pPr>
                        <w:r>
                          <w:rPr>
                            <w:noProof/>
                          </w:rPr>
                          <w:t xml:space="preserve">[46] </w:t>
                        </w:r>
                      </w:p>
                    </w:tc>
                    <w:tc>
                      <w:tcPr>
                        <w:tcW w:w="0" w:type="auto"/>
                        <w:hideMark/>
                      </w:tcPr>
                      <w:p w14:paraId="20FCA417" w14:textId="77777777" w:rsidR="00B23A01" w:rsidRDefault="00B23A01">
                        <w:pPr>
                          <w:pStyle w:val="Bibliography"/>
                          <w:rPr>
                            <w:noProof/>
                          </w:rPr>
                        </w:pPr>
                        <w:r>
                          <w:rPr>
                            <w:noProof/>
                          </w:rPr>
                          <w:t>World Health Organisation, “Guidelines for drinking-water quality, 4th edition,” 2011. [Online]. Available: https://www.who.int/publications/i/item/9789241549950.</w:t>
                        </w:r>
                      </w:p>
                    </w:tc>
                  </w:tr>
                  <w:tr w:rsidR="00B23A01" w14:paraId="0900C9A1" w14:textId="77777777">
                    <w:trPr>
                      <w:divId w:val="468667769"/>
                      <w:tblCellSpacing w:w="15" w:type="dxa"/>
                    </w:trPr>
                    <w:tc>
                      <w:tcPr>
                        <w:tcW w:w="50" w:type="pct"/>
                        <w:hideMark/>
                      </w:tcPr>
                      <w:p w14:paraId="1D3DEEF3" w14:textId="77777777" w:rsidR="00B23A01" w:rsidRDefault="00B23A01">
                        <w:pPr>
                          <w:pStyle w:val="Bibliography"/>
                          <w:rPr>
                            <w:noProof/>
                          </w:rPr>
                        </w:pPr>
                        <w:r>
                          <w:rPr>
                            <w:noProof/>
                          </w:rPr>
                          <w:t xml:space="preserve">[47] </w:t>
                        </w:r>
                      </w:p>
                    </w:tc>
                    <w:tc>
                      <w:tcPr>
                        <w:tcW w:w="0" w:type="auto"/>
                        <w:hideMark/>
                      </w:tcPr>
                      <w:p w14:paraId="6C04A37C" w14:textId="77777777" w:rsidR="00B23A01" w:rsidRDefault="00B23A01">
                        <w:pPr>
                          <w:pStyle w:val="Bibliography"/>
                          <w:rPr>
                            <w:noProof/>
                          </w:rPr>
                        </w:pPr>
                        <w:r>
                          <w:rPr>
                            <w:noProof/>
                          </w:rPr>
                          <w:t>IAEA, ““Nuclear Security Series 20 - IAEA Nuclear Security Fundamentals”,” [Online]. Available: http://www-pub.iaea.org/MTCD/Publications/PDF/Pub1590_web.pdf.</w:t>
                        </w:r>
                      </w:p>
                    </w:tc>
                  </w:tr>
                  <w:tr w:rsidR="00B23A01" w14:paraId="081441E8" w14:textId="77777777">
                    <w:trPr>
                      <w:divId w:val="468667769"/>
                      <w:tblCellSpacing w:w="15" w:type="dxa"/>
                    </w:trPr>
                    <w:tc>
                      <w:tcPr>
                        <w:tcW w:w="50" w:type="pct"/>
                        <w:hideMark/>
                      </w:tcPr>
                      <w:p w14:paraId="7E43E972" w14:textId="77777777" w:rsidR="00B23A01" w:rsidRDefault="00B23A01">
                        <w:pPr>
                          <w:pStyle w:val="Bibliography"/>
                          <w:rPr>
                            <w:noProof/>
                          </w:rPr>
                        </w:pPr>
                        <w:r>
                          <w:rPr>
                            <w:noProof/>
                          </w:rPr>
                          <w:t xml:space="preserve">[48] </w:t>
                        </w:r>
                      </w:p>
                    </w:tc>
                    <w:tc>
                      <w:tcPr>
                        <w:tcW w:w="0" w:type="auto"/>
                        <w:hideMark/>
                      </w:tcPr>
                      <w:p w14:paraId="0E5FB0F4" w14:textId="77777777" w:rsidR="00B23A01" w:rsidRDefault="00B23A01">
                        <w:pPr>
                          <w:pStyle w:val="Bibliography"/>
                          <w:rPr>
                            <w:noProof/>
                          </w:rPr>
                        </w:pPr>
                        <w:r>
                          <w:rPr>
                            <w:noProof/>
                          </w:rPr>
                          <w:t>IAEA, “Safety Standards Series No. GSG-17 - Application of the Concept of Exemption,” 2023. [Online]. Available: https://www.iaea.org/publications/15293/application-of-the-concept-of-exemption.</w:t>
                        </w:r>
                      </w:p>
                    </w:tc>
                  </w:tr>
                  <w:tr w:rsidR="00B23A01" w14:paraId="02DD5580" w14:textId="77777777">
                    <w:trPr>
                      <w:divId w:val="468667769"/>
                      <w:tblCellSpacing w:w="15" w:type="dxa"/>
                    </w:trPr>
                    <w:tc>
                      <w:tcPr>
                        <w:tcW w:w="50" w:type="pct"/>
                        <w:hideMark/>
                      </w:tcPr>
                      <w:p w14:paraId="0C311CC7" w14:textId="77777777" w:rsidR="00B23A01" w:rsidRDefault="00B23A01">
                        <w:pPr>
                          <w:pStyle w:val="Bibliography"/>
                          <w:rPr>
                            <w:noProof/>
                          </w:rPr>
                        </w:pPr>
                        <w:r>
                          <w:rPr>
                            <w:noProof/>
                          </w:rPr>
                          <w:t xml:space="preserve">[49] </w:t>
                        </w:r>
                      </w:p>
                    </w:tc>
                    <w:tc>
                      <w:tcPr>
                        <w:tcW w:w="0" w:type="auto"/>
                        <w:hideMark/>
                      </w:tcPr>
                      <w:p w14:paraId="5329BA4F" w14:textId="77777777" w:rsidR="00B23A01" w:rsidRDefault="00B23A01">
                        <w:pPr>
                          <w:pStyle w:val="Bibliography"/>
                          <w:rPr>
                            <w:noProof/>
                          </w:rPr>
                        </w:pPr>
                        <w:r>
                          <w:rPr>
                            <w:noProof/>
                          </w:rPr>
                          <w:t>IAEA, “Safety Standards Series No. GSG-18 - Application of the Concept of Clearance,” 2023. [Online]. Available: https://www.iaea.org/publications/15291/application-of-the-concept-of-clearance.</w:t>
                        </w:r>
                      </w:p>
                    </w:tc>
                  </w:tr>
                  <w:tr w:rsidR="00B23A01" w14:paraId="52A4B298" w14:textId="77777777">
                    <w:trPr>
                      <w:divId w:val="468667769"/>
                      <w:tblCellSpacing w:w="15" w:type="dxa"/>
                    </w:trPr>
                    <w:tc>
                      <w:tcPr>
                        <w:tcW w:w="50" w:type="pct"/>
                        <w:hideMark/>
                      </w:tcPr>
                      <w:p w14:paraId="0025B917" w14:textId="77777777" w:rsidR="00B23A01" w:rsidRDefault="00B23A01">
                        <w:pPr>
                          <w:pStyle w:val="Bibliography"/>
                          <w:rPr>
                            <w:noProof/>
                          </w:rPr>
                        </w:pPr>
                        <w:r>
                          <w:rPr>
                            <w:noProof/>
                          </w:rPr>
                          <w:t xml:space="preserve">[50] </w:t>
                        </w:r>
                      </w:p>
                    </w:tc>
                    <w:tc>
                      <w:tcPr>
                        <w:tcW w:w="0" w:type="auto"/>
                        <w:hideMark/>
                      </w:tcPr>
                      <w:p w14:paraId="423A5391" w14:textId="77777777" w:rsidR="00B23A01" w:rsidRDefault="00B23A01">
                        <w:pPr>
                          <w:pStyle w:val="Bibliography"/>
                          <w:rPr>
                            <w:noProof/>
                          </w:rPr>
                        </w:pPr>
                        <w:r>
                          <w:rPr>
                            <w:noProof/>
                          </w:rPr>
                          <w:t>IAEA, “Safety Standards Series No. RS-G-1.7 - Application of the Concepts of Exclusion, Exemption and Clearance,” 2004. [Online]. Available: https://www.iaea.org/publications/7118/application-of-the-concepts-of-exclusion-exemption-and-clearance.</w:t>
                        </w:r>
                      </w:p>
                    </w:tc>
                  </w:tr>
                  <w:tr w:rsidR="00B23A01" w14:paraId="54B332C1" w14:textId="77777777">
                    <w:trPr>
                      <w:divId w:val="468667769"/>
                      <w:tblCellSpacing w:w="15" w:type="dxa"/>
                    </w:trPr>
                    <w:tc>
                      <w:tcPr>
                        <w:tcW w:w="50" w:type="pct"/>
                        <w:hideMark/>
                      </w:tcPr>
                      <w:p w14:paraId="13644165" w14:textId="77777777" w:rsidR="00B23A01" w:rsidRDefault="00B23A01">
                        <w:pPr>
                          <w:pStyle w:val="Bibliography"/>
                          <w:rPr>
                            <w:noProof/>
                          </w:rPr>
                        </w:pPr>
                        <w:r>
                          <w:rPr>
                            <w:noProof/>
                          </w:rPr>
                          <w:t xml:space="preserve">[51] </w:t>
                        </w:r>
                      </w:p>
                    </w:tc>
                    <w:tc>
                      <w:tcPr>
                        <w:tcW w:w="0" w:type="auto"/>
                        <w:hideMark/>
                      </w:tcPr>
                      <w:p w14:paraId="082D80CF" w14:textId="77777777" w:rsidR="00B23A01" w:rsidRDefault="00B23A01">
                        <w:pPr>
                          <w:pStyle w:val="Bibliography"/>
                          <w:rPr>
                            <w:noProof/>
                          </w:rPr>
                        </w:pPr>
                        <w:r>
                          <w:rPr>
                            <w:noProof/>
                          </w:rPr>
                          <w:t>IAEA, “Safety Standards Series No. RS-G-1.8 - Environmental and Source Monitoring for Purposes of Radiation Protection,” 2005. [Online]. Available: https://www.iaea.org/publications/7176/environmental-and-source-monitoring-for-purposes-of-radiation-protection.</w:t>
                        </w:r>
                      </w:p>
                    </w:tc>
                  </w:tr>
                  <w:tr w:rsidR="00B23A01" w14:paraId="4FFEBF1C" w14:textId="77777777">
                    <w:trPr>
                      <w:divId w:val="468667769"/>
                      <w:tblCellSpacing w:w="15" w:type="dxa"/>
                    </w:trPr>
                    <w:tc>
                      <w:tcPr>
                        <w:tcW w:w="50" w:type="pct"/>
                        <w:hideMark/>
                      </w:tcPr>
                      <w:p w14:paraId="79AF00BC" w14:textId="77777777" w:rsidR="00B23A01" w:rsidRDefault="00B23A01">
                        <w:pPr>
                          <w:pStyle w:val="Bibliography"/>
                          <w:rPr>
                            <w:noProof/>
                          </w:rPr>
                        </w:pPr>
                        <w:r>
                          <w:rPr>
                            <w:noProof/>
                          </w:rPr>
                          <w:t xml:space="preserve">[52] </w:t>
                        </w:r>
                      </w:p>
                    </w:tc>
                    <w:tc>
                      <w:tcPr>
                        <w:tcW w:w="0" w:type="auto"/>
                        <w:hideMark/>
                      </w:tcPr>
                      <w:p w14:paraId="49BC1858" w14:textId="77777777" w:rsidR="00B23A01" w:rsidRDefault="00B23A01">
                        <w:pPr>
                          <w:pStyle w:val="Bibliography"/>
                          <w:rPr>
                            <w:noProof/>
                          </w:rPr>
                        </w:pPr>
                        <w:r>
                          <w:rPr>
                            <w:noProof/>
                          </w:rPr>
                          <w:t>IAEA, “Safety Standards Series No. WS-G-3.1 - Remediation Process for Areas Affected by Past Activities and Accidents,” 2007. [Online]. Available: https://www.iaea.org/publications/7537/remediation-process-for-areas-affected-by-past-activities-and-accidents.</w:t>
                        </w:r>
                      </w:p>
                    </w:tc>
                  </w:tr>
                  <w:tr w:rsidR="00B23A01" w14:paraId="6872756B" w14:textId="77777777">
                    <w:trPr>
                      <w:divId w:val="468667769"/>
                      <w:tblCellSpacing w:w="15" w:type="dxa"/>
                    </w:trPr>
                    <w:tc>
                      <w:tcPr>
                        <w:tcW w:w="50" w:type="pct"/>
                        <w:hideMark/>
                      </w:tcPr>
                      <w:p w14:paraId="7AF67886" w14:textId="77777777" w:rsidR="00B23A01" w:rsidRDefault="00B23A01">
                        <w:pPr>
                          <w:pStyle w:val="Bibliography"/>
                          <w:rPr>
                            <w:noProof/>
                          </w:rPr>
                        </w:pPr>
                        <w:r>
                          <w:rPr>
                            <w:noProof/>
                          </w:rPr>
                          <w:t xml:space="preserve">[53] </w:t>
                        </w:r>
                      </w:p>
                    </w:tc>
                    <w:tc>
                      <w:tcPr>
                        <w:tcW w:w="0" w:type="auto"/>
                        <w:hideMark/>
                      </w:tcPr>
                      <w:p w14:paraId="5C7AA756" w14:textId="77777777" w:rsidR="00B23A01" w:rsidRDefault="00B23A01">
                        <w:pPr>
                          <w:pStyle w:val="Bibliography"/>
                          <w:rPr>
                            <w:noProof/>
                          </w:rPr>
                        </w:pPr>
                        <w:r>
                          <w:rPr>
                            <w:noProof/>
                          </w:rPr>
                          <w:t>IAEA, “Safety Standards Series No. GSG-15 - Remediation Strategy and Process for Areas Affected by Past Activities or Events,” 2022. [Online]. Available: https://www.iaea.org/publications/14703/remediation-strategy-and-process-for-areas-affected-by-past-activities-or-events.</w:t>
                        </w:r>
                      </w:p>
                    </w:tc>
                  </w:tr>
                  <w:tr w:rsidR="00B23A01" w14:paraId="5218701A" w14:textId="77777777">
                    <w:trPr>
                      <w:divId w:val="468667769"/>
                      <w:tblCellSpacing w:w="15" w:type="dxa"/>
                    </w:trPr>
                    <w:tc>
                      <w:tcPr>
                        <w:tcW w:w="50" w:type="pct"/>
                        <w:hideMark/>
                      </w:tcPr>
                      <w:p w14:paraId="0A0F6849" w14:textId="77777777" w:rsidR="00B23A01" w:rsidRDefault="00B23A01">
                        <w:pPr>
                          <w:pStyle w:val="Bibliography"/>
                          <w:rPr>
                            <w:noProof/>
                          </w:rPr>
                        </w:pPr>
                        <w:r>
                          <w:rPr>
                            <w:noProof/>
                          </w:rPr>
                          <w:lastRenderedPageBreak/>
                          <w:t xml:space="preserve">[54] </w:t>
                        </w:r>
                      </w:p>
                    </w:tc>
                    <w:tc>
                      <w:tcPr>
                        <w:tcW w:w="0" w:type="auto"/>
                        <w:hideMark/>
                      </w:tcPr>
                      <w:p w14:paraId="0C2066E7" w14:textId="77777777" w:rsidR="00B23A01" w:rsidRDefault="00B23A01">
                        <w:pPr>
                          <w:pStyle w:val="Bibliography"/>
                          <w:rPr>
                            <w:noProof/>
                          </w:rPr>
                        </w:pPr>
                        <w:r>
                          <w:rPr>
                            <w:noProof/>
                          </w:rPr>
                          <w:t>IAEA, “Safety Standards Series No. WS-G-5.1 - Release of Sites from Regulatory Control on Termination of Practices,” 2006. [Online]. Available: https://www.iaea.org/publications/7433/release-of-sites-from-regulatory-control-on-termination-of-practices.</w:t>
                        </w:r>
                      </w:p>
                    </w:tc>
                  </w:tr>
                  <w:tr w:rsidR="00B23A01" w14:paraId="36E6DDCA" w14:textId="77777777">
                    <w:trPr>
                      <w:divId w:val="468667769"/>
                      <w:tblCellSpacing w:w="15" w:type="dxa"/>
                    </w:trPr>
                    <w:tc>
                      <w:tcPr>
                        <w:tcW w:w="50" w:type="pct"/>
                        <w:hideMark/>
                      </w:tcPr>
                      <w:p w14:paraId="0E917A87" w14:textId="77777777" w:rsidR="00B23A01" w:rsidRDefault="00B23A01">
                        <w:pPr>
                          <w:pStyle w:val="Bibliography"/>
                          <w:rPr>
                            <w:noProof/>
                          </w:rPr>
                        </w:pPr>
                        <w:r>
                          <w:rPr>
                            <w:noProof/>
                          </w:rPr>
                          <w:t xml:space="preserve">[55] </w:t>
                        </w:r>
                      </w:p>
                    </w:tc>
                    <w:tc>
                      <w:tcPr>
                        <w:tcW w:w="0" w:type="auto"/>
                        <w:hideMark/>
                      </w:tcPr>
                      <w:p w14:paraId="7E1641CA" w14:textId="77777777" w:rsidR="00B23A01" w:rsidRDefault="00B23A01">
                        <w:pPr>
                          <w:pStyle w:val="Bibliography"/>
                          <w:rPr>
                            <w:noProof/>
                          </w:rPr>
                        </w:pPr>
                        <w:r>
                          <w:rPr>
                            <w:noProof/>
                          </w:rPr>
                          <w:t>IAEA, “Safety Reports Series No. 44 - Derivation of Activity Concentration Values for Exclusion, Exemption and Clearance,” 2005. [Online]. Available: https://www.iaea.org/publications/7131/derivation-of-activity-concentration-values-for-exclusion-exemption-and-clearance.</w:t>
                        </w:r>
                      </w:p>
                    </w:tc>
                  </w:tr>
                  <w:tr w:rsidR="00B23A01" w14:paraId="2E893572" w14:textId="77777777">
                    <w:trPr>
                      <w:divId w:val="468667769"/>
                      <w:tblCellSpacing w:w="15" w:type="dxa"/>
                    </w:trPr>
                    <w:tc>
                      <w:tcPr>
                        <w:tcW w:w="50" w:type="pct"/>
                        <w:hideMark/>
                      </w:tcPr>
                      <w:p w14:paraId="51D76E84" w14:textId="77777777" w:rsidR="00B23A01" w:rsidRDefault="00B23A01">
                        <w:pPr>
                          <w:pStyle w:val="Bibliography"/>
                          <w:rPr>
                            <w:noProof/>
                          </w:rPr>
                        </w:pPr>
                        <w:r>
                          <w:rPr>
                            <w:noProof/>
                          </w:rPr>
                          <w:t xml:space="preserve">[56] </w:t>
                        </w:r>
                      </w:p>
                    </w:tc>
                    <w:tc>
                      <w:tcPr>
                        <w:tcW w:w="0" w:type="auto"/>
                        <w:hideMark/>
                      </w:tcPr>
                      <w:p w14:paraId="50B79984" w14:textId="77777777" w:rsidR="00B23A01" w:rsidRDefault="00B23A01">
                        <w:pPr>
                          <w:pStyle w:val="Bibliography"/>
                          <w:rPr>
                            <w:noProof/>
                          </w:rPr>
                        </w:pPr>
                        <w:r>
                          <w:rPr>
                            <w:noProof/>
                          </w:rPr>
                          <w:t>IAEA, “Safety Reports Series No. 64 - Programmes and Systems for Source and Environmental Radiation Monitoring,” 2010. [Online]. Available: https://www.iaea.org/publications/8242/programmes-and-systems-for-source-and-environmental-radiation-monitoring.</w:t>
                        </w:r>
                      </w:p>
                    </w:tc>
                  </w:tr>
                  <w:tr w:rsidR="00B23A01" w14:paraId="639D41EA" w14:textId="77777777">
                    <w:trPr>
                      <w:divId w:val="468667769"/>
                      <w:tblCellSpacing w:w="15" w:type="dxa"/>
                    </w:trPr>
                    <w:tc>
                      <w:tcPr>
                        <w:tcW w:w="50" w:type="pct"/>
                        <w:hideMark/>
                      </w:tcPr>
                      <w:p w14:paraId="60D41DBE" w14:textId="77777777" w:rsidR="00B23A01" w:rsidRDefault="00B23A01">
                        <w:pPr>
                          <w:pStyle w:val="Bibliography"/>
                          <w:rPr>
                            <w:noProof/>
                          </w:rPr>
                        </w:pPr>
                        <w:r>
                          <w:rPr>
                            <w:noProof/>
                          </w:rPr>
                          <w:t xml:space="preserve">[57] </w:t>
                        </w:r>
                      </w:p>
                    </w:tc>
                    <w:tc>
                      <w:tcPr>
                        <w:tcW w:w="0" w:type="auto"/>
                        <w:hideMark/>
                      </w:tcPr>
                      <w:p w14:paraId="4485FF3B" w14:textId="77777777" w:rsidR="00B23A01" w:rsidRDefault="00B23A01">
                        <w:pPr>
                          <w:pStyle w:val="Bibliography"/>
                          <w:rPr>
                            <w:noProof/>
                          </w:rPr>
                        </w:pPr>
                        <w:r>
                          <w:rPr>
                            <w:noProof/>
                          </w:rPr>
                          <w:t>IAEA, “Safety Reports Series No. 67 - Monitoring for Compliance with Exemption and Clearance Levels,” 2012. [Online]. Available: https://www.iaea.org/publications/8645/monitoring-for-compliance-with-exemption-and-clearance-levels.</w:t>
                        </w:r>
                      </w:p>
                    </w:tc>
                  </w:tr>
                  <w:tr w:rsidR="00B23A01" w14:paraId="47BFCF4A" w14:textId="77777777">
                    <w:trPr>
                      <w:divId w:val="468667769"/>
                      <w:tblCellSpacing w:w="15" w:type="dxa"/>
                    </w:trPr>
                    <w:tc>
                      <w:tcPr>
                        <w:tcW w:w="50" w:type="pct"/>
                        <w:hideMark/>
                      </w:tcPr>
                      <w:p w14:paraId="22F692CA" w14:textId="77777777" w:rsidR="00B23A01" w:rsidRDefault="00B23A01">
                        <w:pPr>
                          <w:pStyle w:val="Bibliography"/>
                          <w:rPr>
                            <w:noProof/>
                          </w:rPr>
                        </w:pPr>
                        <w:r>
                          <w:rPr>
                            <w:noProof/>
                          </w:rPr>
                          <w:t xml:space="preserve">[58] </w:t>
                        </w:r>
                      </w:p>
                    </w:tc>
                    <w:tc>
                      <w:tcPr>
                        <w:tcW w:w="0" w:type="auto"/>
                        <w:hideMark/>
                      </w:tcPr>
                      <w:p w14:paraId="686A0E9F" w14:textId="77777777" w:rsidR="00B23A01" w:rsidRDefault="00B23A01">
                        <w:pPr>
                          <w:pStyle w:val="Bibliography"/>
                          <w:rPr>
                            <w:noProof/>
                          </w:rPr>
                        </w:pPr>
                        <w:r>
                          <w:rPr>
                            <w:noProof/>
                          </w:rPr>
                          <w:t>IAEA, “Safety Reports Series No. 72 - Monitoring for Compliance with Remediation Criteria for Sites,” 2012. [Online]. Available: https://www.iaea.org/publications/8760/monitoring-for-compliance-with-remediation-criteria-for-sites.</w:t>
                        </w:r>
                      </w:p>
                    </w:tc>
                  </w:tr>
                  <w:tr w:rsidR="00B23A01" w14:paraId="002B3D3E" w14:textId="77777777">
                    <w:trPr>
                      <w:divId w:val="468667769"/>
                      <w:tblCellSpacing w:w="15" w:type="dxa"/>
                    </w:trPr>
                    <w:tc>
                      <w:tcPr>
                        <w:tcW w:w="50" w:type="pct"/>
                        <w:hideMark/>
                      </w:tcPr>
                      <w:p w14:paraId="24802872" w14:textId="77777777" w:rsidR="00B23A01" w:rsidRDefault="00B23A01">
                        <w:pPr>
                          <w:pStyle w:val="Bibliography"/>
                          <w:rPr>
                            <w:noProof/>
                          </w:rPr>
                        </w:pPr>
                        <w:r>
                          <w:rPr>
                            <w:noProof/>
                          </w:rPr>
                          <w:t xml:space="preserve">[59] </w:t>
                        </w:r>
                      </w:p>
                    </w:tc>
                    <w:tc>
                      <w:tcPr>
                        <w:tcW w:w="0" w:type="auto"/>
                        <w:hideMark/>
                      </w:tcPr>
                      <w:p w14:paraId="639C59BB" w14:textId="77777777" w:rsidR="00B23A01" w:rsidRDefault="00B23A01">
                        <w:pPr>
                          <w:pStyle w:val="Bibliography"/>
                          <w:rPr>
                            <w:noProof/>
                          </w:rPr>
                        </w:pPr>
                        <w:r>
                          <w:rPr>
                            <w:noProof/>
                          </w:rPr>
                          <w:t>IAEA, “Technical Reports Series No. 424 - Remediation of Sites With Dispersed Radioactive Contamination,” 2004. [Online]. Available: https://www.iaea.org/publications/6881/remediation-of-sites-with-dispersed-radioactive-contamination.</w:t>
                        </w:r>
                      </w:p>
                    </w:tc>
                  </w:tr>
                  <w:tr w:rsidR="00B23A01" w14:paraId="542168BF" w14:textId="77777777">
                    <w:trPr>
                      <w:divId w:val="468667769"/>
                      <w:tblCellSpacing w:w="15" w:type="dxa"/>
                    </w:trPr>
                    <w:tc>
                      <w:tcPr>
                        <w:tcW w:w="50" w:type="pct"/>
                        <w:hideMark/>
                      </w:tcPr>
                      <w:p w14:paraId="15D932FE" w14:textId="77777777" w:rsidR="00B23A01" w:rsidRDefault="00B23A01">
                        <w:pPr>
                          <w:pStyle w:val="Bibliography"/>
                          <w:rPr>
                            <w:noProof/>
                          </w:rPr>
                        </w:pPr>
                        <w:r>
                          <w:rPr>
                            <w:noProof/>
                          </w:rPr>
                          <w:t xml:space="preserve">[60] </w:t>
                        </w:r>
                      </w:p>
                    </w:tc>
                    <w:tc>
                      <w:tcPr>
                        <w:tcW w:w="0" w:type="auto"/>
                        <w:hideMark/>
                      </w:tcPr>
                      <w:p w14:paraId="4885E7FB" w14:textId="77777777" w:rsidR="00B23A01" w:rsidRDefault="00B23A01">
                        <w:pPr>
                          <w:pStyle w:val="Bibliography"/>
                          <w:rPr>
                            <w:noProof/>
                          </w:rPr>
                        </w:pPr>
                        <w:r>
                          <w:rPr>
                            <w:noProof/>
                          </w:rPr>
                          <w:t>IAEA, “Technical Reports Series No. 445 - Applicability of Monitored Natural Attenuation at Radioactively Contaminated Sites,” 2006. [Online]. Available: https://www.iaea.org/publications/7320/applicability-of-monitored-natural-attenuation-at-radioactively-contaminated-sites.</w:t>
                        </w:r>
                      </w:p>
                    </w:tc>
                  </w:tr>
                  <w:tr w:rsidR="00B23A01" w14:paraId="45ED8E63" w14:textId="77777777">
                    <w:trPr>
                      <w:divId w:val="468667769"/>
                      <w:tblCellSpacing w:w="15" w:type="dxa"/>
                    </w:trPr>
                    <w:tc>
                      <w:tcPr>
                        <w:tcW w:w="50" w:type="pct"/>
                        <w:hideMark/>
                      </w:tcPr>
                      <w:p w14:paraId="20BC4E44" w14:textId="77777777" w:rsidR="00B23A01" w:rsidRDefault="00B23A01">
                        <w:pPr>
                          <w:pStyle w:val="Bibliography"/>
                          <w:rPr>
                            <w:noProof/>
                          </w:rPr>
                        </w:pPr>
                        <w:r>
                          <w:rPr>
                            <w:noProof/>
                          </w:rPr>
                          <w:t xml:space="preserve">[61] </w:t>
                        </w:r>
                      </w:p>
                    </w:tc>
                    <w:tc>
                      <w:tcPr>
                        <w:tcW w:w="0" w:type="auto"/>
                        <w:hideMark/>
                      </w:tcPr>
                      <w:p w14:paraId="7313493D" w14:textId="77777777" w:rsidR="00B23A01" w:rsidRDefault="00B23A01">
                        <w:pPr>
                          <w:pStyle w:val="Bibliography"/>
                          <w:rPr>
                            <w:noProof/>
                          </w:rPr>
                        </w:pPr>
                        <w:r>
                          <w:rPr>
                            <w:noProof/>
                          </w:rPr>
                          <w:t>IAEA, “Technical Reports Series No. 475 - Guidelines for Remediation Strategies to Reduce the Radiological Consequences of Environmental Contamination,” 2013. [Online]. Available: https://www.iaea.org/publications/8874/guidelines-for-remediation-strategies-to-reduce-the-radiological-consequences-of-environmental-contamination.</w:t>
                        </w:r>
                      </w:p>
                    </w:tc>
                  </w:tr>
                </w:tbl>
                <w:p w14:paraId="457C5517" w14:textId="77777777" w:rsidR="00B23A01" w:rsidRDefault="00B23A01">
                  <w:pPr>
                    <w:divId w:val="468667769"/>
                    <w:rPr>
                      <w:rFonts w:eastAsia="Times New Roman"/>
                      <w:noProof/>
                    </w:rPr>
                  </w:pPr>
                </w:p>
                <w:p w14:paraId="3E7D937F" w14:textId="39CE7BC7" w:rsidR="00A751FB" w:rsidRDefault="00A751FB">
                  <w:r>
                    <w:rPr>
                      <w:b/>
                      <w:bCs/>
                    </w:rPr>
                    <w:fldChar w:fldCharType="end"/>
                  </w:r>
                </w:p>
              </w:sdtContent>
            </w:sdt>
          </w:sdtContent>
        </w:sdt>
        <w:p w14:paraId="7E08896C" w14:textId="77777777" w:rsidR="00A751FB" w:rsidRPr="002534D7" w:rsidRDefault="00A751FB" w:rsidP="00A751FB">
          <w:pPr>
            <w:pStyle w:val="Bulletlist1"/>
            <w:numPr>
              <w:ilvl w:val="0"/>
              <w:numId w:val="0"/>
            </w:numPr>
            <w:ind w:left="1418" w:hanging="357"/>
          </w:pPr>
        </w:p>
        <w:p w14:paraId="76A1B1EC" w14:textId="77777777" w:rsidR="00A751FB" w:rsidRDefault="00A751FB" w:rsidP="00A751FB">
          <w:pPr>
            <w:pStyle w:val="Heading1"/>
            <w:numPr>
              <w:ilvl w:val="0"/>
              <w:numId w:val="0"/>
            </w:numPr>
            <w:ind w:left="851" w:hanging="851"/>
            <w:sectPr w:rsidR="00A751FB" w:rsidSect="003F70EC">
              <w:endnotePr>
                <w:numFmt w:val="decimal"/>
              </w:endnotePr>
              <w:pgSz w:w="11906" w:h="16838" w:code="9"/>
              <w:pgMar w:top="1440" w:right="1440" w:bottom="1440" w:left="1440" w:header="397" w:footer="397" w:gutter="0"/>
              <w:cols w:space="312"/>
              <w:docGrid w:linePitch="360"/>
            </w:sectPr>
          </w:pPr>
        </w:p>
        <w:p w14:paraId="0A62CE46" w14:textId="77777777" w:rsidR="00A751FB" w:rsidRPr="003B4701" w:rsidRDefault="00A751FB" w:rsidP="00A751FB">
          <w:pPr>
            <w:pStyle w:val="Heading1"/>
            <w:numPr>
              <w:ilvl w:val="0"/>
              <w:numId w:val="0"/>
            </w:numPr>
            <w:ind w:left="851" w:hanging="851"/>
          </w:pPr>
          <w:bookmarkStart w:id="56" w:name="_Toc183698835"/>
          <w:r w:rsidRPr="003B4701">
            <w:lastRenderedPageBreak/>
            <w:t xml:space="preserve">Glossary and </w:t>
          </w:r>
          <w:r>
            <w:t>a</w:t>
          </w:r>
          <w:r w:rsidRPr="003B4701">
            <w:t>bbreviations</w:t>
          </w:r>
          <w:bookmarkEnd w:id="56"/>
        </w:p>
        <w:p w14:paraId="0B900962" w14:textId="77777777" w:rsidR="00A751FB" w:rsidRDefault="00A751FB" w:rsidP="00A751FB">
          <w:pPr>
            <w:tabs>
              <w:tab w:val="left" w:pos="1440"/>
            </w:tabs>
            <w:spacing w:line="240" w:lineRule="auto"/>
            <w:contextualSpacing/>
          </w:pPr>
          <w:r>
            <w:t>ALARP</w:t>
          </w:r>
          <w:r>
            <w:tab/>
            <w:t>As Low As Reasonably Practicable</w:t>
          </w:r>
        </w:p>
        <w:p w14:paraId="2FC49FB0" w14:textId="77777777" w:rsidR="00A751FB" w:rsidRPr="00C57B42" w:rsidRDefault="00A751FB" w:rsidP="00A751FB">
          <w:pPr>
            <w:tabs>
              <w:tab w:val="left" w:pos="1440"/>
            </w:tabs>
            <w:spacing w:line="240" w:lineRule="auto"/>
            <w:contextualSpacing/>
          </w:pPr>
          <w:r w:rsidRPr="00C57B42">
            <w:t>BAT</w:t>
          </w:r>
          <w:r w:rsidRPr="00C57B42">
            <w:tab/>
            <w:t>Best Available Technique</w:t>
          </w:r>
        </w:p>
        <w:p w14:paraId="252EE76D" w14:textId="77777777" w:rsidR="00A751FB" w:rsidRPr="00C57B42" w:rsidRDefault="00A751FB" w:rsidP="00A751FB">
          <w:pPr>
            <w:tabs>
              <w:tab w:val="left" w:pos="1440"/>
            </w:tabs>
            <w:spacing w:line="240" w:lineRule="auto"/>
            <w:contextualSpacing/>
          </w:pPr>
          <w:r w:rsidRPr="00C57B42">
            <w:t>CSM</w:t>
          </w:r>
          <w:r w:rsidRPr="00C57B42">
            <w:tab/>
            <w:t>Conceptual Site Model</w:t>
          </w:r>
        </w:p>
        <w:p w14:paraId="1370F4D3" w14:textId="77777777" w:rsidR="00A751FB" w:rsidRDefault="00A751FB" w:rsidP="00A751FB">
          <w:pPr>
            <w:tabs>
              <w:tab w:val="left" w:pos="1440"/>
            </w:tabs>
            <w:spacing w:line="240" w:lineRule="auto"/>
            <w:contextualSpacing/>
          </w:pPr>
          <w:r>
            <w:t>DWI</w:t>
          </w:r>
          <w:r>
            <w:tab/>
            <w:t>Drinking Water Inspectorate</w:t>
          </w:r>
        </w:p>
        <w:p w14:paraId="6F6D0D47" w14:textId="77777777" w:rsidR="00A751FB" w:rsidRDefault="00A751FB" w:rsidP="00A751FB">
          <w:pPr>
            <w:tabs>
              <w:tab w:val="left" w:pos="1440"/>
            </w:tabs>
            <w:spacing w:line="240" w:lineRule="auto"/>
            <w:contextualSpacing/>
          </w:pPr>
          <w:r>
            <w:t>EA</w:t>
          </w:r>
          <w:r>
            <w:tab/>
            <w:t>Environment Agency</w:t>
          </w:r>
        </w:p>
        <w:p w14:paraId="45A359B3" w14:textId="77777777" w:rsidR="00A751FB" w:rsidRDefault="00A751FB" w:rsidP="00A751FB">
          <w:pPr>
            <w:tabs>
              <w:tab w:val="left" w:pos="1440"/>
            </w:tabs>
            <w:spacing w:line="240" w:lineRule="auto"/>
            <w:contextualSpacing/>
          </w:pPr>
          <w:r>
            <w:t>EASR18</w:t>
          </w:r>
          <w:r>
            <w:tab/>
            <w:t>Environmental Authorisations (Scotland) Regulations 2018</w:t>
          </w:r>
        </w:p>
        <w:p w14:paraId="26B4FA13" w14:textId="77777777" w:rsidR="00A751FB" w:rsidRDefault="00A751FB" w:rsidP="00A751FB">
          <w:pPr>
            <w:tabs>
              <w:tab w:val="left" w:pos="1440"/>
            </w:tabs>
            <w:spacing w:line="240" w:lineRule="auto"/>
            <w:contextualSpacing/>
          </w:pPr>
          <w:r>
            <w:t>EMM</w:t>
          </w:r>
          <w:r>
            <w:tab/>
            <w:t>Enforcement Management Model</w:t>
          </w:r>
        </w:p>
        <w:p w14:paraId="07EA80C6" w14:textId="77777777" w:rsidR="00A751FB" w:rsidRDefault="00A751FB" w:rsidP="00A751FB">
          <w:pPr>
            <w:tabs>
              <w:tab w:val="left" w:pos="1440"/>
            </w:tabs>
            <w:spacing w:line="240" w:lineRule="auto"/>
            <w:contextualSpacing/>
          </w:pPr>
          <w:r>
            <w:t>EPA90</w:t>
          </w:r>
          <w:r>
            <w:tab/>
            <w:t>Environmental Protection Act 1990</w:t>
          </w:r>
        </w:p>
        <w:p w14:paraId="4A5AE58D" w14:textId="77777777" w:rsidR="00A751FB" w:rsidRDefault="00A751FB" w:rsidP="00A751FB">
          <w:pPr>
            <w:tabs>
              <w:tab w:val="left" w:pos="1440"/>
            </w:tabs>
            <w:spacing w:line="240" w:lineRule="auto"/>
            <w:contextualSpacing/>
          </w:pPr>
          <w:r>
            <w:t>EPR16</w:t>
          </w:r>
          <w:r>
            <w:tab/>
            <w:t>Environmental Permitting (England and Wales) Regulations 2016</w:t>
          </w:r>
        </w:p>
        <w:p w14:paraId="1C251FDA" w14:textId="77777777" w:rsidR="00A751FB" w:rsidRDefault="00A751FB" w:rsidP="00A751FB">
          <w:pPr>
            <w:tabs>
              <w:tab w:val="left" w:pos="1440"/>
            </w:tabs>
            <w:spacing w:line="240" w:lineRule="auto"/>
            <w:contextualSpacing/>
          </w:pPr>
          <w:r>
            <w:t>GSG</w:t>
          </w:r>
          <w:r>
            <w:tab/>
            <w:t>General Safety Guide (IAEA)</w:t>
          </w:r>
        </w:p>
        <w:p w14:paraId="5743A890" w14:textId="77777777" w:rsidR="00A751FB" w:rsidRDefault="00A751FB" w:rsidP="00A751FB">
          <w:pPr>
            <w:tabs>
              <w:tab w:val="left" w:pos="1440"/>
            </w:tabs>
            <w:spacing w:line="240" w:lineRule="auto"/>
            <w:contextualSpacing/>
          </w:pPr>
          <w:r>
            <w:t>GSR</w:t>
          </w:r>
          <w:r>
            <w:tab/>
            <w:t>General Safety Requirement(s) (IAEA)</w:t>
          </w:r>
        </w:p>
        <w:p w14:paraId="59A68942" w14:textId="77777777" w:rsidR="00A751FB" w:rsidRDefault="00A751FB" w:rsidP="00A751FB">
          <w:pPr>
            <w:tabs>
              <w:tab w:val="left" w:pos="1440"/>
            </w:tabs>
            <w:spacing w:line="240" w:lineRule="auto"/>
            <w:contextualSpacing/>
          </w:pPr>
          <w:r>
            <w:t>HSWA74</w:t>
          </w:r>
          <w:r>
            <w:tab/>
            <w:t>Health and Safety at Work etc. Act 1974</w:t>
          </w:r>
        </w:p>
        <w:p w14:paraId="64EC86DC" w14:textId="77777777" w:rsidR="00A751FB" w:rsidRDefault="00A751FB" w:rsidP="00A751FB">
          <w:pPr>
            <w:tabs>
              <w:tab w:val="left" w:pos="1440"/>
            </w:tabs>
            <w:spacing w:line="240" w:lineRule="auto"/>
            <w:contextualSpacing/>
          </w:pPr>
          <w:r w:rsidRPr="0003328B">
            <w:t>IAEA</w:t>
          </w:r>
          <w:r w:rsidRPr="0003328B">
            <w:tab/>
            <w:t>International Atomic Energy Agency</w:t>
          </w:r>
        </w:p>
        <w:p w14:paraId="60FE969D" w14:textId="77777777" w:rsidR="00A751FB" w:rsidRDefault="00A751FB" w:rsidP="00A751FB">
          <w:pPr>
            <w:tabs>
              <w:tab w:val="left" w:pos="1440"/>
            </w:tabs>
            <w:spacing w:line="240" w:lineRule="auto"/>
            <w:contextualSpacing/>
          </w:pPr>
          <w:r>
            <w:t>ICRP</w:t>
          </w:r>
          <w:r>
            <w:tab/>
          </w:r>
          <w:r w:rsidRPr="00957E85">
            <w:t>International Commission on Radiological Protection</w:t>
          </w:r>
        </w:p>
        <w:p w14:paraId="21E4E612" w14:textId="77777777" w:rsidR="00A751FB" w:rsidRPr="0003328B" w:rsidRDefault="00A751FB" w:rsidP="00A751FB">
          <w:pPr>
            <w:tabs>
              <w:tab w:val="left" w:pos="1440"/>
            </w:tabs>
            <w:spacing w:line="240" w:lineRule="auto"/>
            <w:contextualSpacing/>
          </w:pPr>
          <w:r>
            <w:t>IRR17</w:t>
          </w:r>
          <w:r>
            <w:tab/>
            <w:t>Ionising Radiations Regulations 2017</w:t>
          </w:r>
        </w:p>
        <w:p w14:paraId="655AFCA1" w14:textId="77777777" w:rsidR="00A751FB" w:rsidRDefault="00A751FB" w:rsidP="00A751FB">
          <w:pPr>
            <w:tabs>
              <w:tab w:val="left" w:pos="1440"/>
            </w:tabs>
            <w:spacing w:line="240" w:lineRule="auto"/>
            <w:contextualSpacing/>
          </w:pPr>
          <w:r>
            <w:t>LC</w:t>
          </w:r>
          <w:r>
            <w:tab/>
            <w:t>Licence Condition</w:t>
          </w:r>
        </w:p>
        <w:p w14:paraId="6E9AA040" w14:textId="77777777" w:rsidR="00A751FB" w:rsidRDefault="00A751FB" w:rsidP="00A751FB">
          <w:pPr>
            <w:tabs>
              <w:tab w:val="left" w:pos="1440"/>
            </w:tabs>
            <w:spacing w:line="240" w:lineRule="auto"/>
            <w:contextualSpacing/>
          </w:pPr>
          <w:r>
            <w:t>LQM</w:t>
          </w:r>
          <w:r>
            <w:tab/>
            <w:t>Land Quality Management</w:t>
          </w:r>
        </w:p>
        <w:p w14:paraId="3D02A971" w14:textId="77777777" w:rsidR="00A751FB" w:rsidRDefault="00A751FB" w:rsidP="00A751FB">
          <w:pPr>
            <w:tabs>
              <w:tab w:val="left" w:pos="1440"/>
            </w:tabs>
            <w:spacing w:line="240" w:lineRule="auto"/>
            <w:contextualSpacing/>
          </w:pPr>
          <w:r w:rsidRPr="002534D7">
            <w:t>MHSWR</w:t>
          </w:r>
          <w:r>
            <w:t>99</w:t>
          </w:r>
          <w:r>
            <w:tab/>
          </w:r>
          <w:r w:rsidRPr="008C59F4">
            <w:t>Management of Health and Safety at Work Regulations 1999</w:t>
          </w:r>
        </w:p>
        <w:p w14:paraId="2A2B2700" w14:textId="77777777" w:rsidR="00A751FB" w:rsidRDefault="00A751FB" w:rsidP="00A751FB">
          <w:pPr>
            <w:tabs>
              <w:tab w:val="left" w:pos="1440"/>
            </w:tabs>
            <w:spacing w:line="240" w:lineRule="auto"/>
            <w:contextualSpacing/>
          </w:pPr>
          <w:r>
            <w:t>MNA</w:t>
          </w:r>
          <w:r>
            <w:tab/>
            <w:t>Monitored Natural Attenuation</w:t>
          </w:r>
        </w:p>
        <w:p w14:paraId="5483E166" w14:textId="77777777" w:rsidR="00A751FB" w:rsidRDefault="00A751FB" w:rsidP="00A751FB">
          <w:pPr>
            <w:tabs>
              <w:tab w:val="left" w:pos="1440"/>
            </w:tabs>
            <w:spacing w:line="240" w:lineRule="auto"/>
            <w:contextualSpacing/>
          </w:pPr>
          <w:r>
            <w:t>MoU</w:t>
          </w:r>
          <w:r>
            <w:tab/>
            <w:t>Memorandum of Understanding</w:t>
          </w:r>
        </w:p>
        <w:p w14:paraId="626ADAF2" w14:textId="77777777" w:rsidR="00A751FB" w:rsidRDefault="00A751FB" w:rsidP="00A751FB">
          <w:pPr>
            <w:tabs>
              <w:tab w:val="left" w:pos="1440"/>
            </w:tabs>
            <w:spacing w:line="240" w:lineRule="auto"/>
            <w:contextualSpacing/>
          </w:pPr>
          <w:r>
            <w:t>NDA</w:t>
          </w:r>
          <w:r>
            <w:tab/>
            <w:t>Nuclear Decommissioning Authority</w:t>
          </w:r>
        </w:p>
        <w:p w14:paraId="385E6E66" w14:textId="77777777" w:rsidR="00A751FB" w:rsidRDefault="00A751FB" w:rsidP="00A751FB">
          <w:pPr>
            <w:tabs>
              <w:tab w:val="left" w:pos="1440"/>
            </w:tabs>
            <w:spacing w:line="240" w:lineRule="auto"/>
            <w:contextualSpacing/>
          </w:pPr>
          <w:r>
            <w:t>NIA65</w:t>
          </w:r>
          <w:r>
            <w:tab/>
            <w:t>Nuclear Installations Act 1965</w:t>
          </w:r>
        </w:p>
        <w:p w14:paraId="19BE1BE5" w14:textId="77777777" w:rsidR="00A751FB" w:rsidRDefault="00A751FB" w:rsidP="00A751FB">
          <w:pPr>
            <w:tabs>
              <w:tab w:val="left" w:pos="1440"/>
            </w:tabs>
            <w:spacing w:line="240" w:lineRule="auto"/>
            <w:contextualSpacing/>
          </w:pPr>
          <w:r>
            <w:t>NICOP</w:t>
          </w:r>
          <w:r>
            <w:tab/>
            <w:t>Nuclear Industry Code of Practice</w:t>
          </w:r>
        </w:p>
        <w:p w14:paraId="2D40D5B1" w14:textId="77777777" w:rsidR="00A751FB" w:rsidRDefault="00A751FB" w:rsidP="00A751FB">
          <w:pPr>
            <w:tabs>
              <w:tab w:val="left" w:pos="1440"/>
            </w:tabs>
            <w:spacing w:line="240" w:lineRule="auto"/>
            <w:contextualSpacing/>
          </w:pPr>
          <w:r>
            <w:t>NIGLQ</w:t>
          </w:r>
          <w:r>
            <w:tab/>
            <w:t>Nuclear Industry Group for Land Quality</w:t>
          </w:r>
        </w:p>
        <w:p w14:paraId="2B52B54D" w14:textId="77777777" w:rsidR="00A751FB" w:rsidRDefault="00A751FB" w:rsidP="00A751FB">
          <w:pPr>
            <w:tabs>
              <w:tab w:val="left" w:pos="1440"/>
            </w:tabs>
            <w:spacing w:line="240" w:lineRule="auto"/>
            <w:contextualSpacing/>
          </w:pPr>
          <w:r>
            <w:t>NIGPG</w:t>
          </w:r>
          <w:r>
            <w:tab/>
            <w:t>Nuclear Industry Good Practice Guide</w:t>
          </w:r>
        </w:p>
        <w:p w14:paraId="1F022830" w14:textId="77777777" w:rsidR="00A751FB" w:rsidRDefault="00A751FB" w:rsidP="00A751FB">
          <w:pPr>
            <w:tabs>
              <w:tab w:val="left" w:pos="1440"/>
            </w:tabs>
            <w:spacing w:line="240" w:lineRule="auto"/>
            <w:contextualSpacing/>
          </w:pPr>
          <w:r>
            <w:t>NRW</w:t>
          </w:r>
          <w:r>
            <w:tab/>
            <w:t>Natural Resources Wales</w:t>
          </w:r>
        </w:p>
        <w:p w14:paraId="30CC6B6A" w14:textId="77777777" w:rsidR="00A751FB" w:rsidRDefault="00A751FB" w:rsidP="00A751FB">
          <w:pPr>
            <w:tabs>
              <w:tab w:val="left" w:pos="1440"/>
            </w:tabs>
            <w:spacing w:line="240" w:lineRule="auto"/>
            <w:contextualSpacing/>
          </w:pPr>
          <w:r>
            <w:t>PHE</w:t>
          </w:r>
          <w:r>
            <w:tab/>
          </w:r>
          <w:r w:rsidRPr="00957E85">
            <w:t>Public Health England (previously Health Protection Agency</w:t>
          </w:r>
          <w:r>
            <w:t>, HPA)</w:t>
          </w:r>
        </w:p>
        <w:p w14:paraId="2D41A145" w14:textId="77777777" w:rsidR="00A751FB" w:rsidRDefault="00A751FB" w:rsidP="00A751FB">
          <w:pPr>
            <w:tabs>
              <w:tab w:val="left" w:pos="1440"/>
            </w:tabs>
            <w:spacing w:line="240" w:lineRule="auto"/>
            <w:contextualSpacing/>
          </w:pPr>
          <w:r>
            <w:t>RGP</w:t>
          </w:r>
          <w:r>
            <w:tab/>
            <w:t>Relevant Good Practice</w:t>
          </w:r>
        </w:p>
        <w:p w14:paraId="49D48CC9" w14:textId="77777777" w:rsidR="00A751FB" w:rsidRDefault="00A751FB" w:rsidP="00A751FB">
          <w:pPr>
            <w:tabs>
              <w:tab w:val="left" w:pos="1440"/>
            </w:tabs>
            <w:spacing w:line="240" w:lineRule="auto"/>
            <w:contextualSpacing/>
          </w:pPr>
          <w:r>
            <w:t>RSR</w:t>
          </w:r>
          <w:r>
            <w:tab/>
            <w:t>Radioactive Substances Regulation</w:t>
          </w:r>
        </w:p>
        <w:p w14:paraId="7A29E81D" w14:textId="77777777" w:rsidR="00A751FB" w:rsidRDefault="00A751FB" w:rsidP="00A751FB">
          <w:pPr>
            <w:tabs>
              <w:tab w:val="left" w:pos="1440"/>
            </w:tabs>
            <w:spacing w:line="240" w:lineRule="auto"/>
            <w:contextualSpacing/>
          </w:pPr>
          <w:r w:rsidRPr="0003328B">
            <w:t>SAP</w:t>
          </w:r>
          <w:r w:rsidRPr="0003328B">
            <w:tab/>
            <w:t xml:space="preserve">Safety Assessment Principle(s) </w:t>
          </w:r>
        </w:p>
        <w:p w14:paraId="34BA8C5C" w14:textId="77777777" w:rsidR="00A751FB" w:rsidRDefault="00A751FB" w:rsidP="00A751FB">
          <w:pPr>
            <w:tabs>
              <w:tab w:val="left" w:pos="1440"/>
            </w:tabs>
            <w:spacing w:line="240" w:lineRule="auto"/>
            <w:contextualSpacing/>
          </w:pPr>
          <w:r>
            <w:t>SEPA</w:t>
          </w:r>
          <w:r>
            <w:tab/>
            <w:t>Scottish Environment Protection Agency</w:t>
          </w:r>
        </w:p>
        <w:p w14:paraId="73A76795" w14:textId="77777777" w:rsidR="00A751FB" w:rsidRDefault="00A751FB" w:rsidP="00A751FB">
          <w:pPr>
            <w:tabs>
              <w:tab w:val="left" w:pos="1440"/>
            </w:tabs>
            <w:spacing w:line="240" w:lineRule="auto"/>
            <w:contextualSpacing/>
          </w:pPr>
          <w:r>
            <w:t>SFAIRP</w:t>
          </w:r>
          <w:r>
            <w:tab/>
          </w:r>
          <w:r w:rsidRPr="002534D7">
            <w:t>So Far As Is Reasonably Practicable</w:t>
          </w:r>
        </w:p>
        <w:p w14:paraId="783DA7E0" w14:textId="77777777" w:rsidR="00A751FB" w:rsidRDefault="00A751FB" w:rsidP="00A751FB">
          <w:pPr>
            <w:tabs>
              <w:tab w:val="left" w:pos="1440"/>
            </w:tabs>
            <w:spacing w:line="240" w:lineRule="auto"/>
            <w:contextualSpacing/>
          </w:pPr>
          <w:r>
            <w:t>SRL</w:t>
          </w:r>
          <w:r>
            <w:tab/>
            <w:t>Safety Reference Level (WENRA)</w:t>
          </w:r>
        </w:p>
        <w:p w14:paraId="705E3A2D" w14:textId="77777777" w:rsidR="00A751FB" w:rsidRDefault="00A751FB" w:rsidP="00A751FB">
          <w:pPr>
            <w:tabs>
              <w:tab w:val="left" w:pos="1440"/>
            </w:tabs>
            <w:spacing w:line="240" w:lineRule="auto"/>
            <w:contextualSpacing/>
          </w:pPr>
          <w:r>
            <w:t>SRS</w:t>
          </w:r>
          <w:r>
            <w:tab/>
            <w:t>Safety Report Series (IAEA)</w:t>
          </w:r>
        </w:p>
        <w:p w14:paraId="69EACFA6" w14:textId="77777777" w:rsidR="00A751FB" w:rsidRDefault="00A751FB" w:rsidP="00A751FB">
          <w:pPr>
            <w:tabs>
              <w:tab w:val="left" w:pos="1440"/>
            </w:tabs>
            <w:spacing w:line="240" w:lineRule="auto"/>
            <w:contextualSpacing/>
          </w:pPr>
          <w:r>
            <w:t>SSC</w:t>
          </w:r>
          <w:r>
            <w:tab/>
            <w:t>Structures, Systems and Components</w:t>
          </w:r>
        </w:p>
        <w:p w14:paraId="702D0485" w14:textId="77777777" w:rsidR="00A751FB" w:rsidRPr="0003328B" w:rsidRDefault="00A751FB" w:rsidP="00A751FB">
          <w:pPr>
            <w:tabs>
              <w:tab w:val="left" w:pos="1440"/>
            </w:tabs>
            <w:spacing w:line="240" w:lineRule="auto"/>
            <w:contextualSpacing/>
          </w:pPr>
          <w:r>
            <w:t>SWESC</w:t>
          </w:r>
          <w:r>
            <w:tab/>
            <w:t>Site Wide Environmental Safety Case</w:t>
          </w:r>
        </w:p>
        <w:p w14:paraId="0A134DC4" w14:textId="77777777" w:rsidR="00A751FB" w:rsidRDefault="00A751FB" w:rsidP="00A751FB">
          <w:pPr>
            <w:tabs>
              <w:tab w:val="left" w:pos="1440"/>
            </w:tabs>
            <w:spacing w:line="240" w:lineRule="auto"/>
            <w:contextualSpacing/>
          </w:pPr>
          <w:r w:rsidRPr="0003328B">
            <w:t>TAG</w:t>
          </w:r>
          <w:r w:rsidRPr="0003328B">
            <w:tab/>
            <w:t>Technical Assessment Guide(s)</w:t>
          </w:r>
        </w:p>
        <w:p w14:paraId="219B1DF7" w14:textId="77777777" w:rsidR="00A751FB" w:rsidRDefault="00A751FB" w:rsidP="00A751FB">
          <w:pPr>
            <w:tabs>
              <w:tab w:val="left" w:pos="1440"/>
            </w:tabs>
            <w:spacing w:line="240" w:lineRule="auto"/>
            <w:contextualSpacing/>
          </w:pPr>
          <w:r>
            <w:t>TIG</w:t>
          </w:r>
          <w:r>
            <w:tab/>
          </w:r>
          <w:r w:rsidRPr="0003328B">
            <w:t xml:space="preserve">Technical </w:t>
          </w:r>
          <w:r>
            <w:t xml:space="preserve">Inspection </w:t>
          </w:r>
          <w:r w:rsidRPr="0003328B">
            <w:t>Guide(s)</w:t>
          </w:r>
        </w:p>
        <w:p w14:paraId="56D94454" w14:textId="77777777" w:rsidR="00A751FB" w:rsidRPr="0003328B" w:rsidRDefault="00A751FB" w:rsidP="00A751FB">
          <w:pPr>
            <w:tabs>
              <w:tab w:val="left" w:pos="1440"/>
            </w:tabs>
            <w:spacing w:line="240" w:lineRule="auto"/>
            <w:contextualSpacing/>
          </w:pPr>
          <w:r>
            <w:t>TRS</w:t>
          </w:r>
          <w:r>
            <w:tab/>
            <w:t>Technical Report Series (IAEA)</w:t>
          </w:r>
        </w:p>
        <w:p w14:paraId="681F1BD0" w14:textId="77777777" w:rsidR="00A751FB" w:rsidRDefault="00A751FB" w:rsidP="00A751FB">
          <w:pPr>
            <w:tabs>
              <w:tab w:val="left" w:pos="1440"/>
            </w:tabs>
            <w:spacing w:line="240" w:lineRule="auto"/>
            <w:contextualSpacing/>
          </w:pPr>
          <w:r w:rsidRPr="0003328B">
            <w:t>WENRA</w:t>
          </w:r>
          <w:r w:rsidRPr="0003328B">
            <w:tab/>
            <w:t>Western European Nuclear Regulators’ Association</w:t>
          </w:r>
        </w:p>
        <w:p w14:paraId="0C7AD77A" w14:textId="3C1B2906" w:rsidR="00A751FB" w:rsidRDefault="00A751FB" w:rsidP="00A751FB">
          <w:pPr>
            <w:tabs>
              <w:tab w:val="left" w:pos="1440"/>
            </w:tabs>
            <w:spacing w:line="240" w:lineRule="auto"/>
            <w:contextualSpacing/>
          </w:pPr>
          <w:r>
            <w:t>WHO</w:t>
          </w:r>
          <w:r>
            <w:tab/>
            <w:t>World Health Organisation</w:t>
          </w:r>
        </w:p>
      </w:sdtContent>
    </w:sdt>
    <w:sectPr w:rsidR="00A751FB" w:rsidSect="003F70EC">
      <w:endnotePr>
        <w:numFmt w:val="decimal"/>
      </w:endnotePr>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31E44" w14:textId="77777777" w:rsidR="00943012" w:rsidRPr="00A9617A" w:rsidRDefault="00943012" w:rsidP="00A9617A">
      <w:pPr>
        <w:pStyle w:val="Footer"/>
        <w:jc w:val="left"/>
        <w:rPr>
          <w:sz w:val="2"/>
          <w:szCs w:val="2"/>
        </w:rPr>
      </w:pPr>
    </w:p>
  </w:endnote>
  <w:endnote w:type="continuationSeparator" w:id="0">
    <w:p w14:paraId="3DA6F332" w14:textId="77777777" w:rsidR="00943012" w:rsidRPr="00A9617A" w:rsidRDefault="00943012" w:rsidP="00A9617A">
      <w:pPr>
        <w:pStyle w:val="Footer"/>
        <w:jc w:val="left"/>
        <w:rPr>
          <w:sz w:val="2"/>
          <w:szCs w:val="2"/>
        </w:rPr>
      </w:pPr>
    </w:p>
  </w:endnote>
  <w:endnote w:type="continuationNotice" w:id="1">
    <w:p w14:paraId="6A399AD9" w14:textId="77777777" w:rsidR="00943012" w:rsidRDefault="009430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551A131"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9557A5">
      <w:rPr>
        <w:sz w:val="22"/>
      </w:rPr>
      <w:t>5</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0FF78" w14:textId="77777777" w:rsidR="00943012" w:rsidRPr="005E0344" w:rsidRDefault="00943012" w:rsidP="005E0344">
      <w:pPr>
        <w:spacing w:after="120"/>
        <w:rPr>
          <w:color w:val="000000" w:themeColor="text2"/>
        </w:rPr>
      </w:pPr>
      <w:r w:rsidRPr="005E0344">
        <w:rPr>
          <w:color w:val="000000" w:themeColor="text2"/>
        </w:rPr>
        <w:separator/>
      </w:r>
    </w:p>
  </w:footnote>
  <w:footnote w:type="continuationSeparator" w:id="0">
    <w:p w14:paraId="7B5BC798" w14:textId="77777777" w:rsidR="00943012" w:rsidRPr="005E0344" w:rsidRDefault="00943012" w:rsidP="0090581D">
      <w:pPr>
        <w:spacing w:after="120"/>
        <w:rPr>
          <w:color w:val="000000" w:themeColor="text2"/>
        </w:rPr>
      </w:pPr>
      <w:r w:rsidRPr="005E0344">
        <w:rPr>
          <w:color w:val="000000" w:themeColor="text2"/>
        </w:rPr>
        <w:continuationSeparator/>
      </w:r>
    </w:p>
  </w:footnote>
  <w:footnote w:type="continuationNotice" w:id="1">
    <w:p w14:paraId="5E8EF4BC" w14:textId="77777777" w:rsidR="00943012" w:rsidRDefault="00943012">
      <w:pPr>
        <w:spacing w:after="0"/>
      </w:pPr>
    </w:p>
    <w:p w14:paraId="2D4FC4BD" w14:textId="77777777" w:rsidR="00943012" w:rsidRDefault="00943012"/>
    <w:p w14:paraId="683B4479" w14:textId="77777777" w:rsidR="00943012" w:rsidRDefault="00943012"/>
  </w:footnote>
  <w:footnote w:id="2">
    <w:p w14:paraId="7D3FC3BE" w14:textId="148C5578" w:rsidR="00EE700F" w:rsidRDefault="00EE700F" w:rsidP="00C048E8">
      <w:pPr>
        <w:pStyle w:val="FootnoteText"/>
        <w:ind w:left="0" w:firstLine="0"/>
      </w:pPr>
      <w:r>
        <w:rPr>
          <w:rStyle w:val="FootnoteReference"/>
        </w:rPr>
        <w:footnoteRef/>
      </w:r>
      <w:r>
        <w:t xml:space="preserve"> The term ‘radioactively contaminated land’ used in this TAG and within the SAPs is defined as “land containing radioactive contamination at levels that would preclude its delicensing“</w:t>
      </w:r>
      <w:r w:rsidR="004D7DE2">
        <w:t xml:space="preserve"> </w:t>
      </w:r>
      <w:r>
        <w:t xml:space="preserve">and is distinct from the statutory definition of ‘radioactive contaminated land’ as defined under the </w:t>
      </w:r>
      <w:r w:rsidR="00960BE6">
        <w:t xml:space="preserve">Environmental </w:t>
      </w:r>
      <w:r w:rsidR="00164776">
        <w:t xml:space="preserve">Protection </w:t>
      </w:r>
      <w:r w:rsidR="00B90803">
        <w:t xml:space="preserve">Act 1990 </w:t>
      </w:r>
      <w:r>
        <w:t xml:space="preserve">Part IIA regime. </w:t>
      </w:r>
    </w:p>
  </w:footnote>
  <w:footnote w:id="3">
    <w:p w14:paraId="12453B53" w14:textId="2A6BF7A1" w:rsidR="00EE700F" w:rsidRDefault="00EE700F" w:rsidP="00C048E8">
      <w:pPr>
        <w:pStyle w:val="FootnoteText"/>
        <w:ind w:left="0" w:firstLine="0"/>
      </w:pPr>
      <w:r>
        <w:rPr>
          <w:rStyle w:val="FootnoteReference"/>
        </w:rPr>
        <w:footnoteRef/>
      </w:r>
      <w:r>
        <w:t xml:space="preserve"> </w:t>
      </w:r>
      <w:r w:rsidRPr="00A07307">
        <w:t>The environmental regulators</w:t>
      </w:r>
      <w:r>
        <w:t xml:space="preserve"> are</w:t>
      </w:r>
      <w:r w:rsidR="004D7DE2">
        <w:t>:</w:t>
      </w:r>
      <w:r>
        <w:t xml:space="preserve"> in England, the Environment Agency (EA); in Scotland, the Scottish Environment Protection Agency (SEPA); and in Wales, Natural Resources Wales (NRW).</w:t>
      </w:r>
    </w:p>
  </w:footnote>
  <w:footnote w:id="4">
    <w:p w14:paraId="335DE0D5" w14:textId="77777777" w:rsidR="005B1DD0" w:rsidRDefault="005B1DD0" w:rsidP="00557E6B">
      <w:pPr>
        <w:pStyle w:val="FootnoteText"/>
        <w:ind w:left="0" w:firstLine="0"/>
      </w:pPr>
      <w:r>
        <w:rPr>
          <w:rStyle w:val="FootnoteReference"/>
        </w:rPr>
        <w:footnoteRef/>
      </w:r>
      <w:r>
        <w:t xml:space="preserve"> “</w:t>
      </w:r>
      <w:r w:rsidRPr="00896EF4">
        <w:rPr>
          <w:i/>
        </w:rPr>
        <w:t>upon the site</w:t>
      </w:r>
      <w:r w:rsidRPr="00CB4F50">
        <w:t xml:space="preserve">” has the meaning of a modified version of the principle of </w:t>
      </w:r>
      <w:r w:rsidRPr="00896EF4">
        <w:rPr>
          <w:i/>
        </w:rPr>
        <w:t>cuius est solum</w:t>
      </w:r>
      <w:r w:rsidRPr="00CB4F50">
        <w:t>, whereby the licensed site boundary is considered to extend below ground to the Earth’s core and above ground to an altitude of 100 km.</w:t>
      </w:r>
    </w:p>
  </w:footnote>
  <w:footnote w:id="5">
    <w:p w14:paraId="5DB8D386" w14:textId="0E40F443" w:rsidR="00C61E98" w:rsidRDefault="00C61E98" w:rsidP="003F70EC">
      <w:pPr>
        <w:pStyle w:val="FootnoteText"/>
        <w:ind w:left="0" w:firstLine="0"/>
      </w:pPr>
      <w:r>
        <w:rPr>
          <w:rStyle w:val="FootnoteReference"/>
        </w:rPr>
        <w:footnoteRef/>
      </w:r>
      <w:r>
        <w:t xml:space="preserve"> The NIGPG should be read in conjunction with </w:t>
      </w:r>
      <w:r w:rsidR="003F70EC">
        <w:t>the TAGs</w:t>
      </w:r>
      <w:r>
        <w:t xml:space="preserve"> on ALARP </w:t>
      </w:r>
      <w:sdt>
        <w:sdtPr>
          <w:id w:val="-1297757395"/>
          <w:citation/>
        </w:sdtPr>
        <w:sdtEndPr/>
        <w:sdtContent>
          <w:r w:rsidR="003F70EC">
            <w:fldChar w:fldCharType="begin"/>
          </w:r>
          <w:r w:rsidR="003F70EC">
            <w:instrText xml:space="preserve"> CITATION ONR16 \l 2057 </w:instrText>
          </w:r>
          <w:r w:rsidR="003F70EC">
            <w:fldChar w:fldCharType="separate"/>
          </w:r>
          <w:r w:rsidR="00B23A01" w:rsidRPr="00B23A01">
            <w:rPr>
              <w:noProof/>
            </w:rPr>
            <w:t>[10]</w:t>
          </w:r>
          <w:r w:rsidR="003F70EC">
            <w:fldChar w:fldCharType="end"/>
          </w:r>
        </w:sdtContent>
      </w:sdt>
      <w:r w:rsidR="003F70EC">
        <w:t xml:space="preserve"> </w:t>
      </w:r>
      <w:r>
        <w:t xml:space="preserve">and radiological protection </w:t>
      </w:r>
      <w:sdt>
        <w:sdtPr>
          <w:id w:val="1631975359"/>
          <w:citation/>
        </w:sdtPr>
        <w:sdtEndPr/>
        <w:sdtContent>
          <w:r w:rsidR="003F70EC">
            <w:fldChar w:fldCharType="begin"/>
          </w:r>
          <w:r w:rsidR="003F70EC">
            <w:instrText xml:space="preserve"> CITATION ONR158 \l 2057 </w:instrText>
          </w:r>
          <w:r w:rsidR="003F70EC">
            <w:fldChar w:fldCharType="separate"/>
          </w:r>
          <w:r w:rsidR="00B23A01" w:rsidRPr="00B23A01">
            <w:rPr>
              <w:noProof/>
            </w:rPr>
            <w:t>[26]</w:t>
          </w:r>
          <w:r w:rsidR="003F70EC">
            <w:fldChar w:fldCharType="end"/>
          </w:r>
        </w:sdtContent>
      </w:sdt>
      <w:r>
        <w:t>.</w:t>
      </w:r>
    </w:p>
  </w:footnote>
  <w:footnote w:id="6">
    <w:p w14:paraId="1697B37E" w14:textId="77777777" w:rsidR="00C61E98" w:rsidRDefault="00C61E98" w:rsidP="003F70EC">
      <w:pPr>
        <w:pStyle w:val="FootnoteText"/>
        <w:ind w:left="0" w:firstLine="0"/>
      </w:pPr>
      <w:r>
        <w:rPr>
          <w:rStyle w:val="FootnoteReference"/>
        </w:rPr>
        <w:footnoteRef/>
      </w:r>
      <w:r>
        <w:t xml:space="preserve"> Although ONR does not recognise BAT in its judgements, radioactive and non-radioactive contamination is often co-located on nuclear licensed sites and licensees may utilise arrangements for environmental permit compliance to achieve compliance with LCs.</w:t>
      </w:r>
    </w:p>
  </w:footnote>
  <w:footnote w:id="7">
    <w:p w14:paraId="54CDAD42" w14:textId="1C3699D4" w:rsidR="00C61E98" w:rsidRDefault="00C61E98" w:rsidP="003F70EC">
      <w:pPr>
        <w:pStyle w:val="FootnoteText"/>
        <w:ind w:left="0" w:firstLine="0"/>
      </w:pPr>
      <w:r>
        <w:rPr>
          <w:rStyle w:val="FootnoteReference"/>
        </w:rPr>
        <w:footnoteRef/>
      </w:r>
      <w:r>
        <w:t xml:space="preserve"> This guidance should be read in conjunction with ONR’s guidance on </w:t>
      </w:r>
      <w:r w:rsidRPr="00DB5405">
        <w:t>delicensing</w:t>
      </w:r>
      <w:r w:rsidR="00F07E24">
        <w:t xml:space="preserve"> </w:t>
      </w:r>
      <w:sdt>
        <w:sdtPr>
          <w:id w:val="-38435014"/>
          <w:citation/>
        </w:sdtPr>
        <w:sdtEndPr/>
        <w:sdtContent>
          <w:r w:rsidR="00F07E24">
            <w:fldChar w:fldCharType="begin"/>
          </w:r>
          <w:r w:rsidR="00F07E24">
            <w:instrText xml:space="preserve"> CITATION ONR286 \l 2057  \m ONR287</w:instrText>
          </w:r>
          <w:r w:rsidR="00F07E24">
            <w:fldChar w:fldCharType="separate"/>
          </w:r>
          <w:r w:rsidR="00B23A01" w:rsidRPr="00B23A01">
            <w:rPr>
              <w:noProof/>
            </w:rPr>
            <w:t>[18, 19]</w:t>
          </w:r>
          <w:r w:rsidR="00F07E24">
            <w:fldChar w:fldCharType="end"/>
          </w:r>
        </w:sdtContent>
      </w:sdt>
      <w:r w:rsidRPr="00DB5405">
        <w:t>.</w:t>
      </w:r>
    </w:p>
  </w:footnote>
  <w:footnote w:id="8">
    <w:p w14:paraId="48BB830D" w14:textId="01C0F95B" w:rsidR="00A92354" w:rsidRDefault="00A92354" w:rsidP="00CD2988">
      <w:pPr>
        <w:pStyle w:val="FootnoteText"/>
        <w:ind w:left="0" w:firstLine="0"/>
      </w:pPr>
      <w:r>
        <w:rPr>
          <w:rStyle w:val="FootnoteReference"/>
        </w:rPr>
        <w:footnoteRef/>
      </w:r>
      <w:r>
        <w:t xml:space="preserve"> Table 2 in Part 2 of Schedule 23 to EPR16 lists concentrations of radionuclides (in Bq/g) below which a substance is considered to be ‘out of scope’, which is similar to the values contained within </w:t>
      </w:r>
      <w:r w:rsidR="003D1225">
        <w:t>GS</w:t>
      </w:r>
      <w:r>
        <w:t>G-17</w:t>
      </w:r>
      <w:r w:rsidR="003D1225">
        <w:t xml:space="preserve"> and GSG-18</w:t>
      </w:r>
      <w:r>
        <w:t xml:space="preserve">, with some differences. Where Table 2 and </w:t>
      </w:r>
      <w:r w:rsidR="003D1225">
        <w:t>GS</w:t>
      </w:r>
      <w:r>
        <w:t>G-17</w:t>
      </w:r>
      <w:r w:rsidR="00FC1390">
        <w:t>/GSG-18</w:t>
      </w:r>
      <w:r>
        <w:t xml:space="preserve"> differ, it is the value in Table 2 that should be used.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6980547A" w:rsidR="000B2BCD" w:rsidRPr="00046936" w:rsidRDefault="00D02158"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C048E8">
          <w:rPr>
            <w:sz w:val="20"/>
            <w:szCs w:val="24"/>
          </w:rPr>
          <w:t>Land quality management</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64057F">
          <w:rPr>
            <w:sz w:val="20"/>
            <w:szCs w:val="24"/>
          </w:rPr>
          <w:t>2.3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AB1D29"/>
    <w:multiLevelType w:val="hybridMultilevel"/>
    <w:tmpl w:val="375AE384"/>
    <w:lvl w:ilvl="0" w:tplc="43A68770">
      <w:start w:val="1"/>
      <w:numFmt w:val="bullet"/>
      <w:lvlText w:val=""/>
      <w:lvlJc w:val="left"/>
      <w:pPr>
        <w:ind w:left="720" w:hanging="360"/>
      </w:pPr>
      <w:rPr>
        <w:rFonts w:ascii="Wingdings" w:hAnsi="Wingdings" w:hint="default"/>
        <w:b w:val="0"/>
        <w:i w:val="0"/>
        <w:color w:val="006D68"/>
        <w:sz w:val="20"/>
      </w:rPr>
    </w:lvl>
    <w:lvl w:ilvl="1" w:tplc="33408178">
      <w:start w:val="1"/>
      <w:numFmt w:val="bullet"/>
      <w:lvlText w:val="·"/>
      <w:lvlJc w:val="left"/>
      <w:pPr>
        <w:ind w:left="1440" w:hanging="360"/>
      </w:pPr>
      <w:rPr>
        <w:rFonts w:ascii="Symbol" w:hAnsi="Symbol" w:hint="default"/>
        <w:color w:val="006D68"/>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3E5632"/>
    <w:multiLevelType w:val="multilevel"/>
    <w:tmpl w:val="4ADE8ED8"/>
    <w:lvl w:ilvl="0">
      <w:start w:val="1"/>
      <w:numFmt w:val="decimal"/>
      <w:lvlText w:val="%1"/>
      <w:lvlJc w:val="left"/>
      <w:pPr>
        <w:tabs>
          <w:tab w:val="num" w:pos="-31680"/>
        </w:tabs>
        <w:ind w:left="720" w:hanging="72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447535"/>
    <w:multiLevelType w:val="multilevel"/>
    <w:tmpl w:val="A0DEDBF0"/>
    <w:lvl w:ilvl="0">
      <w:start w:val="1"/>
      <w:numFmt w:val="decimal"/>
      <w:pStyle w:val="F9-Paragraph"/>
      <w:lvlText w:val="%1."/>
      <w:lvlJc w:val="left"/>
      <w:pPr>
        <w:ind w:left="360" w:hanging="360"/>
      </w:pPr>
      <w:rPr>
        <w:b w:val="0"/>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7F2150"/>
    <w:multiLevelType w:val="hybridMultilevel"/>
    <w:tmpl w:val="13B8C8B0"/>
    <w:lvl w:ilvl="0" w:tplc="A102459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5"/>
  </w:num>
  <w:num w:numId="13" w16cid:durableId="1367565994">
    <w:abstractNumId w:val="17"/>
  </w:num>
  <w:num w:numId="14" w16cid:durableId="1174225926">
    <w:abstractNumId w:val="14"/>
  </w:num>
  <w:num w:numId="15" w16cid:durableId="150562503">
    <w:abstractNumId w:val="25"/>
    <w:lvlOverride w:ilvl="0">
      <w:startOverride w:val="1"/>
    </w:lvlOverride>
  </w:num>
  <w:num w:numId="16" w16cid:durableId="708191280">
    <w:abstractNumId w:val="17"/>
    <w:lvlOverride w:ilvl="0">
      <w:startOverride w:val="1"/>
    </w:lvlOverride>
  </w:num>
  <w:num w:numId="17" w16cid:durableId="735981639">
    <w:abstractNumId w:val="14"/>
    <w:lvlOverride w:ilvl="0">
      <w:startOverride w:val="1"/>
    </w:lvlOverride>
  </w:num>
  <w:num w:numId="18" w16cid:durableId="966933876">
    <w:abstractNumId w:val="24"/>
  </w:num>
  <w:num w:numId="19" w16cid:durableId="985626502">
    <w:abstractNumId w:val="21"/>
  </w:num>
  <w:num w:numId="20" w16cid:durableId="2086879214">
    <w:abstractNumId w:val="13"/>
  </w:num>
  <w:num w:numId="21" w16cid:durableId="399718409">
    <w:abstractNumId w:val="27"/>
  </w:num>
  <w:num w:numId="22" w16cid:durableId="999388671">
    <w:abstractNumId w:val="20"/>
  </w:num>
  <w:num w:numId="23" w16cid:durableId="14912149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0"/>
  </w:num>
  <w:num w:numId="25" w16cid:durableId="20966315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8"/>
  </w:num>
  <w:num w:numId="27" w16cid:durableId="561334936">
    <w:abstractNumId w:val="11"/>
  </w:num>
  <w:num w:numId="28" w16cid:durableId="391512796">
    <w:abstractNumId w:val="10"/>
  </w:num>
  <w:num w:numId="29" w16cid:durableId="19601881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8"/>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9"/>
  </w:num>
  <w:num w:numId="33" w16cid:durableId="7413421">
    <w:abstractNumId w:val="26"/>
  </w:num>
  <w:num w:numId="34" w16cid:durableId="377974685">
    <w:abstractNumId w:val="23"/>
  </w:num>
  <w:num w:numId="35" w16cid:durableId="922030000">
    <w:abstractNumId w:val="16"/>
  </w:num>
  <w:num w:numId="36" w16cid:durableId="20830673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96883925">
    <w:abstractNumId w:val="15"/>
  </w:num>
  <w:num w:numId="38" w16cid:durableId="1904372458">
    <w:abstractNumId w:val="22"/>
  </w:num>
  <w:num w:numId="39" w16cid:durableId="13770502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932078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6F"/>
    <w:rsid w:val="00002F03"/>
    <w:rsid w:val="000032C9"/>
    <w:rsid w:val="00004C16"/>
    <w:rsid w:val="000076DA"/>
    <w:rsid w:val="00010561"/>
    <w:rsid w:val="00011177"/>
    <w:rsid w:val="00014814"/>
    <w:rsid w:val="00014B7B"/>
    <w:rsid w:val="00024522"/>
    <w:rsid w:val="00024B2E"/>
    <w:rsid w:val="00027F4F"/>
    <w:rsid w:val="00030430"/>
    <w:rsid w:val="0003078E"/>
    <w:rsid w:val="00031B89"/>
    <w:rsid w:val="0003693D"/>
    <w:rsid w:val="00037EE2"/>
    <w:rsid w:val="000439BA"/>
    <w:rsid w:val="0004440F"/>
    <w:rsid w:val="00046936"/>
    <w:rsid w:val="00047BB1"/>
    <w:rsid w:val="00047EC2"/>
    <w:rsid w:val="00052C8A"/>
    <w:rsid w:val="000548C8"/>
    <w:rsid w:val="00055898"/>
    <w:rsid w:val="0005633C"/>
    <w:rsid w:val="00062B7D"/>
    <w:rsid w:val="000669AC"/>
    <w:rsid w:val="000738AD"/>
    <w:rsid w:val="00075605"/>
    <w:rsid w:val="00075C66"/>
    <w:rsid w:val="00081114"/>
    <w:rsid w:val="00082879"/>
    <w:rsid w:val="000873F0"/>
    <w:rsid w:val="00090A62"/>
    <w:rsid w:val="00091EEA"/>
    <w:rsid w:val="00094195"/>
    <w:rsid w:val="000950B3"/>
    <w:rsid w:val="0009574E"/>
    <w:rsid w:val="00096B2B"/>
    <w:rsid w:val="000A51C3"/>
    <w:rsid w:val="000B0C07"/>
    <w:rsid w:val="000B2BCD"/>
    <w:rsid w:val="000B40B5"/>
    <w:rsid w:val="000B5C68"/>
    <w:rsid w:val="000B63AD"/>
    <w:rsid w:val="000C2DDC"/>
    <w:rsid w:val="000C305A"/>
    <w:rsid w:val="000C5078"/>
    <w:rsid w:val="000C71B8"/>
    <w:rsid w:val="000D2FD4"/>
    <w:rsid w:val="000D626F"/>
    <w:rsid w:val="000E6417"/>
    <w:rsid w:val="000E7785"/>
    <w:rsid w:val="000F0B65"/>
    <w:rsid w:val="000F1B7B"/>
    <w:rsid w:val="000F1F92"/>
    <w:rsid w:val="000F2ED4"/>
    <w:rsid w:val="000F3932"/>
    <w:rsid w:val="000F44A9"/>
    <w:rsid w:val="000F7EC5"/>
    <w:rsid w:val="001025A2"/>
    <w:rsid w:val="001028BE"/>
    <w:rsid w:val="001028E8"/>
    <w:rsid w:val="00117B0C"/>
    <w:rsid w:val="00122256"/>
    <w:rsid w:val="00122FCC"/>
    <w:rsid w:val="00126752"/>
    <w:rsid w:val="00130B30"/>
    <w:rsid w:val="00131E06"/>
    <w:rsid w:val="001321E2"/>
    <w:rsid w:val="00136064"/>
    <w:rsid w:val="00136873"/>
    <w:rsid w:val="00140E1C"/>
    <w:rsid w:val="001447A9"/>
    <w:rsid w:val="001467AD"/>
    <w:rsid w:val="00147AE4"/>
    <w:rsid w:val="0015407B"/>
    <w:rsid w:val="001571E5"/>
    <w:rsid w:val="00164776"/>
    <w:rsid w:val="00164859"/>
    <w:rsid w:val="00165E8A"/>
    <w:rsid w:val="00165FA4"/>
    <w:rsid w:val="00173B56"/>
    <w:rsid w:val="00175B79"/>
    <w:rsid w:val="00177666"/>
    <w:rsid w:val="0018020E"/>
    <w:rsid w:val="00180C8F"/>
    <w:rsid w:val="0018208A"/>
    <w:rsid w:val="0018289E"/>
    <w:rsid w:val="00183089"/>
    <w:rsid w:val="00183A32"/>
    <w:rsid w:val="001849CA"/>
    <w:rsid w:val="00185410"/>
    <w:rsid w:val="00192352"/>
    <w:rsid w:val="00196099"/>
    <w:rsid w:val="00197B93"/>
    <w:rsid w:val="001A0905"/>
    <w:rsid w:val="001A4F2F"/>
    <w:rsid w:val="001B3237"/>
    <w:rsid w:val="001C19DE"/>
    <w:rsid w:val="001C2409"/>
    <w:rsid w:val="001C4BB5"/>
    <w:rsid w:val="001C4D63"/>
    <w:rsid w:val="001C6309"/>
    <w:rsid w:val="001D0BE0"/>
    <w:rsid w:val="001D0DE0"/>
    <w:rsid w:val="001D5AFF"/>
    <w:rsid w:val="001D74B4"/>
    <w:rsid w:val="001D76A1"/>
    <w:rsid w:val="001E03E1"/>
    <w:rsid w:val="001E64B4"/>
    <w:rsid w:val="001E712D"/>
    <w:rsid w:val="001F059F"/>
    <w:rsid w:val="001F62C3"/>
    <w:rsid w:val="001F7E21"/>
    <w:rsid w:val="00200811"/>
    <w:rsid w:val="00200CA1"/>
    <w:rsid w:val="00206DEE"/>
    <w:rsid w:val="0021338D"/>
    <w:rsid w:val="00214D43"/>
    <w:rsid w:val="0021793F"/>
    <w:rsid w:val="00221ED0"/>
    <w:rsid w:val="002238B4"/>
    <w:rsid w:val="00224C27"/>
    <w:rsid w:val="002266DE"/>
    <w:rsid w:val="00226988"/>
    <w:rsid w:val="00227DCC"/>
    <w:rsid w:val="002305CD"/>
    <w:rsid w:val="002319AB"/>
    <w:rsid w:val="002319AC"/>
    <w:rsid w:val="00234342"/>
    <w:rsid w:val="00236143"/>
    <w:rsid w:val="0024040D"/>
    <w:rsid w:val="00241E04"/>
    <w:rsid w:val="002451D3"/>
    <w:rsid w:val="00245A0D"/>
    <w:rsid w:val="00250314"/>
    <w:rsid w:val="00251EFD"/>
    <w:rsid w:val="00254032"/>
    <w:rsid w:val="00255287"/>
    <w:rsid w:val="00255FA3"/>
    <w:rsid w:val="00257288"/>
    <w:rsid w:val="00260CFF"/>
    <w:rsid w:val="00261FB6"/>
    <w:rsid w:val="002629F8"/>
    <w:rsid w:val="00262EBB"/>
    <w:rsid w:val="00263396"/>
    <w:rsid w:val="00264197"/>
    <w:rsid w:val="002659FA"/>
    <w:rsid w:val="00266CD6"/>
    <w:rsid w:val="00267815"/>
    <w:rsid w:val="00272621"/>
    <w:rsid w:val="00280DDF"/>
    <w:rsid w:val="0028384C"/>
    <w:rsid w:val="00283FEB"/>
    <w:rsid w:val="00284A1C"/>
    <w:rsid w:val="00285734"/>
    <w:rsid w:val="00290002"/>
    <w:rsid w:val="002917FF"/>
    <w:rsid w:val="00292ADF"/>
    <w:rsid w:val="00294041"/>
    <w:rsid w:val="00294F70"/>
    <w:rsid w:val="00296126"/>
    <w:rsid w:val="00297DB5"/>
    <w:rsid w:val="002A0164"/>
    <w:rsid w:val="002A0DEC"/>
    <w:rsid w:val="002A3B72"/>
    <w:rsid w:val="002A74DF"/>
    <w:rsid w:val="002B1C53"/>
    <w:rsid w:val="002B2FBA"/>
    <w:rsid w:val="002B67D4"/>
    <w:rsid w:val="002C145C"/>
    <w:rsid w:val="002C20A2"/>
    <w:rsid w:val="002C3A91"/>
    <w:rsid w:val="002C4A19"/>
    <w:rsid w:val="002D3F6F"/>
    <w:rsid w:val="002D5F2E"/>
    <w:rsid w:val="002E0977"/>
    <w:rsid w:val="002E0BE4"/>
    <w:rsid w:val="002E3B58"/>
    <w:rsid w:val="002E3E8A"/>
    <w:rsid w:val="002E49D8"/>
    <w:rsid w:val="002E6A6A"/>
    <w:rsid w:val="002F3397"/>
    <w:rsid w:val="002F40CA"/>
    <w:rsid w:val="002F61A3"/>
    <w:rsid w:val="003019E8"/>
    <w:rsid w:val="0030380D"/>
    <w:rsid w:val="003040C8"/>
    <w:rsid w:val="003109F7"/>
    <w:rsid w:val="00312411"/>
    <w:rsid w:val="00312843"/>
    <w:rsid w:val="003170F3"/>
    <w:rsid w:val="003176F6"/>
    <w:rsid w:val="00322829"/>
    <w:rsid w:val="00323E71"/>
    <w:rsid w:val="0032608E"/>
    <w:rsid w:val="0033090B"/>
    <w:rsid w:val="00333002"/>
    <w:rsid w:val="00333E37"/>
    <w:rsid w:val="003353FE"/>
    <w:rsid w:val="00335D80"/>
    <w:rsid w:val="0033795B"/>
    <w:rsid w:val="003409C4"/>
    <w:rsid w:val="00346A80"/>
    <w:rsid w:val="00346C8E"/>
    <w:rsid w:val="00347CA8"/>
    <w:rsid w:val="0035127B"/>
    <w:rsid w:val="003519F9"/>
    <w:rsid w:val="00352373"/>
    <w:rsid w:val="0035609B"/>
    <w:rsid w:val="00357A80"/>
    <w:rsid w:val="00360F85"/>
    <w:rsid w:val="00367BD5"/>
    <w:rsid w:val="0037176F"/>
    <w:rsid w:val="003740A6"/>
    <w:rsid w:val="0038586A"/>
    <w:rsid w:val="0038761F"/>
    <w:rsid w:val="00390327"/>
    <w:rsid w:val="00393B78"/>
    <w:rsid w:val="003970B0"/>
    <w:rsid w:val="003A01E9"/>
    <w:rsid w:val="003A20B6"/>
    <w:rsid w:val="003A6709"/>
    <w:rsid w:val="003B5699"/>
    <w:rsid w:val="003B6219"/>
    <w:rsid w:val="003B7B17"/>
    <w:rsid w:val="003C0306"/>
    <w:rsid w:val="003C0DD8"/>
    <w:rsid w:val="003C114C"/>
    <w:rsid w:val="003C18C4"/>
    <w:rsid w:val="003C465D"/>
    <w:rsid w:val="003D1225"/>
    <w:rsid w:val="003D403E"/>
    <w:rsid w:val="003D495D"/>
    <w:rsid w:val="003E0222"/>
    <w:rsid w:val="003E098E"/>
    <w:rsid w:val="003E14AD"/>
    <w:rsid w:val="003E23F5"/>
    <w:rsid w:val="003E2F1A"/>
    <w:rsid w:val="003E2FAE"/>
    <w:rsid w:val="003E735D"/>
    <w:rsid w:val="003F4B6A"/>
    <w:rsid w:val="003F70EC"/>
    <w:rsid w:val="004012C1"/>
    <w:rsid w:val="0040334C"/>
    <w:rsid w:val="00404B0C"/>
    <w:rsid w:val="00405E9C"/>
    <w:rsid w:val="00407CF7"/>
    <w:rsid w:val="00415ED6"/>
    <w:rsid w:val="0041645D"/>
    <w:rsid w:val="0041662D"/>
    <w:rsid w:val="00417CAF"/>
    <w:rsid w:val="00420A11"/>
    <w:rsid w:val="00422265"/>
    <w:rsid w:val="00422FAA"/>
    <w:rsid w:val="0042657E"/>
    <w:rsid w:val="004302E2"/>
    <w:rsid w:val="0043199C"/>
    <w:rsid w:val="0043400F"/>
    <w:rsid w:val="004373A7"/>
    <w:rsid w:val="00437D94"/>
    <w:rsid w:val="0044030C"/>
    <w:rsid w:val="00441B70"/>
    <w:rsid w:val="00460414"/>
    <w:rsid w:val="00461EAF"/>
    <w:rsid w:val="00462F3D"/>
    <w:rsid w:val="004638C7"/>
    <w:rsid w:val="00464048"/>
    <w:rsid w:val="004648A4"/>
    <w:rsid w:val="00471380"/>
    <w:rsid w:val="0047504D"/>
    <w:rsid w:val="0048426A"/>
    <w:rsid w:val="00487B9B"/>
    <w:rsid w:val="00494F0D"/>
    <w:rsid w:val="0049572B"/>
    <w:rsid w:val="00496BFD"/>
    <w:rsid w:val="004A24D9"/>
    <w:rsid w:val="004A3DF2"/>
    <w:rsid w:val="004A5459"/>
    <w:rsid w:val="004B00F2"/>
    <w:rsid w:val="004B5A11"/>
    <w:rsid w:val="004B7514"/>
    <w:rsid w:val="004B7C07"/>
    <w:rsid w:val="004C361D"/>
    <w:rsid w:val="004C4891"/>
    <w:rsid w:val="004C4CC1"/>
    <w:rsid w:val="004C65FD"/>
    <w:rsid w:val="004D2C89"/>
    <w:rsid w:val="004D3B68"/>
    <w:rsid w:val="004D7DE2"/>
    <w:rsid w:val="004E0775"/>
    <w:rsid w:val="004E3932"/>
    <w:rsid w:val="004E3E45"/>
    <w:rsid w:val="004F0E6D"/>
    <w:rsid w:val="004F1E79"/>
    <w:rsid w:val="004F23EB"/>
    <w:rsid w:val="004F5F33"/>
    <w:rsid w:val="00500E96"/>
    <w:rsid w:val="0050103A"/>
    <w:rsid w:val="00504761"/>
    <w:rsid w:val="00507D7A"/>
    <w:rsid w:val="00511B0F"/>
    <w:rsid w:val="00511CDD"/>
    <w:rsid w:val="0052338F"/>
    <w:rsid w:val="00525DC7"/>
    <w:rsid w:val="00527C7B"/>
    <w:rsid w:val="005344A3"/>
    <w:rsid w:val="005360DD"/>
    <w:rsid w:val="00536721"/>
    <w:rsid w:val="005417D4"/>
    <w:rsid w:val="005504C2"/>
    <w:rsid w:val="0055388E"/>
    <w:rsid w:val="00556B23"/>
    <w:rsid w:val="00557E6B"/>
    <w:rsid w:val="00562D5C"/>
    <w:rsid w:val="00566FB7"/>
    <w:rsid w:val="005754AE"/>
    <w:rsid w:val="00575A51"/>
    <w:rsid w:val="005763D7"/>
    <w:rsid w:val="00577093"/>
    <w:rsid w:val="00577798"/>
    <w:rsid w:val="00577FB5"/>
    <w:rsid w:val="00582342"/>
    <w:rsid w:val="005852D1"/>
    <w:rsid w:val="00585924"/>
    <w:rsid w:val="00585C5D"/>
    <w:rsid w:val="00587A22"/>
    <w:rsid w:val="00587E35"/>
    <w:rsid w:val="00590AC6"/>
    <w:rsid w:val="00591A99"/>
    <w:rsid w:val="0059299D"/>
    <w:rsid w:val="00593C19"/>
    <w:rsid w:val="0059518F"/>
    <w:rsid w:val="00595C8C"/>
    <w:rsid w:val="00597747"/>
    <w:rsid w:val="005A0382"/>
    <w:rsid w:val="005A4984"/>
    <w:rsid w:val="005A4CDD"/>
    <w:rsid w:val="005B1DD0"/>
    <w:rsid w:val="005B2F4A"/>
    <w:rsid w:val="005B3B0C"/>
    <w:rsid w:val="005B57E4"/>
    <w:rsid w:val="005B5ABD"/>
    <w:rsid w:val="005B5DD1"/>
    <w:rsid w:val="005B7798"/>
    <w:rsid w:val="005B7FC8"/>
    <w:rsid w:val="005C0CC8"/>
    <w:rsid w:val="005C140A"/>
    <w:rsid w:val="005C23E6"/>
    <w:rsid w:val="005C30E5"/>
    <w:rsid w:val="005C5DBA"/>
    <w:rsid w:val="005C649F"/>
    <w:rsid w:val="005C6763"/>
    <w:rsid w:val="005D3164"/>
    <w:rsid w:val="005D78B6"/>
    <w:rsid w:val="005E0344"/>
    <w:rsid w:val="005E17B4"/>
    <w:rsid w:val="005E211F"/>
    <w:rsid w:val="005E440B"/>
    <w:rsid w:val="005F2C85"/>
    <w:rsid w:val="00600AB0"/>
    <w:rsid w:val="006055B0"/>
    <w:rsid w:val="00605ADB"/>
    <w:rsid w:val="00611C9F"/>
    <w:rsid w:val="006151D0"/>
    <w:rsid w:val="0062106B"/>
    <w:rsid w:val="006218EB"/>
    <w:rsid w:val="00621BF6"/>
    <w:rsid w:val="006227C6"/>
    <w:rsid w:val="0062504B"/>
    <w:rsid w:val="00627555"/>
    <w:rsid w:val="00627B76"/>
    <w:rsid w:val="006316C4"/>
    <w:rsid w:val="006322A0"/>
    <w:rsid w:val="006361FD"/>
    <w:rsid w:val="00637B24"/>
    <w:rsid w:val="0064057F"/>
    <w:rsid w:val="0064226F"/>
    <w:rsid w:val="006434E8"/>
    <w:rsid w:val="00651406"/>
    <w:rsid w:val="00652EBC"/>
    <w:rsid w:val="00653298"/>
    <w:rsid w:val="006544D9"/>
    <w:rsid w:val="00656E3B"/>
    <w:rsid w:val="00663A7C"/>
    <w:rsid w:val="00667DF2"/>
    <w:rsid w:val="00670DF1"/>
    <w:rsid w:val="00671345"/>
    <w:rsid w:val="00672A9B"/>
    <w:rsid w:val="00674646"/>
    <w:rsid w:val="006751A3"/>
    <w:rsid w:val="00675884"/>
    <w:rsid w:val="00677EA4"/>
    <w:rsid w:val="006816E0"/>
    <w:rsid w:val="00681EA8"/>
    <w:rsid w:val="00682B39"/>
    <w:rsid w:val="00685CC4"/>
    <w:rsid w:val="0069517A"/>
    <w:rsid w:val="006966CA"/>
    <w:rsid w:val="00696D09"/>
    <w:rsid w:val="00696EE0"/>
    <w:rsid w:val="00697980"/>
    <w:rsid w:val="006A19BB"/>
    <w:rsid w:val="006A19EF"/>
    <w:rsid w:val="006A2A9C"/>
    <w:rsid w:val="006A43D5"/>
    <w:rsid w:val="006A525B"/>
    <w:rsid w:val="006A5DFF"/>
    <w:rsid w:val="006A6E4C"/>
    <w:rsid w:val="006B40CA"/>
    <w:rsid w:val="006B4EDB"/>
    <w:rsid w:val="006B52A3"/>
    <w:rsid w:val="006C045F"/>
    <w:rsid w:val="006C2D10"/>
    <w:rsid w:val="006C4196"/>
    <w:rsid w:val="006C63B0"/>
    <w:rsid w:val="006C76A2"/>
    <w:rsid w:val="006C792E"/>
    <w:rsid w:val="006C7D16"/>
    <w:rsid w:val="006D116C"/>
    <w:rsid w:val="006D1D5B"/>
    <w:rsid w:val="006D2D95"/>
    <w:rsid w:val="006D3402"/>
    <w:rsid w:val="006E19C9"/>
    <w:rsid w:val="006E200C"/>
    <w:rsid w:val="006E22C1"/>
    <w:rsid w:val="006E7C42"/>
    <w:rsid w:val="006F168A"/>
    <w:rsid w:val="006F3034"/>
    <w:rsid w:val="006F5076"/>
    <w:rsid w:val="006F6009"/>
    <w:rsid w:val="0070321D"/>
    <w:rsid w:val="0070406F"/>
    <w:rsid w:val="007068BA"/>
    <w:rsid w:val="00706A72"/>
    <w:rsid w:val="00710A70"/>
    <w:rsid w:val="007119DE"/>
    <w:rsid w:val="00716AB1"/>
    <w:rsid w:val="00721D63"/>
    <w:rsid w:val="00726DAD"/>
    <w:rsid w:val="007275E1"/>
    <w:rsid w:val="00730428"/>
    <w:rsid w:val="00732C7B"/>
    <w:rsid w:val="00734D2B"/>
    <w:rsid w:val="007375C9"/>
    <w:rsid w:val="00737705"/>
    <w:rsid w:val="007405B2"/>
    <w:rsid w:val="007408D4"/>
    <w:rsid w:val="00741CBC"/>
    <w:rsid w:val="007420AC"/>
    <w:rsid w:val="00742617"/>
    <w:rsid w:val="00746431"/>
    <w:rsid w:val="00754B67"/>
    <w:rsid w:val="007607C1"/>
    <w:rsid w:val="007636DC"/>
    <w:rsid w:val="00765D0F"/>
    <w:rsid w:val="007669D6"/>
    <w:rsid w:val="0077111F"/>
    <w:rsid w:val="00774D86"/>
    <w:rsid w:val="00776D93"/>
    <w:rsid w:val="007805EB"/>
    <w:rsid w:val="007816AF"/>
    <w:rsid w:val="00783AFA"/>
    <w:rsid w:val="00785427"/>
    <w:rsid w:val="00790540"/>
    <w:rsid w:val="00792DDA"/>
    <w:rsid w:val="007968CA"/>
    <w:rsid w:val="007A0DA4"/>
    <w:rsid w:val="007A311E"/>
    <w:rsid w:val="007A43FF"/>
    <w:rsid w:val="007A4EB7"/>
    <w:rsid w:val="007B2214"/>
    <w:rsid w:val="007B3918"/>
    <w:rsid w:val="007C09A9"/>
    <w:rsid w:val="007C0AD9"/>
    <w:rsid w:val="007C3C1D"/>
    <w:rsid w:val="007C7C13"/>
    <w:rsid w:val="007D199A"/>
    <w:rsid w:val="007D2241"/>
    <w:rsid w:val="007D22F0"/>
    <w:rsid w:val="007D24A8"/>
    <w:rsid w:val="007D2EBE"/>
    <w:rsid w:val="007D3376"/>
    <w:rsid w:val="007D6071"/>
    <w:rsid w:val="007D6C88"/>
    <w:rsid w:val="007E1A31"/>
    <w:rsid w:val="007E1C07"/>
    <w:rsid w:val="007E708D"/>
    <w:rsid w:val="007F1324"/>
    <w:rsid w:val="007F24B6"/>
    <w:rsid w:val="007F2A70"/>
    <w:rsid w:val="007F5EFE"/>
    <w:rsid w:val="007F6460"/>
    <w:rsid w:val="00803D94"/>
    <w:rsid w:val="00803DDB"/>
    <w:rsid w:val="008041D3"/>
    <w:rsid w:val="00806D68"/>
    <w:rsid w:val="008229BA"/>
    <w:rsid w:val="00822B11"/>
    <w:rsid w:val="00825D1E"/>
    <w:rsid w:val="00836761"/>
    <w:rsid w:val="00840E5B"/>
    <w:rsid w:val="00842A68"/>
    <w:rsid w:val="00845390"/>
    <w:rsid w:val="0084601B"/>
    <w:rsid w:val="00850DFF"/>
    <w:rsid w:val="008606F0"/>
    <w:rsid w:val="00862786"/>
    <w:rsid w:val="008634BD"/>
    <w:rsid w:val="00865489"/>
    <w:rsid w:val="0086553D"/>
    <w:rsid w:val="008709EB"/>
    <w:rsid w:val="008713F0"/>
    <w:rsid w:val="00874FEB"/>
    <w:rsid w:val="00876A47"/>
    <w:rsid w:val="00880B75"/>
    <w:rsid w:val="00881B6F"/>
    <w:rsid w:val="00881C7E"/>
    <w:rsid w:val="00882AA4"/>
    <w:rsid w:val="00883E22"/>
    <w:rsid w:val="00884AFF"/>
    <w:rsid w:val="00884E43"/>
    <w:rsid w:val="008872CD"/>
    <w:rsid w:val="00887EC6"/>
    <w:rsid w:val="0089084C"/>
    <w:rsid w:val="0089170D"/>
    <w:rsid w:val="00893409"/>
    <w:rsid w:val="00893D9F"/>
    <w:rsid w:val="008A2379"/>
    <w:rsid w:val="008A4329"/>
    <w:rsid w:val="008A4D4B"/>
    <w:rsid w:val="008A578E"/>
    <w:rsid w:val="008B1519"/>
    <w:rsid w:val="008B2C9C"/>
    <w:rsid w:val="008B4071"/>
    <w:rsid w:val="008B69E3"/>
    <w:rsid w:val="008B7BCC"/>
    <w:rsid w:val="008C268F"/>
    <w:rsid w:val="008C50C3"/>
    <w:rsid w:val="008C59F4"/>
    <w:rsid w:val="008C7094"/>
    <w:rsid w:val="008C7D10"/>
    <w:rsid w:val="008D0518"/>
    <w:rsid w:val="008D08FF"/>
    <w:rsid w:val="008D2B97"/>
    <w:rsid w:val="008D36D3"/>
    <w:rsid w:val="008D49A5"/>
    <w:rsid w:val="008D54BE"/>
    <w:rsid w:val="008D5BE2"/>
    <w:rsid w:val="008D6C81"/>
    <w:rsid w:val="008E6CF0"/>
    <w:rsid w:val="008E763B"/>
    <w:rsid w:val="008F1439"/>
    <w:rsid w:val="008F48EC"/>
    <w:rsid w:val="008F660E"/>
    <w:rsid w:val="008F7051"/>
    <w:rsid w:val="008F712F"/>
    <w:rsid w:val="008F75EF"/>
    <w:rsid w:val="008F7FA3"/>
    <w:rsid w:val="009004D2"/>
    <w:rsid w:val="009018AA"/>
    <w:rsid w:val="009033A9"/>
    <w:rsid w:val="00903ED8"/>
    <w:rsid w:val="00904152"/>
    <w:rsid w:val="0090581D"/>
    <w:rsid w:val="0090588D"/>
    <w:rsid w:val="0090776D"/>
    <w:rsid w:val="0091381A"/>
    <w:rsid w:val="0091439C"/>
    <w:rsid w:val="00920572"/>
    <w:rsid w:val="00920BF2"/>
    <w:rsid w:val="00926C1B"/>
    <w:rsid w:val="00926DE4"/>
    <w:rsid w:val="00930926"/>
    <w:rsid w:val="0093092E"/>
    <w:rsid w:val="00930F6D"/>
    <w:rsid w:val="00931525"/>
    <w:rsid w:val="00933E12"/>
    <w:rsid w:val="009346D6"/>
    <w:rsid w:val="009349A9"/>
    <w:rsid w:val="00935FB0"/>
    <w:rsid w:val="00936C52"/>
    <w:rsid w:val="00943012"/>
    <w:rsid w:val="009477A1"/>
    <w:rsid w:val="009523EE"/>
    <w:rsid w:val="00953C22"/>
    <w:rsid w:val="0095489B"/>
    <w:rsid w:val="009557A5"/>
    <w:rsid w:val="00960BE6"/>
    <w:rsid w:val="00965156"/>
    <w:rsid w:val="00966FB9"/>
    <w:rsid w:val="009671CD"/>
    <w:rsid w:val="009734CA"/>
    <w:rsid w:val="009751A9"/>
    <w:rsid w:val="009758BC"/>
    <w:rsid w:val="0097654B"/>
    <w:rsid w:val="00980F9C"/>
    <w:rsid w:val="0098632B"/>
    <w:rsid w:val="00990122"/>
    <w:rsid w:val="009903C5"/>
    <w:rsid w:val="00991209"/>
    <w:rsid w:val="00994E06"/>
    <w:rsid w:val="00997BFB"/>
    <w:rsid w:val="009A2061"/>
    <w:rsid w:val="009A3927"/>
    <w:rsid w:val="009A7348"/>
    <w:rsid w:val="009B40C6"/>
    <w:rsid w:val="009B462C"/>
    <w:rsid w:val="009C0793"/>
    <w:rsid w:val="009C15F3"/>
    <w:rsid w:val="009C1C5C"/>
    <w:rsid w:val="009C6B08"/>
    <w:rsid w:val="009C70E2"/>
    <w:rsid w:val="009C76BE"/>
    <w:rsid w:val="009D03FB"/>
    <w:rsid w:val="009D38EC"/>
    <w:rsid w:val="009D4642"/>
    <w:rsid w:val="009E07C2"/>
    <w:rsid w:val="009E0E52"/>
    <w:rsid w:val="009F72F9"/>
    <w:rsid w:val="00A00205"/>
    <w:rsid w:val="00A00AF0"/>
    <w:rsid w:val="00A02562"/>
    <w:rsid w:val="00A03DC2"/>
    <w:rsid w:val="00A058D1"/>
    <w:rsid w:val="00A06899"/>
    <w:rsid w:val="00A06E13"/>
    <w:rsid w:val="00A10535"/>
    <w:rsid w:val="00A14370"/>
    <w:rsid w:val="00A14B5A"/>
    <w:rsid w:val="00A24FDF"/>
    <w:rsid w:val="00A3567F"/>
    <w:rsid w:val="00A37698"/>
    <w:rsid w:val="00A41ED3"/>
    <w:rsid w:val="00A45D65"/>
    <w:rsid w:val="00A46D91"/>
    <w:rsid w:val="00A4780E"/>
    <w:rsid w:val="00A560A2"/>
    <w:rsid w:val="00A56C01"/>
    <w:rsid w:val="00A751FB"/>
    <w:rsid w:val="00A754CA"/>
    <w:rsid w:val="00A77754"/>
    <w:rsid w:val="00A80AD9"/>
    <w:rsid w:val="00A81D82"/>
    <w:rsid w:val="00A8606E"/>
    <w:rsid w:val="00A90C64"/>
    <w:rsid w:val="00A9161F"/>
    <w:rsid w:val="00A92354"/>
    <w:rsid w:val="00A93E33"/>
    <w:rsid w:val="00A9617A"/>
    <w:rsid w:val="00AA414D"/>
    <w:rsid w:val="00AA6CAB"/>
    <w:rsid w:val="00AA6D10"/>
    <w:rsid w:val="00AB195E"/>
    <w:rsid w:val="00AB292E"/>
    <w:rsid w:val="00AB4683"/>
    <w:rsid w:val="00AB6970"/>
    <w:rsid w:val="00AB6C7E"/>
    <w:rsid w:val="00AC1939"/>
    <w:rsid w:val="00AC3005"/>
    <w:rsid w:val="00AC4514"/>
    <w:rsid w:val="00AC7A90"/>
    <w:rsid w:val="00AC7C05"/>
    <w:rsid w:val="00AD167C"/>
    <w:rsid w:val="00AD17C7"/>
    <w:rsid w:val="00AD28F3"/>
    <w:rsid w:val="00AD298F"/>
    <w:rsid w:val="00AD4041"/>
    <w:rsid w:val="00AD7565"/>
    <w:rsid w:val="00AD78FC"/>
    <w:rsid w:val="00AE0A77"/>
    <w:rsid w:val="00AE302B"/>
    <w:rsid w:val="00AE45FA"/>
    <w:rsid w:val="00AE4F54"/>
    <w:rsid w:val="00AF0E4D"/>
    <w:rsid w:val="00AF1E35"/>
    <w:rsid w:val="00AF232B"/>
    <w:rsid w:val="00AF31F0"/>
    <w:rsid w:val="00AF3E4F"/>
    <w:rsid w:val="00AF7957"/>
    <w:rsid w:val="00B16D9E"/>
    <w:rsid w:val="00B23A01"/>
    <w:rsid w:val="00B259DF"/>
    <w:rsid w:val="00B2703D"/>
    <w:rsid w:val="00B27F3C"/>
    <w:rsid w:val="00B32CC4"/>
    <w:rsid w:val="00B36045"/>
    <w:rsid w:val="00B440E3"/>
    <w:rsid w:val="00B44B1F"/>
    <w:rsid w:val="00B44C24"/>
    <w:rsid w:val="00B50450"/>
    <w:rsid w:val="00B505F0"/>
    <w:rsid w:val="00B50BAF"/>
    <w:rsid w:val="00B5553E"/>
    <w:rsid w:val="00B57252"/>
    <w:rsid w:val="00B57691"/>
    <w:rsid w:val="00B64141"/>
    <w:rsid w:val="00B64E72"/>
    <w:rsid w:val="00B6656D"/>
    <w:rsid w:val="00B672B2"/>
    <w:rsid w:val="00B71E7D"/>
    <w:rsid w:val="00B73194"/>
    <w:rsid w:val="00B7572F"/>
    <w:rsid w:val="00B75CC8"/>
    <w:rsid w:val="00B765A7"/>
    <w:rsid w:val="00B77913"/>
    <w:rsid w:val="00B8052A"/>
    <w:rsid w:val="00B811C4"/>
    <w:rsid w:val="00B824FB"/>
    <w:rsid w:val="00B82646"/>
    <w:rsid w:val="00B90803"/>
    <w:rsid w:val="00B91F8D"/>
    <w:rsid w:val="00B92B3A"/>
    <w:rsid w:val="00B92E1A"/>
    <w:rsid w:val="00B92E44"/>
    <w:rsid w:val="00B95A83"/>
    <w:rsid w:val="00B97359"/>
    <w:rsid w:val="00B97A8F"/>
    <w:rsid w:val="00BA0769"/>
    <w:rsid w:val="00BA1B0B"/>
    <w:rsid w:val="00BA279F"/>
    <w:rsid w:val="00BA4E58"/>
    <w:rsid w:val="00BA7074"/>
    <w:rsid w:val="00BA7F93"/>
    <w:rsid w:val="00BB5170"/>
    <w:rsid w:val="00BB5EBA"/>
    <w:rsid w:val="00BB7829"/>
    <w:rsid w:val="00BC2747"/>
    <w:rsid w:val="00BC403C"/>
    <w:rsid w:val="00BC68A6"/>
    <w:rsid w:val="00BD1457"/>
    <w:rsid w:val="00BD217B"/>
    <w:rsid w:val="00BD3825"/>
    <w:rsid w:val="00BD689F"/>
    <w:rsid w:val="00BE1745"/>
    <w:rsid w:val="00BE2AD9"/>
    <w:rsid w:val="00BE60FD"/>
    <w:rsid w:val="00BF0020"/>
    <w:rsid w:val="00BF27FE"/>
    <w:rsid w:val="00BF4526"/>
    <w:rsid w:val="00C043B3"/>
    <w:rsid w:val="00C048E8"/>
    <w:rsid w:val="00C079AB"/>
    <w:rsid w:val="00C10C52"/>
    <w:rsid w:val="00C10E61"/>
    <w:rsid w:val="00C12773"/>
    <w:rsid w:val="00C14771"/>
    <w:rsid w:val="00C14787"/>
    <w:rsid w:val="00C1596D"/>
    <w:rsid w:val="00C15B8D"/>
    <w:rsid w:val="00C17010"/>
    <w:rsid w:val="00C20562"/>
    <w:rsid w:val="00C215C3"/>
    <w:rsid w:val="00C2319A"/>
    <w:rsid w:val="00C23A96"/>
    <w:rsid w:val="00C249C6"/>
    <w:rsid w:val="00C32CC1"/>
    <w:rsid w:val="00C3319A"/>
    <w:rsid w:val="00C35D86"/>
    <w:rsid w:val="00C37A1A"/>
    <w:rsid w:val="00C425EB"/>
    <w:rsid w:val="00C426EC"/>
    <w:rsid w:val="00C42D5E"/>
    <w:rsid w:val="00C444F8"/>
    <w:rsid w:val="00C46911"/>
    <w:rsid w:val="00C53B86"/>
    <w:rsid w:val="00C54FB6"/>
    <w:rsid w:val="00C57B29"/>
    <w:rsid w:val="00C57B42"/>
    <w:rsid w:val="00C61E98"/>
    <w:rsid w:val="00C6483C"/>
    <w:rsid w:val="00C64AE9"/>
    <w:rsid w:val="00C66DA9"/>
    <w:rsid w:val="00C705C8"/>
    <w:rsid w:val="00C70CFF"/>
    <w:rsid w:val="00C718FE"/>
    <w:rsid w:val="00C738A5"/>
    <w:rsid w:val="00C75965"/>
    <w:rsid w:val="00C858EB"/>
    <w:rsid w:val="00C869CD"/>
    <w:rsid w:val="00C8773D"/>
    <w:rsid w:val="00C87ABB"/>
    <w:rsid w:val="00C91831"/>
    <w:rsid w:val="00C91FCF"/>
    <w:rsid w:val="00C948D2"/>
    <w:rsid w:val="00C953DF"/>
    <w:rsid w:val="00C9551E"/>
    <w:rsid w:val="00CA2905"/>
    <w:rsid w:val="00CA2B77"/>
    <w:rsid w:val="00CA7B44"/>
    <w:rsid w:val="00CB6671"/>
    <w:rsid w:val="00CB7D23"/>
    <w:rsid w:val="00CC7DCF"/>
    <w:rsid w:val="00CD0D01"/>
    <w:rsid w:val="00CD2988"/>
    <w:rsid w:val="00CD43A9"/>
    <w:rsid w:val="00CD48E3"/>
    <w:rsid w:val="00CD4A0C"/>
    <w:rsid w:val="00CD67C3"/>
    <w:rsid w:val="00CD7C28"/>
    <w:rsid w:val="00CE01E7"/>
    <w:rsid w:val="00CE0237"/>
    <w:rsid w:val="00CE06FE"/>
    <w:rsid w:val="00CE1DB2"/>
    <w:rsid w:val="00CE20FC"/>
    <w:rsid w:val="00CE2709"/>
    <w:rsid w:val="00CE2D64"/>
    <w:rsid w:val="00CE4C9D"/>
    <w:rsid w:val="00CE6198"/>
    <w:rsid w:val="00CE7E1D"/>
    <w:rsid w:val="00CF1231"/>
    <w:rsid w:val="00CF1935"/>
    <w:rsid w:val="00CF56A1"/>
    <w:rsid w:val="00CF5A5C"/>
    <w:rsid w:val="00CF6230"/>
    <w:rsid w:val="00CF6E86"/>
    <w:rsid w:val="00D017FC"/>
    <w:rsid w:val="00D02158"/>
    <w:rsid w:val="00D0226A"/>
    <w:rsid w:val="00D053A6"/>
    <w:rsid w:val="00D1256B"/>
    <w:rsid w:val="00D13147"/>
    <w:rsid w:val="00D13AAF"/>
    <w:rsid w:val="00D159C3"/>
    <w:rsid w:val="00D171EF"/>
    <w:rsid w:val="00D20542"/>
    <w:rsid w:val="00D23722"/>
    <w:rsid w:val="00D26155"/>
    <w:rsid w:val="00D27957"/>
    <w:rsid w:val="00D32BAA"/>
    <w:rsid w:val="00D335D3"/>
    <w:rsid w:val="00D35F87"/>
    <w:rsid w:val="00D45D99"/>
    <w:rsid w:val="00D50297"/>
    <w:rsid w:val="00D51B30"/>
    <w:rsid w:val="00D5715A"/>
    <w:rsid w:val="00D62C87"/>
    <w:rsid w:val="00D64E3A"/>
    <w:rsid w:val="00D71687"/>
    <w:rsid w:val="00D74813"/>
    <w:rsid w:val="00D86B6F"/>
    <w:rsid w:val="00D92786"/>
    <w:rsid w:val="00D954B4"/>
    <w:rsid w:val="00DA07F2"/>
    <w:rsid w:val="00DA1B62"/>
    <w:rsid w:val="00DA30BC"/>
    <w:rsid w:val="00DA3272"/>
    <w:rsid w:val="00DA3D8E"/>
    <w:rsid w:val="00DA5EF9"/>
    <w:rsid w:val="00DA69C2"/>
    <w:rsid w:val="00DA6D70"/>
    <w:rsid w:val="00DB003B"/>
    <w:rsid w:val="00DB00BC"/>
    <w:rsid w:val="00DB26EF"/>
    <w:rsid w:val="00DB43E9"/>
    <w:rsid w:val="00DB5405"/>
    <w:rsid w:val="00DB6050"/>
    <w:rsid w:val="00DC2C34"/>
    <w:rsid w:val="00DC4909"/>
    <w:rsid w:val="00DD4705"/>
    <w:rsid w:val="00DD7752"/>
    <w:rsid w:val="00DD7DC8"/>
    <w:rsid w:val="00DE2C87"/>
    <w:rsid w:val="00DE459A"/>
    <w:rsid w:val="00DF0471"/>
    <w:rsid w:val="00DF27DA"/>
    <w:rsid w:val="00DF4BCF"/>
    <w:rsid w:val="00DF4CC3"/>
    <w:rsid w:val="00DF4DBE"/>
    <w:rsid w:val="00DF5F59"/>
    <w:rsid w:val="00E01077"/>
    <w:rsid w:val="00E03809"/>
    <w:rsid w:val="00E03EC2"/>
    <w:rsid w:val="00E07CFE"/>
    <w:rsid w:val="00E13F3B"/>
    <w:rsid w:val="00E14323"/>
    <w:rsid w:val="00E20B32"/>
    <w:rsid w:val="00E20BC6"/>
    <w:rsid w:val="00E221DC"/>
    <w:rsid w:val="00E24D61"/>
    <w:rsid w:val="00E316E8"/>
    <w:rsid w:val="00E33363"/>
    <w:rsid w:val="00E34607"/>
    <w:rsid w:val="00E34B08"/>
    <w:rsid w:val="00E40820"/>
    <w:rsid w:val="00E40827"/>
    <w:rsid w:val="00E41037"/>
    <w:rsid w:val="00E41425"/>
    <w:rsid w:val="00E42490"/>
    <w:rsid w:val="00E45272"/>
    <w:rsid w:val="00E4554C"/>
    <w:rsid w:val="00E459B7"/>
    <w:rsid w:val="00E4658F"/>
    <w:rsid w:val="00E53157"/>
    <w:rsid w:val="00E53329"/>
    <w:rsid w:val="00E535B5"/>
    <w:rsid w:val="00E546E6"/>
    <w:rsid w:val="00E547E7"/>
    <w:rsid w:val="00E54A67"/>
    <w:rsid w:val="00E567C4"/>
    <w:rsid w:val="00E57DB9"/>
    <w:rsid w:val="00E61C0D"/>
    <w:rsid w:val="00E63168"/>
    <w:rsid w:val="00E6384E"/>
    <w:rsid w:val="00E63EB4"/>
    <w:rsid w:val="00E64912"/>
    <w:rsid w:val="00E65F95"/>
    <w:rsid w:val="00E66160"/>
    <w:rsid w:val="00E66183"/>
    <w:rsid w:val="00E66B61"/>
    <w:rsid w:val="00E67022"/>
    <w:rsid w:val="00E71329"/>
    <w:rsid w:val="00E80678"/>
    <w:rsid w:val="00E80B8D"/>
    <w:rsid w:val="00E829C5"/>
    <w:rsid w:val="00E8363B"/>
    <w:rsid w:val="00E84675"/>
    <w:rsid w:val="00E84966"/>
    <w:rsid w:val="00E90780"/>
    <w:rsid w:val="00E92383"/>
    <w:rsid w:val="00E92958"/>
    <w:rsid w:val="00E9489D"/>
    <w:rsid w:val="00EA0DBF"/>
    <w:rsid w:val="00EA1250"/>
    <w:rsid w:val="00EA1605"/>
    <w:rsid w:val="00EA1B3A"/>
    <w:rsid w:val="00EA2109"/>
    <w:rsid w:val="00EA2931"/>
    <w:rsid w:val="00EA2DE1"/>
    <w:rsid w:val="00EA64FC"/>
    <w:rsid w:val="00EA7540"/>
    <w:rsid w:val="00EB0C1C"/>
    <w:rsid w:val="00EB6B08"/>
    <w:rsid w:val="00EB6C7C"/>
    <w:rsid w:val="00EC1FBF"/>
    <w:rsid w:val="00ED2AE0"/>
    <w:rsid w:val="00ED4D4E"/>
    <w:rsid w:val="00EE0C77"/>
    <w:rsid w:val="00EE2AF9"/>
    <w:rsid w:val="00EE31AA"/>
    <w:rsid w:val="00EE426E"/>
    <w:rsid w:val="00EE4E54"/>
    <w:rsid w:val="00EE556B"/>
    <w:rsid w:val="00EE700F"/>
    <w:rsid w:val="00EF6C77"/>
    <w:rsid w:val="00F00B8C"/>
    <w:rsid w:val="00F014A2"/>
    <w:rsid w:val="00F06CBF"/>
    <w:rsid w:val="00F07E24"/>
    <w:rsid w:val="00F12CF2"/>
    <w:rsid w:val="00F17A58"/>
    <w:rsid w:val="00F24544"/>
    <w:rsid w:val="00F322BF"/>
    <w:rsid w:val="00F3284E"/>
    <w:rsid w:val="00F32A45"/>
    <w:rsid w:val="00F34508"/>
    <w:rsid w:val="00F369B3"/>
    <w:rsid w:val="00F37740"/>
    <w:rsid w:val="00F436BB"/>
    <w:rsid w:val="00F44BEF"/>
    <w:rsid w:val="00F47145"/>
    <w:rsid w:val="00F52EE0"/>
    <w:rsid w:val="00F53300"/>
    <w:rsid w:val="00F545BF"/>
    <w:rsid w:val="00F56152"/>
    <w:rsid w:val="00F61B86"/>
    <w:rsid w:val="00F63AA5"/>
    <w:rsid w:val="00F65A07"/>
    <w:rsid w:val="00F66741"/>
    <w:rsid w:val="00F71B56"/>
    <w:rsid w:val="00F7687C"/>
    <w:rsid w:val="00F810AB"/>
    <w:rsid w:val="00F832C8"/>
    <w:rsid w:val="00F83590"/>
    <w:rsid w:val="00F860DD"/>
    <w:rsid w:val="00F86E16"/>
    <w:rsid w:val="00F873B3"/>
    <w:rsid w:val="00F9045A"/>
    <w:rsid w:val="00F90A49"/>
    <w:rsid w:val="00F917C1"/>
    <w:rsid w:val="00F926F6"/>
    <w:rsid w:val="00FA42B9"/>
    <w:rsid w:val="00FA69C5"/>
    <w:rsid w:val="00FA6DF7"/>
    <w:rsid w:val="00FA755A"/>
    <w:rsid w:val="00FB2B0F"/>
    <w:rsid w:val="00FB3F53"/>
    <w:rsid w:val="00FB4F6B"/>
    <w:rsid w:val="00FB5FE1"/>
    <w:rsid w:val="00FC0E8D"/>
    <w:rsid w:val="00FC1390"/>
    <w:rsid w:val="00FC341E"/>
    <w:rsid w:val="00FC46EF"/>
    <w:rsid w:val="00FC68DB"/>
    <w:rsid w:val="00FD2104"/>
    <w:rsid w:val="00FD31B3"/>
    <w:rsid w:val="00FD418B"/>
    <w:rsid w:val="00FD4204"/>
    <w:rsid w:val="00FE12E4"/>
    <w:rsid w:val="00FE1BD5"/>
    <w:rsid w:val="00FE3933"/>
    <w:rsid w:val="00FE6DFB"/>
    <w:rsid w:val="00FF2C97"/>
    <w:rsid w:val="00FF3C06"/>
    <w:rsid w:val="00FF3CCB"/>
    <w:rsid w:val="00FF519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F817C94-4807-47B6-B086-1EF59B0D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04B"/>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D626F"/>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D626F"/>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2"/>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266CD6"/>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F9-Paragraph"/>
    <w:next w:val="F9-Paragraph"/>
    <w:link w:val="EndnoteTextChar"/>
    <w:uiPriority w:val="99"/>
    <w:unhideWhenUsed/>
    <w:rsid w:val="00254032"/>
    <w:pPr>
      <w:numPr>
        <w:numId w:val="0"/>
      </w:numPr>
      <w:ind w:left="851" w:hanging="851"/>
    </w:pPr>
    <w:rPr>
      <w:szCs w:val="20"/>
    </w:rPr>
  </w:style>
  <w:style w:type="character" w:customStyle="1" w:styleId="EndnoteTextChar">
    <w:name w:val="Endnote Text Char"/>
    <w:basedOn w:val="DefaultParagraphFont"/>
    <w:link w:val="EndnoteText"/>
    <w:uiPriority w:val="99"/>
    <w:rsid w:val="00254032"/>
    <w:rPr>
      <w:rFonts w:ascii="Arial" w:eastAsia="Times New Roman" w:hAnsi="Arial"/>
      <w:sz w:val="24"/>
      <w:lang w:eastAsia="en-US"/>
    </w:rPr>
  </w:style>
  <w:style w:type="character" w:styleId="EndnoteReference">
    <w:name w:val="endnote reference"/>
    <w:basedOn w:val="F9-ParagraphChar"/>
    <w:uiPriority w:val="99"/>
    <w:semiHidden/>
    <w:unhideWhenUsed/>
    <w:qFormat/>
    <w:rsid w:val="0062504B"/>
    <w:rPr>
      <w:rFonts w:ascii="Arial" w:eastAsia="Times New Roman" w:hAnsi="Arial"/>
      <w:bCs w:val="0"/>
      <w:iCs w:val="0"/>
      <w:caps w:val="0"/>
      <w:smallCaps w:val="0"/>
      <w:strike w:val="0"/>
      <w:dstrike w:val="0"/>
      <w:vanish w:val="0"/>
      <w:sz w:val="24"/>
      <w:szCs w:val="24"/>
      <w:u w:val="none"/>
      <w:vertAlign w:val="baseline"/>
      <w:lang w:eastAsia="en-US"/>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685CC4"/>
    <w:pPr>
      <w:numPr>
        <w:numId w:val="26"/>
      </w:numPr>
      <w:spacing w:before="240" w:after="120" w:line="240" w:lineRule="auto"/>
      <w:ind w:left="1276" w:hanging="425"/>
      <w:contextualSpacing w:val="0"/>
    </w:pPr>
    <w:rPr>
      <w:rFonts w:eastAsia="Times New Roman" w:cs="Times New Roman"/>
      <w:sz w:val="22"/>
      <w:szCs w:val="24"/>
      <w:lang w:bidi="ar-SA"/>
    </w:rPr>
  </w:style>
  <w:style w:type="character" w:customStyle="1" w:styleId="BulletPointChar">
    <w:name w:val="Bullet Point Char"/>
    <w:basedOn w:val="DefaultParagraphFont"/>
    <w:link w:val="BulletPoint"/>
    <w:rsid w:val="00685CC4"/>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NumberedParagraph">
    <w:name w:val="Numbered Paragraph"/>
    <w:basedOn w:val="Normal"/>
    <w:link w:val="NumberedParagraphChar"/>
    <w:qFormat/>
    <w:rsid w:val="008B2C9C"/>
    <w:pPr>
      <w:spacing w:before="240" w:after="120" w:line="240" w:lineRule="auto"/>
      <w:ind w:left="851" w:hanging="851"/>
    </w:pPr>
    <w:rPr>
      <w:rFonts w:eastAsia="Times New Roman"/>
      <w:szCs w:val="24"/>
      <w:lang w:bidi="ar-SA"/>
    </w:rPr>
  </w:style>
  <w:style w:type="character" w:customStyle="1" w:styleId="NumberedParagraphChar">
    <w:name w:val="Numbered Paragraph Char"/>
    <w:basedOn w:val="DefaultParagraphFont"/>
    <w:link w:val="NumberedParagraph"/>
    <w:rsid w:val="008B2C9C"/>
    <w:rPr>
      <w:rFonts w:ascii="Arial" w:eastAsia="Times New Roman" w:hAnsi="Arial"/>
      <w:sz w:val="24"/>
      <w:szCs w:val="24"/>
      <w:lang w:eastAsia="en-US"/>
    </w:rPr>
  </w:style>
  <w:style w:type="paragraph" w:customStyle="1" w:styleId="StyleTSNumberedParagraph11BoldFirstline0cm">
    <w:name w:val="Style TS Numbered Paragraph 1.1 + Bold First line:  0 cm"/>
    <w:basedOn w:val="Normal"/>
    <w:rsid w:val="005B1DD0"/>
    <w:pPr>
      <w:keepNext/>
      <w:spacing w:after="220" w:line="240" w:lineRule="auto"/>
      <w:ind w:left="1440"/>
      <w:outlineLvl w:val="0"/>
    </w:pPr>
    <w:rPr>
      <w:rFonts w:eastAsia="Times New Roman" w:cs="Times New Roman"/>
      <w:b/>
      <w:bCs/>
      <w:sz w:val="22"/>
      <w:szCs w:val="20"/>
      <w:lang w:bidi="ar-SA"/>
    </w:rPr>
  </w:style>
  <w:style w:type="character" w:customStyle="1" w:styleId="ListParagraphChar">
    <w:name w:val="List Paragraph Char"/>
    <w:link w:val="ListParagraph"/>
    <w:uiPriority w:val="34"/>
    <w:rsid w:val="00DD7DC8"/>
    <w:rPr>
      <w:rFonts w:ascii="Arial" w:hAnsi="Arial"/>
      <w:sz w:val="24"/>
      <w:szCs w:val="22"/>
      <w:lang w:eastAsia="en-US" w:bidi="he-IL"/>
    </w:rPr>
  </w:style>
  <w:style w:type="paragraph" w:styleId="Revision">
    <w:name w:val="Revision"/>
    <w:hidden/>
    <w:uiPriority w:val="99"/>
    <w:semiHidden/>
    <w:rsid w:val="00BD217B"/>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903ED8"/>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03ED8"/>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905064">
      <w:bodyDiv w:val="1"/>
      <w:marLeft w:val="0"/>
      <w:marRight w:val="0"/>
      <w:marTop w:val="0"/>
      <w:marBottom w:val="0"/>
      <w:divBdr>
        <w:top w:val="none" w:sz="0" w:space="0" w:color="auto"/>
        <w:left w:val="none" w:sz="0" w:space="0" w:color="auto"/>
        <w:bottom w:val="none" w:sz="0" w:space="0" w:color="auto"/>
        <w:right w:val="none" w:sz="0" w:space="0" w:color="auto"/>
      </w:divBdr>
    </w:div>
    <w:div w:id="4745201">
      <w:bodyDiv w:val="1"/>
      <w:marLeft w:val="0"/>
      <w:marRight w:val="0"/>
      <w:marTop w:val="0"/>
      <w:marBottom w:val="0"/>
      <w:divBdr>
        <w:top w:val="none" w:sz="0" w:space="0" w:color="auto"/>
        <w:left w:val="none" w:sz="0" w:space="0" w:color="auto"/>
        <w:bottom w:val="none" w:sz="0" w:space="0" w:color="auto"/>
        <w:right w:val="none" w:sz="0" w:space="0" w:color="auto"/>
      </w:divBdr>
    </w:div>
    <w:div w:id="5330508">
      <w:bodyDiv w:val="1"/>
      <w:marLeft w:val="0"/>
      <w:marRight w:val="0"/>
      <w:marTop w:val="0"/>
      <w:marBottom w:val="0"/>
      <w:divBdr>
        <w:top w:val="none" w:sz="0" w:space="0" w:color="auto"/>
        <w:left w:val="none" w:sz="0" w:space="0" w:color="auto"/>
        <w:bottom w:val="none" w:sz="0" w:space="0" w:color="auto"/>
        <w:right w:val="none" w:sz="0" w:space="0" w:color="auto"/>
      </w:divBdr>
    </w:div>
    <w:div w:id="17044022">
      <w:bodyDiv w:val="1"/>
      <w:marLeft w:val="0"/>
      <w:marRight w:val="0"/>
      <w:marTop w:val="0"/>
      <w:marBottom w:val="0"/>
      <w:divBdr>
        <w:top w:val="none" w:sz="0" w:space="0" w:color="auto"/>
        <w:left w:val="none" w:sz="0" w:space="0" w:color="auto"/>
        <w:bottom w:val="none" w:sz="0" w:space="0" w:color="auto"/>
        <w:right w:val="none" w:sz="0" w:space="0" w:color="auto"/>
      </w:divBdr>
    </w:div>
    <w:div w:id="33384345">
      <w:bodyDiv w:val="1"/>
      <w:marLeft w:val="0"/>
      <w:marRight w:val="0"/>
      <w:marTop w:val="0"/>
      <w:marBottom w:val="0"/>
      <w:divBdr>
        <w:top w:val="none" w:sz="0" w:space="0" w:color="auto"/>
        <w:left w:val="none" w:sz="0" w:space="0" w:color="auto"/>
        <w:bottom w:val="none" w:sz="0" w:space="0" w:color="auto"/>
        <w:right w:val="none" w:sz="0" w:space="0" w:color="auto"/>
      </w:divBdr>
    </w:div>
    <w:div w:id="36904993">
      <w:bodyDiv w:val="1"/>
      <w:marLeft w:val="0"/>
      <w:marRight w:val="0"/>
      <w:marTop w:val="0"/>
      <w:marBottom w:val="0"/>
      <w:divBdr>
        <w:top w:val="none" w:sz="0" w:space="0" w:color="auto"/>
        <w:left w:val="none" w:sz="0" w:space="0" w:color="auto"/>
        <w:bottom w:val="none" w:sz="0" w:space="0" w:color="auto"/>
        <w:right w:val="none" w:sz="0" w:space="0" w:color="auto"/>
      </w:divBdr>
    </w:div>
    <w:div w:id="38357665">
      <w:bodyDiv w:val="1"/>
      <w:marLeft w:val="0"/>
      <w:marRight w:val="0"/>
      <w:marTop w:val="0"/>
      <w:marBottom w:val="0"/>
      <w:divBdr>
        <w:top w:val="none" w:sz="0" w:space="0" w:color="auto"/>
        <w:left w:val="none" w:sz="0" w:space="0" w:color="auto"/>
        <w:bottom w:val="none" w:sz="0" w:space="0" w:color="auto"/>
        <w:right w:val="none" w:sz="0" w:space="0" w:color="auto"/>
      </w:divBdr>
    </w:div>
    <w:div w:id="49965727">
      <w:bodyDiv w:val="1"/>
      <w:marLeft w:val="0"/>
      <w:marRight w:val="0"/>
      <w:marTop w:val="0"/>
      <w:marBottom w:val="0"/>
      <w:divBdr>
        <w:top w:val="none" w:sz="0" w:space="0" w:color="auto"/>
        <w:left w:val="none" w:sz="0" w:space="0" w:color="auto"/>
        <w:bottom w:val="none" w:sz="0" w:space="0" w:color="auto"/>
        <w:right w:val="none" w:sz="0" w:space="0" w:color="auto"/>
      </w:divBdr>
    </w:div>
    <w:div w:id="57677674">
      <w:bodyDiv w:val="1"/>
      <w:marLeft w:val="0"/>
      <w:marRight w:val="0"/>
      <w:marTop w:val="0"/>
      <w:marBottom w:val="0"/>
      <w:divBdr>
        <w:top w:val="none" w:sz="0" w:space="0" w:color="auto"/>
        <w:left w:val="none" w:sz="0" w:space="0" w:color="auto"/>
        <w:bottom w:val="none" w:sz="0" w:space="0" w:color="auto"/>
        <w:right w:val="none" w:sz="0" w:space="0" w:color="auto"/>
      </w:divBdr>
    </w:div>
    <w:div w:id="64425292">
      <w:bodyDiv w:val="1"/>
      <w:marLeft w:val="0"/>
      <w:marRight w:val="0"/>
      <w:marTop w:val="0"/>
      <w:marBottom w:val="0"/>
      <w:divBdr>
        <w:top w:val="none" w:sz="0" w:space="0" w:color="auto"/>
        <w:left w:val="none" w:sz="0" w:space="0" w:color="auto"/>
        <w:bottom w:val="none" w:sz="0" w:space="0" w:color="auto"/>
        <w:right w:val="none" w:sz="0" w:space="0" w:color="auto"/>
      </w:divBdr>
    </w:div>
    <w:div w:id="65223919">
      <w:bodyDiv w:val="1"/>
      <w:marLeft w:val="0"/>
      <w:marRight w:val="0"/>
      <w:marTop w:val="0"/>
      <w:marBottom w:val="0"/>
      <w:divBdr>
        <w:top w:val="none" w:sz="0" w:space="0" w:color="auto"/>
        <w:left w:val="none" w:sz="0" w:space="0" w:color="auto"/>
        <w:bottom w:val="none" w:sz="0" w:space="0" w:color="auto"/>
        <w:right w:val="none" w:sz="0" w:space="0" w:color="auto"/>
      </w:divBdr>
    </w:div>
    <w:div w:id="8658284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166170">
      <w:bodyDiv w:val="1"/>
      <w:marLeft w:val="0"/>
      <w:marRight w:val="0"/>
      <w:marTop w:val="0"/>
      <w:marBottom w:val="0"/>
      <w:divBdr>
        <w:top w:val="none" w:sz="0" w:space="0" w:color="auto"/>
        <w:left w:val="none" w:sz="0" w:space="0" w:color="auto"/>
        <w:bottom w:val="none" w:sz="0" w:space="0" w:color="auto"/>
        <w:right w:val="none" w:sz="0" w:space="0" w:color="auto"/>
      </w:divBdr>
    </w:div>
    <w:div w:id="97724809">
      <w:bodyDiv w:val="1"/>
      <w:marLeft w:val="0"/>
      <w:marRight w:val="0"/>
      <w:marTop w:val="0"/>
      <w:marBottom w:val="0"/>
      <w:divBdr>
        <w:top w:val="none" w:sz="0" w:space="0" w:color="auto"/>
        <w:left w:val="none" w:sz="0" w:space="0" w:color="auto"/>
        <w:bottom w:val="none" w:sz="0" w:space="0" w:color="auto"/>
        <w:right w:val="none" w:sz="0" w:space="0" w:color="auto"/>
      </w:divBdr>
    </w:div>
    <w:div w:id="107556145">
      <w:bodyDiv w:val="1"/>
      <w:marLeft w:val="0"/>
      <w:marRight w:val="0"/>
      <w:marTop w:val="0"/>
      <w:marBottom w:val="0"/>
      <w:divBdr>
        <w:top w:val="none" w:sz="0" w:space="0" w:color="auto"/>
        <w:left w:val="none" w:sz="0" w:space="0" w:color="auto"/>
        <w:bottom w:val="none" w:sz="0" w:space="0" w:color="auto"/>
        <w:right w:val="none" w:sz="0" w:space="0" w:color="auto"/>
      </w:divBdr>
    </w:div>
    <w:div w:id="109209194">
      <w:bodyDiv w:val="1"/>
      <w:marLeft w:val="0"/>
      <w:marRight w:val="0"/>
      <w:marTop w:val="0"/>
      <w:marBottom w:val="0"/>
      <w:divBdr>
        <w:top w:val="none" w:sz="0" w:space="0" w:color="auto"/>
        <w:left w:val="none" w:sz="0" w:space="0" w:color="auto"/>
        <w:bottom w:val="none" w:sz="0" w:space="0" w:color="auto"/>
        <w:right w:val="none" w:sz="0" w:space="0" w:color="auto"/>
      </w:divBdr>
    </w:div>
    <w:div w:id="127016000">
      <w:bodyDiv w:val="1"/>
      <w:marLeft w:val="0"/>
      <w:marRight w:val="0"/>
      <w:marTop w:val="0"/>
      <w:marBottom w:val="0"/>
      <w:divBdr>
        <w:top w:val="none" w:sz="0" w:space="0" w:color="auto"/>
        <w:left w:val="none" w:sz="0" w:space="0" w:color="auto"/>
        <w:bottom w:val="none" w:sz="0" w:space="0" w:color="auto"/>
        <w:right w:val="none" w:sz="0" w:space="0" w:color="auto"/>
      </w:divBdr>
    </w:div>
    <w:div w:id="133304963">
      <w:bodyDiv w:val="1"/>
      <w:marLeft w:val="0"/>
      <w:marRight w:val="0"/>
      <w:marTop w:val="0"/>
      <w:marBottom w:val="0"/>
      <w:divBdr>
        <w:top w:val="none" w:sz="0" w:space="0" w:color="auto"/>
        <w:left w:val="none" w:sz="0" w:space="0" w:color="auto"/>
        <w:bottom w:val="none" w:sz="0" w:space="0" w:color="auto"/>
        <w:right w:val="none" w:sz="0" w:space="0" w:color="auto"/>
      </w:divBdr>
    </w:div>
    <w:div w:id="133644464">
      <w:bodyDiv w:val="1"/>
      <w:marLeft w:val="0"/>
      <w:marRight w:val="0"/>
      <w:marTop w:val="0"/>
      <w:marBottom w:val="0"/>
      <w:divBdr>
        <w:top w:val="none" w:sz="0" w:space="0" w:color="auto"/>
        <w:left w:val="none" w:sz="0" w:space="0" w:color="auto"/>
        <w:bottom w:val="none" w:sz="0" w:space="0" w:color="auto"/>
        <w:right w:val="none" w:sz="0" w:space="0" w:color="auto"/>
      </w:divBdr>
    </w:div>
    <w:div w:id="135341189">
      <w:bodyDiv w:val="1"/>
      <w:marLeft w:val="0"/>
      <w:marRight w:val="0"/>
      <w:marTop w:val="0"/>
      <w:marBottom w:val="0"/>
      <w:divBdr>
        <w:top w:val="none" w:sz="0" w:space="0" w:color="auto"/>
        <w:left w:val="none" w:sz="0" w:space="0" w:color="auto"/>
        <w:bottom w:val="none" w:sz="0" w:space="0" w:color="auto"/>
        <w:right w:val="none" w:sz="0" w:space="0" w:color="auto"/>
      </w:divBdr>
    </w:div>
    <w:div w:id="157814069">
      <w:bodyDiv w:val="1"/>
      <w:marLeft w:val="0"/>
      <w:marRight w:val="0"/>
      <w:marTop w:val="0"/>
      <w:marBottom w:val="0"/>
      <w:divBdr>
        <w:top w:val="none" w:sz="0" w:space="0" w:color="auto"/>
        <w:left w:val="none" w:sz="0" w:space="0" w:color="auto"/>
        <w:bottom w:val="none" w:sz="0" w:space="0" w:color="auto"/>
        <w:right w:val="none" w:sz="0" w:space="0" w:color="auto"/>
      </w:divBdr>
    </w:div>
    <w:div w:id="177669340">
      <w:bodyDiv w:val="1"/>
      <w:marLeft w:val="0"/>
      <w:marRight w:val="0"/>
      <w:marTop w:val="0"/>
      <w:marBottom w:val="0"/>
      <w:divBdr>
        <w:top w:val="none" w:sz="0" w:space="0" w:color="auto"/>
        <w:left w:val="none" w:sz="0" w:space="0" w:color="auto"/>
        <w:bottom w:val="none" w:sz="0" w:space="0" w:color="auto"/>
        <w:right w:val="none" w:sz="0" w:space="0" w:color="auto"/>
      </w:divBdr>
    </w:div>
    <w:div w:id="177700102">
      <w:bodyDiv w:val="1"/>
      <w:marLeft w:val="0"/>
      <w:marRight w:val="0"/>
      <w:marTop w:val="0"/>
      <w:marBottom w:val="0"/>
      <w:divBdr>
        <w:top w:val="none" w:sz="0" w:space="0" w:color="auto"/>
        <w:left w:val="none" w:sz="0" w:space="0" w:color="auto"/>
        <w:bottom w:val="none" w:sz="0" w:space="0" w:color="auto"/>
        <w:right w:val="none" w:sz="0" w:space="0" w:color="auto"/>
      </w:divBdr>
    </w:div>
    <w:div w:id="180441570">
      <w:bodyDiv w:val="1"/>
      <w:marLeft w:val="0"/>
      <w:marRight w:val="0"/>
      <w:marTop w:val="0"/>
      <w:marBottom w:val="0"/>
      <w:divBdr>
        <w:top w:val="none" w:sz="0" w:space="0" w:color="auto"/>
        <w:left w:val="none" w:sz="0" w:space="0" w:color="auto"/>
        <w:bottom w:val="none" w:sz="0" w:space="0" w:color="auto"/>
        <w:right w:val="none" w:sz="0" w:space="0" w:color="auto"/>
      </w:divBdr>
    </w:div>
    <w:div w:id="19800931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528038">
      <w:bodyDiv w:val="1"/>
      <w:marLeft w:val="0"/>
      <w:marRight w:val="0"/>
      <w:marTop w:val="0"/>
      <w:marBottom w:val="0"/>
      <w:divBdr>
        <w:top w:val="none" w:sz="0" w:space="0" w:color="auto"/>
        <w:left w:val="none" w:sz="0" w:space="0" w:color="auto"/>
        <w:bottom w:val="none" w:sz="0" w:space="0" w:color="auto"/>
        <w:right w:val="none" w:sz="0" w:space="0" w:color="auto"/>
      </w:divBdr>
    </w:div>
    <w:div w:id="209727246">
      <w:bodyDiv w:val="1"/>
      <w:marLeft w:val="0"/>
      <w:marRight w:val="0"/>
      <w:marTop w:val="0"/>
      <w:marBottom w:val="0"/>
      <w:divBdr>
        <w:top w:val="none" w:sz="0" w:space="0" w:color="auto"/>
        <w:left w:val="none" w:sz="0" w:space="0" w:color="auto"/>
        <w:bottom w:val="none" w:sz="0" w:space="0" w:color="auto"/>
        <w:right w:val="none" w:sz="0" w:space="0" w:color="auto"/>
      </w:divBdr>
    </w:div>
    <w:div w:id="213662874">
      <w:bodyDiv w:val="1"/>
      <w:marLeft w:val="0"/>
      <w:marRight w:val="0"/>
      <w:marTop w:val="0"/>
      <w:marBottom w:val="0"/>
      <w:divBdr>
        <w:top w:val="none" w:sz="0" w:space="0" w:color="auto"/>
        <w:left w:val="none" w:sz="0" w:space="0" w:color="auto"/>
        <w:bottom w:val="none" w:sz="0" w:space="0" w:color="auto"/>
        <w:right w:val="none" w:sz="0" w:space="0" w:color="auto"/>
      </w:divBdr>
    </w:div>
    <w:div w:id="213741398">
      <w:bodyDiv w:val="1"/>
      <w:marLeft w:val="0"/>
      <w:marRight w:val="0"/>
      <w:marTop w:val="0"/>
      <w:marBottom w:val="0"/>
      <w:divBdr>
        <w:top w:val="none" w:sz="0" w:space="0" w:color="auto"/>
        <w:left w:val="none" w:sz="0" w:space="0" w:color="auto"/>
        <w:bottom w:val="none" w:sz="0" w:space="0" w:color="auto"/>
        <w:right w:val="none" w:sz="0" w:space="0" w:color="auto"/>
      </w:divBdr>
    </w:div>
    <w:div w:id="225992456">
      <w:bodyDiv w:val="1"/>
      <w:marLeft w:val="0"/>
      <w:marRight w:val="0"/>
      <w:marTop w:val="0"/>
      <w:marBottom w:val="0"/>
      <w:divBdr>
        <w:top w:val="none" w:sz="0" w:space="0" w:color="auto"/>
        <w:left w:val="none" w:sz="0" w:space="0" w:color="auto"/>
        <w:bottom w:val="none" w:sz="0" w:space="0" w:color="auto"/>
        <w:right w:val="none" w:sz="0" w:space="0" w:color="auto"/>
      </w:divBdr>
    </w:div>
    <w:div w:id="232666090">
      <w:bodyDiv w:val="1"/>
      <w:marLeft w:val="0"/>
      <w:marRight w:val="0"/>
      <w:marTop w:val="0"/>
      <w:marBottom w:val="0"/>
      <w:divBdr>
        <w:top w:val="none" w:sz="0" w:space="0" w:color="auto"/>
        <w:left w:val="none" w:sz="0" w:space="0" w:color="auto"/>
        <w:bottom w:val="none" w:sz="0" w:space="0" w:color="auto"/>
        <w:right w:val="none" w:sz="0" w:space="0" w:color="auto"/>
      </w:divBdr>
    </w:div>
    <w:div w:id="238685154">
      <w:bodyDiv w:val="1"/>
      <w:marLeft w:val="0"/>
      <w:marRight w:val="0"/>
      <w:marTop w:val="0"/>
      <w:marBottom w:val="0"/>
      <w:divBdr>
        <w:top w:val="none" w:sz="0" w:space="0" w:color="auto"/>
        <w:left w:val="none" w:sz="0" w:space="0" w:color="auto"/>
        <w:bottom w:val="none" w:sz="0" w:space="0" w:color="auto"/>
        <w:right w:val="none" w:sz="0" w:space="0" w:color="auto"/>
      </w:divBdr>
    </w:div>
    <w:div w:id="248199130">
      <w:bodyDiv w:val="1"/>
      <w:marLeft w:val="0"/>
      <w:marRight w:val="0"/>
      <w:marTop w:val="0"/>
      <w:marBottom w:val="0"/>
      <w:divBdr>
        <w:top w:val="none" w:sz="0" w:space="0" w:color="auto"/>
        <w:left w:val="none" w:sz="0" w:space="0" w:color="auto"/>
        <w:bottom w:val="none" w:sz="0" w:space="0" w:color="auto"/>
        <w:right w:val="none" w:sz="0" w:space="0" w:color="auto"/>
      </w:divBdr>
    </w:div>
    <w:div w:id="259408543">
      <w:bodyDiv w:val="1"/>
      <w:marLeft w:val="0"/>
      <w:marRight w:val="0"/>
      <w:marTop w:val="0"/>
      <w:marBottom w:val="0"/>
      <w:divBdr>
        <w:top w:val="none" w:sz="0" w:space="0" w:color="auto"/>
        <w:left w:val="none" w:sz="0" w:space="0" w:color="auto"/>
        <w:bottom w:val="none" w:sz="0" w:space="0" w:color="auto"/>
        <w:right w:val="none" w:sz="0" w:space="0" w:color="auto"/>
      </w:divBdr>
    </w:div>
    <w:div w:id="267078491">
      <w:bodyDiv w:val="1"/>
      <w:marLeft w:val="0"/>
      <w:marRight w:val="0"/>
      <w:marTop w:val="0"/>
      <w:marBottom w:val="0"/>
      <w:divBdr>
        <w:top w:val="none" w:sz="0" w:space="0" w:color="auto"/>
        <w:left w:val="none" w:sz="0" w:space="0" w:color="auto"/>
        <w:bottom w:val="none" w:sz="0" w:space="0" w:color="auto"/>
        <w:right w:val="none" w:sz="0" w:space="0" w:color="auto"/>
      </w:divBdr>
    </w:div>
    <w:div w:id="268516226">
      <w:bodyDiv w:val="1"/>
      <w:marLeft w:val="0"/>
      <w:marRight w:val="0"/>
      <w:marTop w:val="0"/>
      <w:marBottom w:val="0"/>
      <w:divBdr>
        <w:top w:val="none" w:sz="0" w:space="0" w:color="auto"/>
        <w:left w:val="none" w:sz="0" w:space="0" w:color="auto"/>
        <w:bottom w:val="none" w:sz="0" w:space="0" w:color="auto"/>
        <w:right w:val="none" w:sz="0" w:space="0" w:color="auto"/>
      </w:divBdr>
    </w:div>
    <w:div w:id="274142676">
      <w:bodyDiv w:val="1"/>
      <w:marLeft w:val="0"/>
      <w:marRight w:val="0"/>
      <w:marTop w:val="0"/>
      <w:marBottom w:val="0"/>
      <w:divBdr>
        <w:top w:val="none" w:sz="0" w:space="0" w:color="auto"/>
        <w:left w:val="none" w:sz="0" w:space="0" w:color="auto"/>
        <w:bottom w:val="none" w:sz="0" w:space="0" w:color="auto"/>
        <w:right w:val="none" w:sz="0" w:space="0" w:color="auto"/>
      </w:divBdr>
    </w:div>
    <w:div w:id="282149971">
      <w:bodyDiv w:val="1"/>
      <w:marLeft w:val="0"/>
      <w:marRight w:val="0"/>
      <w:marTop w:val="0"/>
      <w:marBottom w:val="0"/>
      <w:divBdr>
        <w:top w:val="none" w:sz="0" w:space="0" w:color="auto"/>
        <w:left w:val="none" w:sz="0" w:space="0" w:color="auto"/>
        <w:bottom w:val="none" w:sz="0" w:space="0" w:color="auto"/>
        <w:right w:val="none" w:sz="0" w:space="0" w:color="auto"/>
      </w:divBdr>
    </w:div>
    <w:div w:id="302084125">
      <w:bodyDiv w:val="1"/>
      <w:marLeft w:val="0"/>
      <w:marRight w:val="0"/>
      <w:marTop w:val="0"/>
      <w:marBottom w:val="0"/>
      <w:divBdr>
        <w:top w:val="none" w:sz="0" w:space="0" w:color="auto"/>
        <w:left w:val="none" w:sz="0" w:space="0" w:color="auto"/>
        <w:bottom w:val="none" w:sz="0" w:space="0" w:color="auto"/>
        <w:right w:val="none" w:sz="0" w:space="0" w:color="auto"/>
      </w:divBdr>
    </w:div>
    <w:div w:id="305866215">
      <w:bodyDiv w:val="1"/>
      <w:marLeft w:val="0"/>
      <w:marRight w:val="0"/>
      <w:marTop w:val="0"/>
      <w:marBottom w:val="0"/>
      <w:divBdr>
        <w:top w:val="none" w:sz="0" w:space="0" w:color="auto"/>
        <w:left w:val="none" w:sz="0" w:space="0" w:color="auto"/>
        <w:bottom w:val="none" w:sz="0" w:space="0" w:color="auto"/>
        <w:right w:val="none" w:sz="0" w:space="0" w:color="auto"/>
      </w:divBdr>
    </w:div>
    <w:div w:id="307322163">
      <w:bodyDiv w:val="1"/>
      <w:marLeft w:val="0"/>
      <w:marRight w:val="0"/>
      <w:marTop w:val="0"/>
      <w:marBottom w:val="0"/>
      <w:divBdr>
        <w:top w:val="none" w:sz="0" w:space="0" w:color="auto"/>
        <w:left w:val="none" w:sz="0" w:space="0" w:color="auto"/>
        <w:bottom w:val="none" w:sz="0" w:space="0" w:color="auto"/>
        <w:right w:val="none" w:sz="0" w:space="0" w:color="auto"/>
      </w:divBdr>
    </w:div>
    <w:div w:id="32312288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462649">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5909801">
      <w:bodyDiv w:val="1"/>
      <w:marLeft w:val="0"/>
      <w:marRight w:val="0"/>
      <w:marTop w:val="0"/>
      <w:marBottom w:val="0"/>
      <w:divBdr>
        <w:top w:val="none" w:sz="0" w:space="0" w:color="auto"/>
        <w:left w:val="none" w:sz="0" w:space="0" w:color="auto"/>
        <w:bottom w:val="none" w:sz="0" w:space="0" w:color="auto"/>
        <w:right w:val="none" w:sz="0" w:space="0" w:color="auto"/>
      </w:divBdr>
    </w:div>
    <w:div w:id="347759015">
      <w:bodyDiv w:val="1"/>
      <w:marLeft w:val="0"/>
      <w:marRight w:val="0"/>
      <w:marTop w:val="0"/>
      <w:marBottom w:val="0"/>
      <w:divBdr>
        <w:top w:val="none" w:sz="0" w:space="0" w:color="auto"/>
        <w:left w:val="none" w:sz="0" w:space="0" w:color="auto"/>
        <w:bottom w:val="none" w:sz="0" w:space="0" w:color="auto"/>
        <w:right w:val="none" w:sz="0" w:space="0" w:color="auto"/>
      </w:divBdr>
    </w:div>
    <w:div w:id="362901267">
      <w:bodyDiv w:val="1"/>
      <w:marLeft w:val="0"/>
      <w:marRight w:val="0"/>
      <w:marTop w:val="0"/>
      <w:marBottom w:val="0"/>
      <w:divBdr>
        <w:top w:val="none" w:sz="0" w:space="0" w:color="auto"/>
        <w:left w:val="none" w:sz="0" w:space="0" w:color="auto"/>
        <w:bottom w:val="none" w:sz="0" w:space="0" w:color="auto"/>
        <w:right w:val="none" w:sz="0" w:space="0" w:color="auto"/>
      </w:divBdr>
    </w:div>
    <w:div w:id="375353037">
      <w:bodyDiv w:val="1"/>
      <w:marLeft w:val="0"/>
      <w:marRight w:val="0"/>
      <w:marTop w:val="0"/>
      <w:marBottom w:val="0"/>
      <w:divBdr>
        <w:top w:val="none" w:sz="0" w:space="0" w:color="auto"/>
        <w:left w:val="none" w:sz="0" w:space="0" w:color="auto"/>
        <w:bottom w:val="none" w:sz="0" w:space="0" w:color="auto"/>
        <w:right w:val="none" w:sz="0" w:space="0" w:color="auto"/>
      </w:divBdr>
    </w:div>
    <w:div w:id="388263295">
      <w:bodyDiv w:val="1"/>
      <w:marLeft w:val="0"/>
      <w:marRight w:val="0"/>
      <w:marTop w:val="0"/>
      <w:marBottom w:val="0"/>
      <w:divBdr>
        <w:top w:val="none" w:sz="0" w:space="0" w:color="auto"/>
        <w:left w:val="none" w:sz="0" w:space="0" w:color="auto"/>
        <w:bottom w:val="none" w:sz="0" w:space="0" w:color="auto"/>
        <w:right w:val="none" w:sz="0" w:space="0" w:color="auto"/>
      </w:divBdr>
    </w:div>
    <w:div w:id="394086182">
      <w:bodyDiv w:val="1"/>
      <w:marLeft w:val="0"/>
      <w:marRight w:val="0"/>
      <w:marTop w:val="0"/>
      <w:marBottom w:val="0"/>
      <w:divBdr>
        <w:top w:val="none" w:sz="0" w:space="0" w:color="auto"/>
        <w:left w:val="none" w:sz="0" w:space="0" w:color="auto"/>
        <w:bottom w:val="none" w:sz="0" w:space="0" w:color="auto"/>
        <w:right w:val="none" w:sz="0" w:space="0" w:color="auto"/>
      </w:divBdr>
    </w:div>
    <w:div w:id="417336162">
      <w:bodyDiv w:val="1"/>
      <w:marLeft w:val="0"/>
      <w:marRight w:val="0"/>
      <w:marTop w:val="0"/>
      <w:marBottom w:val="0"/>
      <w:divBdr>
        <w:top w:val="none" w:sz="0" w:space="0" w:color="auto"/>
        <w:left w:val="none" w:sz="0" w:space="0" w:color="auto"/>
        <w:bottom w:val="none" w:sz="0" w:space="0" w:color="auto"/>
        <w:right w:val="none" w:sz="0" w:space="0" w:color="auto"/>
      </w:divBdr>
    </w:div>
    <w:div w:id="417676955">
      <w:bodyDiv w:val="1"/>
      <w:marLeft w:val="0"/>
      <w:marRight w:val="0"/>
      <w:marTop w:val="0"/>
      <w:marBottom w:val="0"/>
      <w:divBdr>
        <w:top w:val="none" w:sz="0" w:space="0" w:color="auto"/>
        <w:left w:val="none" w:sz="0" w:space="0" w:color="auto"/>
        <w:bottom w:val="none" w:sz="0" w:space="0" w:color="auto"/>
        <w:right w:val="none" w:sz="0" w:space="0" w:color="auto"/>
      </w:divBdr>
    </w:div>
    <w:div w:id="425611313">
      <w:bodyDiv w:val="1"/>
      <w:marLeft w:val="0"/>
      <w:marRight w:val="0"/>
      <w:marTop w:val="0"/>
      <w:marBottom w:val="0"/>
      <w:divBdr>
        <w:top w:val="none" w:sz="0" w:space="0" w:color="auto"/>
        <w:left w:val="none" w:sz="0" w:space="0" w:color="auto"/>
        <w:bottom w:val="none" w:sz="0" w:space="0" w:color="auto"/>
        <w:right w:val="none" w:sz="0" w:space="0" w:color="auto"/>
      </w:divBdr>
    </w:div>
    <w:div w:id="429198585">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2530497">
      <w:bodyDiv w:val="1"/>
      <w:marLeft w:val="0"/>
      <w:marRight w:val="0"/>
      <w:marTop w:val="0"/>
      <w:marBottom w:val="0"/>
      <w:divBdr>
        <w:top w:val="none" w:sz="0" w:space="0" w:color="auto"/>
        <w:left w:val="none" w:sz="0" w:space="0" w:color="auto"/>
        <w:bottom w:val="none" w:sz="0" w:space="0" w:color="auto"/>
        <w:right w:val="none" w:sz="0" w:space="0" w:color="auto"/>
      </w:divBdr>
    </w:div>
    <w:div w:id="443304465">
      <w:bodyDiv w:val="1"/>
      <w:marLeft w:val="0"/>
      <w:marRight w:val="0"/>
      <w:marTop w:val="0"/>
      <w:marBottom w:val="0"/>
      <w:divBdr>
        <w:top w:val="none" w:sz="0" w:space="0" w:color="auto"/>
        <w:left w:val="none" w:sz="0" w:space="0" w:color="auto"/>
        <w:bottom w:val="none" w:sz="0" w:space="0" w:color="auto"/>
        <w:right w:val="none" w:sz="0" w:space="0" w:color="auto"/>
      </w:divBdr>
    </w:div>
    <w:div w:id="44388373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8667769">
      <w:bodyDiv w:val="1"/>
      <w:marLeft w:val="0"/>
      <w:marRight w:val="0"/>
      <w:marTop w:val="0"/>
      <w:marBottom w:val="0"/>
      <w:divBdr>
        <w:top w:val="none" w:sz="0" w:space="0" w:color="auto"/>
        <w:left w:val="none" w:sz="0" w:space="0" w:color="auto"/>
        <w:bottom w:val="none" w:sz="0" w:space="0" w:color="auto"/>
        <w:right w:val="none" w:sz="0" w:space="0" w:color="auto"/>
      </w:divBdr>
    </w:div>
    <w:div w:id="471561753">
      <w:bodyDiv w:val="1"/>
      <w:marLeft w:val="0"/>
      <w:marRight w:val="0"/>
      <w:marTop w:val="0"/>
      <w:marBottom w:val="0"/>
      <w:divBdr>
        <w:top w:val="none" w:sz="0" w:space="0" w:color="auto"/>
        <w:left w:val="none" w:sz="0" w:space="0" w:color="auto"/>
        <w:bottom w:val="none" w:sz="0" w:space="0" w:color="auto"/>
        <w:right w:val="none" w:sz="0" w:space="0" w:color="auto"/>
      </w:divBdr>
    </w:div>
    <w:div w:id="475149826">
      <w:bodyDiv w:val="1"/>
      <w:marLeft w:val="0"/>
      <w:marRight w:val="0"/>
      <w:marTop w:val="0"/>
      <w:marBottom w:val="0"/>
      <w:divBdr>
        <w:top w:val="none" w:sz="0" w:space="0" w:color="auto"/>
        <w:left w:val="none" w:sz="0" w:space="0" w:color="auto"/>
        <w:bottom w:val="none" w:sz="0" w:space="0" w:color="auto"/>
        <w:right w:val="none" w:sz="0" w:space="0" w:color="auto"/>
      </w:divBdr>
    </w:div>
    <w:div w:id="499127688">
      <w:bodyDiv w:val="1"/>
      <w:marLeft w:val="0"/>
      <w:marRight w:val="0"/>
      <w:marTop w:val="0"/>
      <w:marBottom w:val="0"/>
      <w:divBdr>
        <w:top w:val="none" w:sz="0" w:space="0" w:color="auto"/>
        <w:left w:val="none" w:sz="0" w:space="0" w:color="auto"/>
        <w:bottom w:val="none" w:sz="0" w:space="0" w:color="auto"/>
        <w:right w:val="none" w:sz="0" w:space="0" w:color="auto"/>
      </w:divBdr>
    </w:div>
    <w:div w:id="504369455">
      <w:bodyDiv w:val="1"/>
      <w:marLeft w:val="0"/>
      <w:marRight w:val="0"/>
      <w:marTop w:val="0"/>
      <w:marBottom w:val="0"/>
      <w:divBdr>
        <w:top w:val="none" w:sz="0" w:space="0" w:color="auto"/>
        <w:left w:val="none" w:sz="0" w:space="0" w:color="auto"/>
        <w:bottom w:val="none" w:sz="0" w:space="0" w:color="auto"/>
        <w:right w:val="none" w:sz="0" w:space="0" w:color="auto"/>
      </w:divBdr>
    </w:div>
    <w:div w:id="507251849">
      <w:bodyDiv w:val="1"/>
      <w:marLeft w:val="0"/>
      <w:marRight w:val="0"/>
      <w:marTop w:val="0"/>
      <w:marBottom w:val="0"/>
      <w:divBdr>
        <w:top w:val="none" w:sz="0" w:space="0" w:color="auto"/>
        <w:left w:val="none" w:sz="0" w:space="0" w:color="auto"/>
        <w:bottom w:val="none" w:sz="0" w:space="0" w:color="auto"/>
        <w:right w:val="none" w:sz="0" w:space="0" w:color="auto"/>
      </w:divBdr>
    </w:div>
    <w:div w:id="527648670">
      <w:bodyDiv w:val="1"/>
      <w:marLeft w:val="0"/>
      <w:marRight w:val="0"/>
      <w:marTop w:val="0"/>
      <w:marBottom w:val="0"/>
      <w:divBdr>
        <w:top w:val="none" w:sz="0" w:space="0" w:color="auto"/>
        <w:left w:val="none" w:sz="0" w:space="0" w:color="auto"/>
        <w:bottom w:val="none" w:sz="0" w:space="0" w:color="auto"/>
        <w:right w:val="none" w:sz="0" w:space="0" w:color="auto"/>
      </w:divBdr>
    </w:div>
    <w:div w:id="529032111">
      <w:bodyDiv w:val="1"/>
      <w:marLeft w:val="0"/>
      <w:marRight w:val="0"/>
      <w:marTop w:val="0"/>
      <w:marBottom w:val="0"/>
      <w:divBdr>
        <w:top w:val="none" w:sz="0" w:space="0" w:color="auto"/>
        <w:left w:val="none" w:sz="0" w:space="0" w:color="auto"/>
        <w:bottom w:val="none" w:sz="0" w:space="0" w:color="auto"/>
        <w:right w:val="none" w:sz="0" w:space="0" w:color="auto"/>
      </w:divBdr>
    </w:div>
    <w:div w:id="53084889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926284">
      <w:bodyDiv w:val="1"/>
      <w:marLeft w:val="0"/>
      <w:marRight w:val="0"/>
      <w:marTop w:val="0"/>
      <w:marBottom w:val="0"/>
      <w:divBdr>
        <w:top w:val="none" w:sz="0" w:space="0" w:color="auto"/>
        <w:left w:val="none" w:sz="0" w:space="0" w:color="auto"/>
        <w:bottom w:val="none" w:sz="0" w:space="0" w:color="auto"/>
        <w:right w:val="none" w:sz="0" w:space="0" w:color="auto"/>
      </w:divBdr>
    </w:div>
    <w:div w:id="539056020">
      <w:bodyDiv w:val="1"/>
      <w:marLeft w:val="0"/>
      <w:marRight w:val="0"/>
      <w:marTop w:val="0"/>
      <w:marBottom w:val="0"/>
      <w:divBdr>
        <w:top w:val="none" w:sz="0" w:space="0" w:color="auto"/>
        <w:left w:val="none" w:sz="0" w:space="0" w:color="auto"/>
        <w:bottom w:val="none" w:sz="0" w:space="0" w:color="auto"/>
        <w:right w:val="none" w:sz="0" w:space="0" w:color="auto"/>
      </w:divBdr>
    </w:div>
    <w:div w:id="544221854">
      <w:bodyDiv w:val="1"/>
      <w:marLeft w:val="0"/>
      <w:marRight w:val="0"/>
      <w:marTop w:val="0"/>
      <w:marBottom w:val="0"/>
      <w:divBdr>
        <w:top w:val="none" w:sz="0" w:space="0" w:color="auto"/>
        <w:left w:val="none" w:sz="0" w:space="0" w:color="auto"/>
        <w:bottom w:val="none" w:sz="0" w:space="0" w:color="auto"/>
        <w:right w:val="none" w:sz="0" w:space="0" w:color="auto"/>
      </w:divBdr>
    </w:div>
    <w:div w:id="554897441">
      <w:bodyDiv w:val="1"/>
      <w:marLeft w:val="0"/>
      <w:marRight w:val="0"/>
      <w:marTop w:val="0"/>
      <w:marBottom w:val="0"/>
      <w:divBdr>
        <w:top w:val="none" w:sz="0" w:space="0" w:color="auto"/>
        <w:left w:val="none" w:sz="0" w:space="0" w:color="auto"/>
        <w:bottom w:val="none" w:sz="0" w:space="0" w:color="auto"/>
        <w:right w:val="none" w:sz="0" w:space="0" w:color="auto"/>
      </w:divBdr>
    </w:div>
    <w:div w:id="568228607">
      <w:bodyDiv w:val="1"/>
      <w:marLeft w:val="0"/>
      <w:marRight w:val="0"/>
      <w:marTop w:val="0"/>
      <w:marBottom w:val="0"/>
      <w:divBdr>
        <w:top w:val="none" w:sz="0" w:space="0" w:color="auto"/>
        <w:left w:val="none" w:sz="0" w:space="0" w:color="auto"/>
        <w:bottom w:val="none" w:sz="0" w:space="0" w:color="auto"/>
        <w:right w:val="none" w:sz="0" w:space="0" w:color="auto"/>
      </w:divBdr>
    </w:div>
    <w:div w:id="581598190">
      <w:bodyDiv w:val="1"/>
      <w:marLeft w:val="0"/>
      <w:marRight w:val="0"/>
      <w:marTop w:val="0"/>
      <w:marBottom w:val="0"/>
      <w:divBdr>
        <w:top w:val="none" w:sz="0" w:space="0" w:color="auto"/>
        <w:left w:val="none" w:sz="0" w:space="0" w:color="auto"/>
        <w:bottom w:val="none" w:sz="0" w:space="0" w:color="auto"/>
        <w:right w:val="none" w:sz="0" w:space="0" w:color="auto"/>
      </w:divBdr>
    </w:div>
    <w:div w:id="582034246">
      <w:bodyDiv w:val="1"/>
      <w:marLeft w:val="0"/>
      <w:marRight w:val="0"/>
      <w:marTop w:val="0"/>
      <w:marBottom w:val="0"/>
      <w:divBdr>
        <w:top w:val="none" w:sz="0" w:space="0" w:color="auto"/>
        <w:left w:val="none" w:sz="0" w:space="0" w:color="auto"/>
        <w:bottom w:val="none" w:sz="0" w:space="0" w:color="auto"/>
        <w:right w:val="none" w:sz="0" w:space="0" w:color="auto"/>
      </w:divBdr>
    </w:div>
    <w:div w:id="583490449">
      <w:bodyDiv w:val="1"/>
      <w:marLeft w:val="0"/>
      <w:marRight w:val="0"/>
      <w:marTop w:val="0"/>
      <w:marBottom w:val="0"/>
      <w:divBdr>
        <w:top w:val="none" w:sz="0" w:space="0" w:color="auto"/>
        <w:left w:val="none" w:sz="0" w:space="0" w:color="auto"/>
        <w:bottom w:val="none" w:sz="0" w:space="0" w:color="auto"/>
        <w:right w:val="none" w:sz="0" w:space="0" w:color="auto"/>
      </w:divBdr>
    </w:div>
    <w:div w:id="595787892">
      <w:bodyDiv w:val="1"/>
      <w:marLeft w:val="0"/>
      <w:marRight w:val="0"/>
      <w:marTop w:val="0"/>
      <w:marBottom w:val="0"/>
      <w:divBdr>
        <w:top w:val="none" w:sz="0" w:space="0" w:color="auto"/>
        <w:left w:val="none" w:sz="0" w:space="0" w:color="auto"/>
        <w:bottom w:val="none" w:sz="0" w:space="0" w:color="auto"/>
        <w:right w:val="none" w:sz="0" w:space="0" w:color="auto"/>
      </w:divBdr>
    </w:div>
    <w:div w:id="608437945">
      <w:bodyDiv w:val="1"/>
      <w:marLeft w:val="0"/>
      <w:marRight w:val="0"/>
      <w:marTop w:val="0"/>
      <w:marBottom w:val="0"/>
      <w:divBdr>
        <w:top w:val="none" w:sz="0" w:space="0" w:color="auto"/>
        <w:left w:val="none" w:sz="0" w:space="0" w:color="auto"/>
        <w:bottom w:val="none" w:sz="0" w:space="0" w:color="auto"/>
        <w:right w:val="none" w:sz="0" w:space="0" w:color="auto"/>
      </w:divBdr>
    </w:div>
    <w:div w:id="610088624">
      <w:bodyDiv w:val="1"/>
      <w:marLeft w:val="0"/>
      <w:marRight w:val="0"/>
      <w:marTop w:val="0"/>
      <w:marBottom w:val="0"/>
      <w:divBdr>
        <w:top w:val="none" w:sz="0" w:space="0" w:color="auto"/>
        <w:left w:val="none" w:sz="0" w:space="0" w:color="auto"/>
        <w:bottom w:val="none" w:sz="0" w:space="0" w:color="auto"/>
        <w:right w:val="none" w:sz="0" w:space="0" w:color="auto"/>
      </w:divBdr>
    </w:div>
    <w:div w:id="611665406">
      <w:bodyDiv w:val="1"/>
      <w:marLeft w:val="0"/>
      <w:marRight w:val="0"/>
      <w:marTop w:val="0"/>
      <w:marBottom w:val="0"/>
      <w:divBdr>
        <w:top w:val="none" w:sz="0" w:space="0" w:color="auto"/>
        <w:left w:val="none" w:sz="0" w:space="0" w:color="auto"/>
        <w:bottom w:val="none" w:sz="0" w:space="0" w:color="auto"/>
        <w:right w:val="none" w:sz="0" w:space="0" w:color="auto"/>
      </w:divBdr>
    </w:div>
    <w:div w:id="612397532">
      <w:bodyDiv w:val="1"/>
      <w:marLeft w:val="0"/>
      <w:marRight w:val="0"/>
      <w:marTop w:val="0"/>
      <w:marBottom w:val="0"/>
      <w:divBdr>
        <w:top w:val="none" w:sz="0" w:space="0" w:color="auto"/>
        <w:left w:val="none" w:sz="0" w:space="0" w:color="auto"/>
        <w:bottom w:val="none" w:sz="0" w:space="0" w:color="auto"/>
        <w:right w:val="none" w:sz="0" w:space="0" w:color="auto"/>
      </w:divBdr>
    </w:div>
    <w:div w:id="625240654">
      <w:bodyDiv w:val="1"/>
      <w:marLeft w:val="0"/>
      <w:marRight w:val="0"/>
      <w:marTop w:val="0"/>
      <w:marBottom w:val="0"/>
      <w:divBdr>
        <w:top w:val="none" w:sz="0" w:space="0" w:color="auto"/>
        <w:left w:val="none" w:sz="0" w:space="0" w:color="auto"/>
        <w:bottom w:val="none" w:sz="0" w:space="0" w:color="auto"/>
        <w:right w:val="none" w:sz="0" w:space="0" w:color="auto"/>
      </w:divBdr>
    </w:div>
    <w:div w:id="628513883">
      <w:bodyDiv w:val="1"/>
      <w:marLeft w:val="0"/>
      <w:marRight w:val="0"/>
      <w:marTop w:val="0"/>
      <w:marBottom w:val="0"/>
      <w:divBdr>
        <w:top w:val="none" w:sz="0" w:space="0" w:color="auto"/>
        <w:left w:val="none" w:sz="0" w:space="0" w:color="auto"/>
        <w:bottom w:val="none" w:sz="0" w:space="0" w:color="auto"/>
        <w:right w:val="none" w:sz="0" w:space="0" w:color="auto"/>
      </w:divBdr>
    </w:div>
    <w:div w:id="637685002">
      <w:bodyDiv w:val="1"/>
      <w:marLeft w:val="0"/>
      <w:marRight w:val="0"/>
      <w:marTop w:val="0"/>
      <w:marBottom w:val="0"/>
      <w:divBdr>
        <w:top w:val="none" w:sz="0" w:space="0" w:color="auto"/>
        <w:left w:val="none" w:sz="0" w:space="0" w:color="auto"/>
        <w:bottom w:val="none" w:sz="0" w:space="0" w:color="auto"/>
        <w:right w:val="none" w:sz="0" w:space="0" w:color="auto"/>
      </w:divBdr>
    </w:div>
    <w:div w:id="657075460">
      <w:bodyDiv w:val="1"/>
      <w:marLeft w:val="0"/>
      <w:marRight w:val="0"/>
      <w:marTop w:val="0"/>
      <w:marBottom w:val="0"/>
      <w:divBdr>
        <w:top w:val="none" w:sz="0" w:space="0" w:color="auto"/>
        <w:left w:val="none" w:sz="0" w:space="0" w:color="auto"/>
        <w:bottom w:val="none" w:sz="0" w:space="0" w:color="auto"/>
        <w:right w:val="none" w:sz="0" w:space="0" w:color="auto"/>
      </w:divBdr>
    </w:div>
    <w:div w:id="669328980">
      <w:bodyDiv w:val="1"/>
      <w:marLeft w:val="0"/>
      <w:marRight w:val="0"/>
      <w:marTop w:val="0"/>
      <w:marBottom w:val="0"/>
      <w:divBdr>
        <w:top w:val="none" w:sz="0" w:space="0" w:color="auto"/>
        <w:left w:val="none" w:sz="0" w:space="0" w:color="auto"/>
        <w:bottom w:val="none" w:sz="0" w:space="0" w:color="auto"/>
        <w:right w:val="none" w:sz="0" w:space="0" w:color="auto"/>
      </w:divBdr>
    </w:div>
    <w:div w:id="682631451">
      <w:bodyDiv w:val="1"/>
      <w:marLeft w:val="0"/>
      <w:marRight w:val="0"/>
      <w:marTop w:val="0"/>
      <w:marBottom w:val="0"/>
      <w:divBdr>
        <w:top w:val="none" w:sz="0" w:space="0" w:color="auto"/>
        <w:left w:val="none" w:sz="0" w:space="0" w:color="auto"/>
        <w:bottom w:val="none" w:sz="0" w:space="0" w:color="auto"/>
        <w:right w:val="none" w:sz="0" w:space="0" w:color="auto"/>
      </w:divBdr>
    </w:div>
    <w:div w:id="682979957">
      <w:bodyDiv w:val="1"/>
      <w:marLeft w:val="0"/>
      <w:marRight w:val="0"/>
      <w:marTop w:val="0"/>
      <w:marBottom w:val="0"/>
      <w:divBdr>
        <w:top w:val="none" w:sz="0" w:space="0" w:color="auto"/>
        <w:left w:val="none" w:sz="0" w:space="0" w:color="auto"/>
        <w:bottom w:val="none" w:sz="0" w:space="0" w:color="auto"/>
        <w:right w:val="none" w:sz="0" w:space="0" w:color="auto"/>
      </w:divBdr>
    </w:div>
    <w:div w:id="688878041">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0544558">
      <w:bodyDiv w:val="1"/>
      <w:marLeft w:val="0"/>
      <w:marRight w:val="0"/>
      <w:marTop w:val="0"/>
      <w:marBottom w:val="0"/>
      <w:divBdr>
        <w:top w:val="none" w:sz="0" w:space="0" w:color="auto"/>
        <w:left w:val="none" w:sz="0" w:space="0" w:color="auto"/>
        <w:bottom w:val="none" w:sz="0" w:space="0" w:color="auto"/>
        <w:right w:val="none" w:sz="0" w:space="0" w:color="auto"/>
      </w:divBdr>
    </w:div>
    <w:div w:id="737019990">
      <w:bodyDiv w:val="1"/>
      <w:marLeft w:val="0"/>
      <w:marRight w:val="0"/>
      <w:marTop w:val="0"/>
      <w:marBottom w:val="0"/>
      <w:divBdr>
        <w:top w:val="none" w:sz="0" w:space="0" w:color="auto"/>
        <w:left w:val="none" w:sz="0" w:space="0" w:color="auto"/>
        <w:bottom w:val="none" w:sz="0" w:space="0" w:color="auto"/>
        <w:right w:val="none" w:sz="0" w:space="0" w:color="auto"/>
      </w:divBdr>
    </w:div>
    <w:div w:id="743574190">
      <w:bodyDiv w:val="1"/>
      <w:marLeft w:val="0"/>
      <w:marRight w:val="0"/>
      <w:marTop w:val="0"/>
      <w:marBottom w:val="0"/>
      <w:divBdr>
        <w:top w:val="none" w:sz="0" w:space="0" w:color="auto"/>
        <w:left w:val="none" w:sz="0" w:space="0" w:color="auto"/>
        <w:bottom w:val="none" w:sz="0" w:space="0" w:color="auto"/>
        <w:right w:val="none" w:sz="0" w:space="0" w:color="auto"/>
      </w:divBdr>
    </w:div>
    <w:div w:id="748814716">
      <w:bodyDiv w:val="1"/>
      <w:marLeft w:val="0"/>
      <w:marRight w:val="0"/>
      <w:marTop w:val="0"/>
      <w:marBottom w:val="0"/>
      <w:divBdr>
        <w:top w:val="none" w:sz="0" w:space="0" w:color="auto"/>
        <w:left w:val="none" w:sz="0" w:space="0" w:color="auto"/>
        <w:bottom w:val="none" w:sz="0" w:space="0" w:color="auto"/>
        <w:right w:val="none" w:sz="0" w:space="0" w:color="auto"/>
      </w:divBdr>
    </w:div>
    <w:div w:id="762261613">
      <w:bodyDiv w:val="1"/>
      <w:marLeft w:val="0"/>
      <w:marRight w:val="0"/>
      <w:marTop w:val="0"/>
      <w:marBottom w:val="0"/>
      <w:divBdr>
        <w:top w:val="none" w:sz="0" w:space="0" w:color="auto"/>
        <w:left w:val="none" w:sz="0" w:space="0" w:color="auto"/>
        <w:bottom w:val="none" w:sz="0" w:space="0" w:color="auto"/>
        <w:right w:val="none" w:sz="0" w:space="0" w:color="auto"/>
      </w:divBdr>
    </w:div>
    <w:div w:id="766385739">
      <w:bodyDiv w:val="1"/>
      <w:marLeft w:val="0"/>
      <w:marRight w:val="0"/>
      <w:marTop w:val="0"/>
      <w:marBottom w:val="0"/>
      <w:divBdr>
        <w:top w:val="none" w:sz="0" w:space="0" w:color="auto"/>
        <w:left w:val="none" w:sz="0" w:space="0" w:color="auto"/>
        <w:bottom w:val="none" w:sz="0" w:space="0" w:color="auto"/>
        <w:right w:val="none" w:sz="0" w:space="0" w:color="auto"/>
      </w:divBdr>
    </w:div>
    <w:div w:id="776557884">
      <w:bodyDiv w:val="1"/>
      <w:marLeft w:val="0"/>
      <w:marRight w:val="0"/>
      <w:marTop w:val="0"/>
      <w:marBottom w:val="0"/>
      <w:divBdr>
        <w:top w:val="none" w:sz="0" w:space="0" w:color="auto"/>
        <w:left w:val="none" w:sz="0" w:space="0" w:color="auto"/>
        <w:bottom w:val="none" w:sz="0" w:space="0" w:color="auto"/>
        <w:right w:val="none" w:sz="0" w:space="0" w:color="auto"/>
      </w:divBdr>
    </w:div>
    <w:div w:id="778379482">
      <w:bodyDiv w:val="1"/>
      <w:marLeft w:val="0"/>
      <w:marRight w:val="0"/>
      <w:marTop w:val="0"/>
      <w:marBottom w:val="0"/>
      <w:divBdr>
        <w:top w:val="none" w:sz="0" w:space="0" w:color="auto"/>
        <w:left w:val="none" w:sz="0" w:space="0" w:color="auto"/>
        <w:bottom w:val="none" w:sz="0" w:space="0" w:color="auto"/>
        <w:right w:val="none" w:sz="0" w:space="0" w:color="auto"/>
      </w:divBdr>
    </w:div>
    <w:div w:id="780346223">
      <w:bodyDiv w:val="1"/>
      <w:marLeft w:val="0"/>
      <w:marRight w:val="0"/>
      <w:marTop w:val="0"/>
      <w:marBottom w:val="0"/>
      <w:divBdr>
        <w:top w:val="none" w:sz="0" w:space="0" w:color="auto"/>
        <w:left w:val="none" w:sz="0" w:space="0" w:color="auto"/>
        <w:bottom w:val="none" w:sz="0" w:space="0" w:color="auto"/>
        <w:right w:val="none" w:sz="0" w:space="0" w:color="auto"/>
      </w:divBdr>
    </w:div>
    <w:div w:id="784278101">
      <w:bodyDiv w:val="1"/>
      <w:marLeft w:val="0"/>
      <w:marRight w:val="0"/>
      <w:marTop w:val="0"/>
      <w:marBottom w:val="0"/>
      <w:divBdr>
        <w:top w:val="none" w:sz="0" w:space="0" w:color="auto"/>
        <w:left w:val="none" w:sz="0" w:space="0" w:color="auto"/>
        <w:bottom w:val="none" w:sz="0" w:space="0" w:color="auto"/>
        <w:right w:val="none" w:sz="0" w:space="0" w:color="auto"/>
      </w:divBdr>
    </w:div>
    <w:div w:id="785153552">
      <w:bodyDiv w:val="1"/>
      <w:marLeft w:val="0"/>
      <w:marRight w:val="0"/>
      <w:marTop w:val="0"/>
      <w:marBottom w:val="0"/>
      <w:divBdr>
        <w:top w:val="none" w:sz="0" w:space="0" w:color="auto"/>
        <w:left w:val="none" w:sz="0" w:space="0" w:color="auto"/>
        <w:bottom w:val="none" w:sz="0" w:space="0" w:color="auto"/>
        <w:right w:val="none" w:sz="0" w:space="0" w:color="auto"/>
      </w:divBdr>
    </w:div>
    <w:div w:id="789863029">
      <w:bodyDiv w:val="1"/>
      <w:marLeft w:val="0"/>
      <w:marRight w:val="0"/>
      <w:marTop w:val="0"/>
      <w:marBottom w:val="0"/>
      <w:divBdr>
        <w:top w:val="none" w:sz="0" w:space="0" w:color="auto"/>
        <w:left w:val="none" w:sz="0" w:space="0" w:color="auto"/>
        <w:bottom w:val="none" w:sz="0" w:space="0" w:color="auto"/>
        <w:right w:val="none" w:sz="0" w:space="0" w:color="auto"/>
      </w:divBdr>
    </w:div>
    <w:div w:id="794637450">
      <w:bodyDiv w:val="1"/>
      <w:marLeft w:val="0"/>
      <w:marRight w:val="0"/>
      <w:marTop w:val="0"/>
      <w:marBottom w:val="0"/>
      <w:divBdr>
        <w:top w:val="none" w:sz="0" w:space="0" w:color="auto"/>
        <w:left w:val="none" w:sz="0" w:space="0" w:color="auto"/>
        <w:bottom w:val="none" w:sz="0" w:space="0" w:color="auto"/>
        <w:right w:val="none" w:sz="0" w:space="0" w:color="auto"/>
      </w:divBdr>
    </w:div>
    <w:div w:id="805467441">
      <w:bodyDiv w:val="1"/>
      <w:marLeft w:val="0"/>
      <w:marRight w:val="0"/>
      <w:marTop w:val="0"/>
      <w:marBottom w:val="0"/>
      <w:divBdr>
        <w:top w:val="none" w:sz="0" w:space="0" w:color="auto"/>
        <w:left w:val="none" w:sz="0" w:space="0" w:color="auto"/>
        <w:bottom w:val="none" w:sz="0" w:space="0" w:color="auto"/>
        <w:right w:val="none" w:sz="0" w:space="0" w:color="auto"/>
      </w:divBdr>
    </w:div>
    <w:div w:id="810025133">
      <w:bodyDiv w:val="1"/>
      <w:marLeft w:val="0"/>
      <w:marRight w:val="0"/>
      <w:marTop w:val="0"/>
      <w:marBottom w:val="0"/>
      <w:divBdr>
        <w:top w:val="none" w:sz="0" w:space="0" w:color="auto"/>
        <w:left w:val="none" w:sz="0" w:space="0" w:color="auto"/>
        <w:bottom w:val="none" w:sz="0" w:space="0" w:color="auto"/>
        <w:right w:val="none" w:sz="0" w:space="0" w:color="auto"/>
      </w:divBdr>
    </w:div>
    <w:div w:id="827670281">
      <w:bodyDiv w:val="1"/>
      <w:marLeft w:val="0"/>
      <w:marRight w:val="0"/>
      <w:marTop w:val="0"/>
      <w:marBottom w:val="0"/>
      <w:divBdr>
        <w:top w:val="none" w:sz="0" w:space="0" w:color="auto"/>
        <w:left w:val="none" w:sz="0" w:space="0" w:color="auto"/>
        <w:bottom w:val="none" w:sz="0" w:space="0" w:color="auto"/>
        <w:right w:val="none" w:sz="0" w:space="0" w:color="auto"/>
      </w:divBdr>
    </w:div>
    <w:div w:id="836530895">
      <w:bodyDiv w:val="1"/>
      <w:marLeft w:val="0"/>
      <w:marRight w:val="0"/>
      <w:marTop w:val="0"/>
      <w:marBottom w:val="0"/>
      <w:divBdr>
        <w:top w:val="none" w:sz="0" w:space="0" w:color="auto"/>
        <w:left w:val="none" w:sz="0" w:space="0" w:color="auto"/>
        <w:bottom w:val="none" w:sz="0" w:space="0" w:color="auto"/>
        <w:right w:val="none" w:sz="0" w:space="0" w:color="auto"/>
      </w:divBdr>
    </w:div>
    <w:div w:id="837772664">
      <w:bodyDiv w:val="1"/>
      <w:marLeft w:val="0"/>
      <w:marRight w:val="0"/>
      <w:marTop w:val="0"/>
      <w:marBottom w:val="0"/>
      <w:divBdr>
        <w:top w:val="none" w:sz="0" w:space="0" w:color="auto"/>
        <w:left w:val="none" w:sz="0" w:space="0" w:color="auto"/>
        <w:bottom w:val="none" w:sz="0" w:space="0" w:color="auto"/>
        <w:right w:val="none" w:sz="0" w:space="0" w:color="auto"/>
      </w:divBdr>
    </w:div>
    <w:div w:id="848367622">
      <w:bodyDiv w:val="1"/>
      <w:marLeft w:val="0"/>
      <w:marRight w:val="0"/>
      <w:marTop w:val="0"/>
      <w:marBottom w:val="0"/>
      <w:divBdr>
        <w:top w:val="none" w:sz="0" w:space="0" w:color="auto"/>
        <w:left w:val="none" w:sz="0" w:space="0" w:color="auto"/>
        <w:bottom w:val="none" w:sz="0" w:space="0" w:color="auto"/>
        <w:right w:val="none" w:sz="0" w:space="0" w:color="auto"/>
      </w:divBdr>
    </w:div>
    <w:div w:id="850872974">
      <w:bodyDiv w:val="1"/>
      <w:marLeft w:val="0"/>
      <w:marRight w:val="0"/>
      <w:marTop w:val="0"/>
      <w:marBottom w:val="0"/>
      <w:divBdr>
        <w:top w:val="none" w:sz="0" w:space="0" w:color="auto"/>
        <w:left w:val="none" w:sz="0" w:space="0" w:color="auto"/>
        <w:bottom w:val="none" w:sz="0" w:space="0" w:color="auto"/>
        <w:right w:val="none" w:sz="0" w:space="0" w:color="auto"/>
      </w:divBdr>
    </w:div>
    <w:div w:id="856887729">
      <w:bodyDiv w:val="1"/>
      <w:marLeft w:val="0"/>
      <w:marRight w:val="0"/>
      <w:marTop w:val="0"/>
      <w:marBottom w:val="0"/>
      <w:divBdr>
        <w:top w:val="none" w:sz="0" w:space="0" w:color="auto"/>
        <w:left w:val="none" w:sz="0" w:space="0" w:color="auto"/>
        <w:bottom w:val="none" w:sz="0" w:space="0" w:color="auto"/>
        <w:right w:val="none" w:sz="0" w:space="0" w:color="auto"/>
      </w:divBdr>
    </w:div>
    <w:div w:id="858197180">
      <w:bodyDiv w:val="1"/>
      <w:marLeft w:val="0"/>
      <w:marRight w:val="0"/>
      <w:marTop w:val="0"/>
      <w:marBottom w:val="0"/>
      <w:divBdr>
        <w:top w:val="none" w:sz="0" w:space="0" w:color="auto"/>
        <w:left w:val="none" w:sz="0" w:space="0" w:color="auto"/>
        <w:bottom w:val="none" w:sz="0" w:space="0" w:color="auto"/>
        <w:right w:val="none" w:sz="0" w:space="0" w:color="auto"/>
      </w:divBdr>
    </w:div>
    <w:div w:id="858815065">
      <w:bodyDiv w:val="1"/>
      <w:marLeft w:val="0"/>
      <w:marRight w:val="0"/>
      <w:marTop w:val="0"/>
      <w:marBottom w:val="0"/>
      <w:divBdr>
        <w:top w:val="none" w:sz="0" w:space="0" w:color="auto"/>
        <w:left w:val="none" w:sz="0" w:space="0" w:color="auto"/>
        <w:bottom w:val="none" w:sz="0" w:space="0" w:color="auto"/>
        <w:right w:val="none" w:sz="0" w:space="0" w:color="auto"/>
      </w:divBdr>
    </w:div>
    <w:div w:id="884096919">
      <w:bodyDiv w:val="1"/>
      <w:marLeft w:val="0"/>
      <w:marRight w:val="0"/>
      <w:marTop w:val="0"/>
      <w:marBottom w:val="0"/>
      <w:divBdr>
        <w:top w:val="none" w:sz="0" w:space="0" w:color="auto"/>
        <w:left w:val="none" w:sz="0" w:space="0" w:color="auto"/>
        <w:bottom w:val="none" w:sz="0" w:space="0" w:color="auto"/>
        <w:right w:val="none" w:sz="0" w:space="0" w:color="auto"/>
      </w:divBdr>
    </w:div>
    <w:div w:id="890921541">
      <w:bodyDiv w:val="1"/>
      <w:marLeft w:val="0"/>
      <w:marRight w:val="0"/>
      <w:marTop w:val="0"/>
      <w:marBottom w:val="0"/>
      <w:divBdr>
        <w:top w:val="none" w:sz="0" w:space="0" w:color="auto"/>
        <w:left w:val="none" w:sz="0" w:space="0" w:color="auto"/>
        <w:bottom w:val="none" w:sz="0" w:space="0" w:color="auto"/>
        <w:right w:val="none" w:sz="0" w:space="0" w:color="auto"/>
      </w:divBdr>
    </w:div>
    <w:div w:id="895361648">
      <w:bodyDiv w:val="1"/>
      <w:marLeft w:val="0"/>
      <w:marRight w:val="0"/>
      <w:marTop w:val="0"/>
      <w:marBottom w:val="0"/>
      <w:divBdr>
        <w:top w:val="none" w:sz="0" w:space="0" w:color="auto"/>
        <w:left w:val="none" w:sz="0" w:space="0" w:color="auto"/>
        <w:bottom w:val="none" w:sz="0" w:space="0" w:color="auto"/>
        <w:right w:val="none" w:sz="0" w:space="0" w:color="auto"/>
      </w:divBdr>
    </w:div>
    <w:div w:id="908152541">
      <w:bodyDiv w:val="1"/>
      <w:marLeft w:val="0"/>
      <w:marRight w:val="0"/>
      <w:marTop w:val="0"/>
      <w:marBottom w:val="0"/>
      <w:divBdr>
        <w:top w:val="none" w:sz="0" w:space="0" w:color="auto"/>
        <w:left w:val="none" w:sz="0" w:space="0" w:color="auto"/>
        <w:bottom w:val="none" w:sz="0" w:space="0" w:color="auto"/>
        <w:right w:val="none" w:sz="0" w:space="0" w:color="auto"/>
      </w:divBdr>
    </w:div>
    <w:div w:id="930088234">
      <w:bodyDiv w:val="1"/>
      <w:marLeft w:val="0"/>
      <w:marRight w:val="0"/>
      <w:marTop w:val="0"/>
      <w:marBottom w:val="0"/>
      <w:divBdr>
        <w:top w:val="none" w:sz="0" w:space="0" w:color="auto"/>
        <w:left w:val="none" w:sz="0" w:space="0" w:color="auto"/>
        <w:bottom w:val="none" w:sz="0" w:space="0" w:color="auto"/>
        <w:right w:val="none" w:sz="0" w:space="0" w:color="auto"/>
      </w:divBdr>
    </w:div>
    <w:div w:id="932856962">
      <w:bodyDiv w:val="1"/>
      <w:marLeft w:val="0"/>
      <w:marRight w:val="0"/>
      <w:marTop w:val="0"/>
      <w:marBottom w:val="0"/>
      <w:divBdr>
        <w:top w:val="none" w:sz="0" w:space="0" w:color="auto"/>
        <w:left w:val="none" w:sz="0" w:space="0" w:color="auto"/>
        <w:bottom w:val="none" w:sz="0" w:space="0" w:color="auto"/>
        <w:right w:val="none" w:sz="0" w:space="0" w:color="auto"/>
      </w:divBdr>
    </w:div>
    <w:div w:id="940062946">
      <w:bodyDiv w:val="1"/>
      <w:marLeft w:val="0"/>
      <w:marRight w:val="0"/>
      <w:marTop w:val="0"/>
      <w:marBottom w:val="0"/>
      <w:divBdr>
        <w:top w:val="none" w:sz="0" w:space="0" w:color="auto"/>
        <w:left w:val="none" w:sz="0" w:space="0" w:color="auto"/>
        <w:bottom w:val="none" w:sz="0" w:space="0" w:color="auto"/>
        <w:right w:val="none" w:sz="0" w:space="0" w:color="auto"/>
      </w:divBdr>
    </w:div>
    <w:div w:id="942763105">
      <w:bodyDiv w:val="1"/>
      <w:marLeft w:val="0"/>
      <w:marRight w:val="0"/>
      <w:marTop w:val="0"/>
      <w:marBottom w:val="0"/>
      <w:divBdr>
        <w:top w:val="none" w:sz="0" w:space="0" w:color="auto"/>
        <w:left w:val="none" w:sz="0" w:space="0" w:color="auto"/>
        <w:bottom w:val="none" w:sz="0" w:space="0" w:color="auto"/>
        <w:right w:val="none" w:sz="0" w:space="0" w:color="auto"/>
      </w:divBdr>
    </w:div>
    <w:div w:id="942807064">
      <w:bodyDiv w:val="1"/>
      <w:marLeft w:val="0"/>
      <w:marRight w:val="0"/>
      <w:marTop w:val="0"/>
      <w:marBottom w:val="0"/>
      <w:divBdr>
        <w:top w:val="none" w:sz="0" w:space="0" w:color="auto"/>
        <w:left w:val="none" w:sz="0" w:space="0" w:color="auto"/>
        <w:bottom w:val="none" w:sz="0" w:space="0" w:color="auto"/>
        <w:right w:val="none" w:sz="0" w:space="0" w:color="auto"/>
      </w:divBdr>
    </w:div>
    <w:div w:id="958343282">
      <w:bodyDiv w:val="1"/>
      <w:marLeft w:val="0"/>
      <w:marRight w:val="0"/>
      <w:marTop w:val="0"/>
      <w:marBottom w:val="0"/>
      <w:divBdr>
        <w:top w:val="none" w:sz="0" w:space="0" w:color="auto"/>
        <w:left w:val="none" w:sz="0" w:space="0" w:color="auto"/>
        <w:bottom w:val="none" w:sz="0" w:space="0" w:color="auto"/>
        <w:right w:val="none" w:sz="0" w:space="0" w:color="auto"/>
      </w:divBdr>
    </w:div>
    <w:div w:id="963004030">
      <w:bodyDiv w:val="1"/>
      <w:marLeft w:val="0"/>
      <w:marRight w:val="0"/>
      <w:marTop w:val="0"/>
      <w:marBottom w:val="0"/>
      <w:divBdr>
        <w:top w:val="none" w:sz="0" w:space="0" w:color="auto"/>
        <w:left w:val="none" w:sz="0" w:space="0" w:color="auto"/>
        <w:bottom w:val="none" w:sz="0" w:space="0" w:color="auto"/>
        <w:right w:val="none" w:sz="0" w:space="0" w:color="auto"/>
      </w:divBdr>
    </w:div>
    <w:div w:id="966853436">
      <w:bodyDiv w:val="1"/>
      <w:marLeft w:val="0"/>
      <w:marRight w:val="0"/>
      <w:marTop w:val="0"/>
      <w:marBottom w:val="0"/>
      <w:divBdr>
        <w:top w:val="none" w:sz="0" w:space="0" w:color="auto"/>
        <w:left w:val="none" w:sz="0" w:space="0" w:color="auto"/>
        <w:bottom w:val="none" w:sz="0" w:space="0" w:color="auto"/>
        <w:right w:val="none" w:sz="0" w:space="0" w:color="auto"/>
      </w:divBdr>
    </w:div>
    <w:div w:id="9678554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5477020">
      <w:bodyDiv w:val="1"/>
      <w:marLeft w:val="0"/>
      <w:marRight w:val="0"/>
      <w:marTop w:val="0"/>
      <w:marBottom w:val="0"/>
      <w:divBdr>
        <w:top w:val="none" w:sz="0" w:space="0" w:color="auto"/>
        <w:left w:val="none" w:sz="0" w:space="0" w:color="auto"/>
        <w:bottom w:val="none" w:sz="0" w:space="0" w:color="auto"/>
        <w:right w:val="none" w:sz="0" w:space="0" w:color="auto"/>
      </w:divBdr>
    </w:div>
    <w:div w:id="1000044380">
      <w:bodyDiv w:val="1"/>
      <w:marLeft w:val="0"/>
      <w:marRight w:val="0"/>
      <w:marTop w:val="0"/>
      <w:marBottom w:val="0"/>
      <w:divBdr>
        <w:top w:val="none" w:sz="0" w:space="0" w:color="auto"/>
        <w:left w:val="none" w:sz="0" w:space="0" w:color="auto"/>
        <w:bottom w:val="none" w:sz="0" w:space="0" w:color="auto"/>
        <w:right w:val="none" w:sz="0" w:space="0" w:color="auto"/>
      </w:divBdr>
    </w:div>
    <w:div w:id="1000542765">
      <w:bodyDiv w:val="1"/>
      <w:marLeft w:val="0"/>
      <w:marRight w:val="0"/>
      <w:marTop w:val="0"/>
      <w:marBottom w:val="0"/>
      <w:divBdr>
        <w:top w:val="none" w:sz="0" w:space="0" w:color="auto"/>
        <w:left w:val="none" w:sz="0" w:space="0" w:color="auto"/>
        <w:bottom w:val="none" w:sz="0" w:space="0" w:color="auto"/>
        <w:right w:val="none" w:sz="0" w:space="0" w:color="auto"/>
      </w:divBdr>
    </w:div>
    <w:div w:id="1001155495">
      <w:bodyDiv w:val="1"/>
      <w:marLeft w:val="0"/>
      <w:marRight w:val="0"/>
      <w:marTop w:val="0"/>
      <w:marBottom w:val="0"/>
      <w:divBdr>
        <w:top w:val="none" w:sz="0" w:space="0" w:color="auto"/>
        <w:left w:val="none" w:sz="0" w:space="0" w:color="auto"/>
        <w:bottom w:val="none" w:sz="0" w:space="0" w:color="auto"/>
        <w:right w:val="none" w:sz="0" w:space="0" w:color="auto"/>
      </w:divBdr>
    </w:div>
    <w:div w:id="1006060567">
      <w:bodyDiv w:val="1"/>
      <w:marLeft w:val="0"/>
      <w:marRight w:val="0"/>
      <w:marTop w:val="0"/>
      <w:marBottom w:val="0"/>
      <w:divBdr>
        <w:top w:val="none" w:sz="0" w:space="0" w:color="auto"/>
        <w:left w:val="none" w:sz="0" w:space="0" w:color="auto"/>
        <w:bottom w:val="none" w:sz="0" w:space="0" w:color="auto"/>
        <w:right w:val="none" w:sz="0" w:space="0" w:color="auto"/>
      </w:divBdr>
    </w:div>
    <w:div w:id="1009792789">
      <w:bodyDiv w:val="1"/>
      <w:marLeft w:val="0"/>
      <w:marRight w:val="0"/>
      <w:marTop w:val="0"/>
      <w:marBottom w:val="0"/>
      <w:divBdr>
        <w:top w:val="none" w:sz="0" w:space="0" w:color="auto"/>
        <w:left w:val="none" w:sz="0" w:space="0" w:color="auto"/>
        <w:bottom w:val="none" w:sz="0" w:space="0" w:color="auto"/>
        <w:right w:val="none" w:sz="0" w:space="0" w:color="auto"/>
      </w:divBdr>
    </w:div>
    <w:div w:id="1012295431">
      <w:bodyDiv w:val="1"/>
      <w:marLeft w:val="0"/>
      <w:marRight w:val="0"/>
      <w:marTop w:val="0"/>
      <w:marBottom w:val="0"/>
      <w:divBdr>
        <w:top w:val="none" w:sz="0" w:space="0" w:color="auto"/>
        <w:left w:val="none" w:sz="0" w:space="0" w:color="auto"/>
        <w:bottom w:val="none" w:sz="0" w:space="0" w:color="auto"/>
        <w:right w:val="none" w:sz="0" w:space="0" w:color="auto"/>
      </w:divBdr>
    </w:div>
    <w:div w:id="1020159225">
      <w:bodyDiv w:val="1"/>
      <w:marLeft w:val="0"/>
      <w:marRight w:val="0"/>
      <w:marTop w:val="0"/>
      <w:marBottom w:val="0"/>
      <w:divBdr>
        <w:top w:val="none" w:sz="0" w:space="0" w:color="auto"/>
        <w:left w:val="none" w:sz="0" w:space="0" w:color="auto"/>
        <w:bottom w:val="none" w:sz="0" w:space="0" w:color="auto"/>
        <w:right w:val="none" w:sz="0" w:space="0" w:color="auto"/>
      </w:divBdr>
    </w:div>
    <w:div w:id="1020669340">
      <w:bodyDiv w:val="1"/>
      <w:marLeft w:val="0"/>
      <w:marRight w:val="0"/>
      <w:marTop w:val="0"/>
      <w:marBottom w:val="0"/>
      <w:divBdr>
        <w:top w:val="none" w:sz="0" w:space="0" w:color="auto"/>
        <w:left w:val="none" w:sz="0" w:space="0" w:color="auto"/>
        <w:bottom w:val="none" w:sz="0" w:space="0" w:color="auto"/>
        <w:right w:val="none" w:sz="0" w:space="0" w:color="auto"/>
      </w:divBdr>
    </w:div>
    <w:div w:id="1024940953">
      <w:bodyDiv w:val="1"/>
      <w:marLeft w:val="0"/>
      <w:marRight w:val="0"/>
      <w:marTop w:val="0"/>
      <w:marBottom w:val="0"/>
      <w:divBdr>
        <w:top w:val="none" w:sz="0" w:space="0" w:color="auto"/>
        <w:left w:val="none" w:sz="0" w:space="0" w:color="auto"/>
        <w:bottom w:val="none" w:sz="0" w:space="0" w:color="auto"/>
        <w:right w:val="none" w:sz="0" w:space="0" w:color="auto"/>
      </w:divBdr>
    </w:div>
    <w:div w:id="1038093651">
      <w:bodyDiv w:val="1"/>
      <w:marLeft w:val="0"/>
      <w:marRight w:val="0"/>
      <w:marTop w:val="0"/>
      <w:marBottom w:val="0"/>
      <w:divBdr>
        <w:top w:val="none" w:sz="0" w:space="0" w:color="auto"/>
        <w:left w:val="none" w:sz="0" w:space="0" w:color="auto"/>
        <w:bottom w:val="none" w:sz="0" w:space="0" w:color="auto"/>
        <w:right w:val="none" w:sz="0" w:space="0" w:color="auto"/>
      </w:divBdr>
    </w:div>
    <w:div w:id="1042361453">
      <w:bodyDiv w:val="1"/>
      <w:marLeft w:val="0"/>
      <w:marRight w:val="0"/>
      <w:marTop w:val="0"/>
      <w:marBottom w:val="0"/>
      <w:divBdr>
        <w:top w:val="none" w:sz="0" w:space="0" w:color="auto"/>
        <w:left w:val="none" w:sz="0" w:space="0" w:color="auto"/>
        <w:bottom w:val="none" w:sz="0" w:space="0" w:color="auto"/>
        <w:right w:val="none" w:sz="0" w:space="0" w:color="auto"/>
      </w:divBdr>
    </w:div>
    <w:div w:id="1049651834">
      <w:bodyDiv w:val="1"/>
      <w:marLeft w:val="0"/>
      <w:marRight w:val="0"/>
      <w:marTop w:val="0"/>
      <w:marBottom w:val="0"/>
      <w:divBdr>
        <w:top w:val="none" w:sz="0" w:space="0" w:color="auto"/>
        <w:left w:val="none" w:sz="0" w:space="0" w:color="auto"/>
        <w:bottom w:val="none" w:sz="0" w:space="0" w:color="auto"/>
        <w:right w:val="none" w:sz="0" w:space="0" w:color="auto"/>
      </w:divBdr>
    </w:div>
    <w:div w:id="1058166655">
      <w:bodyDiv w:val="1"/>
      <w:marLeft w:val="0"/>
      <w:marRight w:val="0"/>
      <w:marTop w:val="0"/>
      <w:marBottom w:val="0"/>
      <w:divBdr>
        <w:top w:val="none" w:sz="0" w:space="0" w:color="auto"/>
        <w:left w:val="none" w:sz="0" w:space="0" w:color="auto"/>
        <w:bottom w:val="none" w:sz="0" w:space="0" w:color="auto"/>
        <w:right w:val="none" w:sz="0" w:space="0" w:color="auto"/>
      </w:divBdr>
    </w:div>
    <w:div w:id="1058627947">
      <w:bodyDiv w:val="1"/>
      <w:marLeft w:val="0"/>
      <w:marRight w:val="0"/>
      <w:marTop w:val="0"/>
      <w:marBottom w:val="0"/>
      <w:divBdr>
        <w:top w:val="none" w:sz="0" w:space="0" w:color="auto"/>
        <w:left w:val="none" w:sz="0" w:space="0" w:color="auto"/>
        <w:bottom w:val="none" w:sz="0" w:space="0" w:color="auto"/>
        <w:right w:val="none" w:sz="0" w:space="0" w:color="auto"/>
      </w:divBdr>
    </w:div>
    <w:div w:id="1065950880">
      <w:bodyDiv w:val="1"/>
      <w:marLeft w:val="0"/>
      <w:marRight w:val="0"/>
      <w:marTop w:val="0"/>
      <w:marBottom w:val="0"/>
      <w:divBdr>
        <w:top w:val="none" w:sz="0" w:space="0" w:color="auto"/>
        <w:left w:val="none" w:sz="0" w:space="0" w:color="auto"/>
        <w:bottom w:val="none" w:sz="0" w:space="0" w:color="auto"/>
        <w:right w:val="none" w:sz="0" w:space="0" w:color="auto"/>
      </w:divBdr>
    </w:div>
    <w:div w:id="1069226517">
      <w:bodyDiv w:val="1"/>
      <w:marLeft w:val="0"/>
      <w:marRight w:val="0"/>
      <w:marTop w:val="0"/>
      <w:marBottom w:val="0"/>
      <w:divBdr>
        <w:top w:val="none" w:sz="0" w:space="0" w:color="auto"/>
        <w:left w:val="none" w:sz="0" w:space="0" w:color="auto"/>
        <w:bottom w:val="none" w:sz="0" w:space="0" w:color="auto"/>
        <w:right w:val="none" w:sz="0" w:space="0" w:color="auto"/>
      </w:divBdr>
    </w:div>
    <w:div w:id="1070687483">
      <w:bodyDiv w:val="1"/>
      <w:marLeft w:val="0"/>
      <w:marRight w:val="0"/>
      <w:marTop w:val="0"/>
      <w:marBottom w:val="0"/>
      <w:divBdr>
        <w:top w:val="none" w:sz="0" w:space="0" w:color="auto"/>
        <w:left w:val="none" w:sz="0" w:space="0" w:color="auto"/>
        <w:bottom w:val="none" w:sz="0" w:space="0" w:color="auto"/>
        <w:right w:val="none" w:sz="0" w:space="0" w:color="auto"/>
      </w:divBdr>
    </w:div>
    <w:div w:id="1097482913">
      <w:bodyDiv w:val="1"/>
      <w:marLeft w:val="0"/>
      <w:marRight w:val="0"/>
      <w:marTop w:val="0"/>
      <w:marBottom w:val="0"/>
      <w:divBdr>
        <w:top w:val="none" w:sz="0" w:space="0" w:color="auto"/>
        <w:left w:val="none" w:sz="0" w:space="0" w:color="auto"/>
        <w:bottom w:val="none" w:sz="0" w:space="0" w:color="auto"/>
        <w:right w:val="none" w:sz="0" w:space="0" w:color="auto"/>
      </w:divBdr>
    </w:div>
    <w:div w:id="1102603051">
      <w:bodyDiv w:val="1"/>
      <w:marLeft w:val="0"/>
      <w:marRight w:val="0"/>
      <w:marTop w:val="0"/>
      <w:marBottom w:val="0"/>
      <w:divBdr>
        <w:top w:val="none" w:sz="0" w:space="0" w:color="auto"/>
        <w:left w:val="none" w:sz="0" w:space="0" w:color="auto"/>
        <w:bottom w:val="none" w:sz="0" w:space="0" w:color="auto"/>
        <w:right w:val="none" w:sz="0" w:space="0" w:color="auto"/>
      </w:divBdr>
    </w:div>
    <w:div w:id="1108230700">
      <w:bodyDiv w:val="1"/>
      <w:marLeft w:val="0"/>
      <w:marRight w:val="0"/>
      <w:marTop w:val="0"/>
      <w:marBottom w:val="0"/>
      <w:divBdr>
        <w:top w:val="none" w:sz="0" w:space="0" w:color="auto"/>
        <w:left w:val="none" w:sz="0" w:space="0" w:color="auto"/>
        <w:bottom w:val="none" w:sz="0" w:space="0" w:color="auto"/>
        <w:right w:val="none" w:sz="0" w:space="0" w:color="auto"/>
      </w:divBdr>
    </w:div>
    <w:div w:id="1120226374">
      <w:bodyDiv w:val="1"/>
      <w:marLeft w:val="0"/>
      <w:marRight w:val="0"/>
      <w:marTop w:val="0"/>
      <w:marBottom w:val="0"/>
      <w:divBdr>
        <w:top w:val="none" w:sz="0" w:space="0" w:color="auto"/>
        <w:left w:val="none" w:sz="0" w:space="0" w:color="auto"/>
        <w:bottom w:val="none" w:sz="0" w:space="0" w:color="auto"/>
        <w:right w:val="none" w:sz="0" w:space="0" w:color="auto"/>
      </w:divBdr>
    </w:div>
    <w:div w:id="1125857061">
      <w:bodyDiv w:val="1"/>
      <w:marLeft w:val="0"/>
      <w:marRight w:val="0"/>
      <w:marTop w:val="0"/>
      <w:marBottom w:val="0"/>
      <w:divBdr>
        <w:top w:val="none" w:sz="0" w:space="0" w:color="auto"/>
        <w:left w:val="none" w:sz="0" w:space="0" w:color="auto"/>
        <w:bottom w:val="none" w:sz="0" w:space="0" w:color="auto"/>
        <w:right w:val="none" w:sz="0" w:space="0" w:color="auto"/>
      </w:divBdr>
    </w:div>
    <w:div w:id="1128357093">
      <w:bodyDiv w:val="1"/>
      <w:marLeft w:val="0"/>
      <w:marRight w:val="0"/>
      <w:marTop w:val="0"/>
      <w:marBottom w:val="0"/>
      <w:divBdr>
        <w:top w:val="none" w:sz="0" w:space="0" w:color="auto"/>
        <w:left w:val="none" w:sz="0" w:space="0" w:color="auto"/>
        <w:bottom w:val="none" w:sz="0" w:space="0" w:color="auto"/>
        <w:right w:val="none" w:sz="0" w:space="0" w:color="auto"/>
      </w:divBdr>
    </w:div>
    <w:div w:id="112847487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1507641">
      <w:bodyDiv w:val="1"/>
      <w:marLeft w:val="0"/>
      <w:marRight w:val="0"/>
      <w:marTop w:val="0"/>
      <w:marBottom w:val="0"/>
      <w:divBdr>
        <w:top w:val="none" w:sz="0" w:space="0" w:color="auto"/>
        <w:left w:val="none" w:sz="0" w:space="0" w:color="auto"/>
        <w:bottom w:val="none" w:sz="0" w:space="0" w:color="auto"/>
        <w:right w:val="none" w:sz="0" w:space="0" w:color="auto"/>
      </w:divBdr>
    </w:div>
    <w:div w:id="1154488012">
      <w:bodyDiv w:val="1"/>
      <w:marLeft w:val="0"/>
      <w:marRight w:val="0"/>
      <w:marTop w:val="0"/>
      <w:marBottom w:val="0"/>
      <w:divBdr>
        <w:top w:val="none" w:sz="0" w:space="0" w:color="auto"/>
        <w:left w:val="none" w:sz="0" w:space="0" w:color="auto"/>
        <w:bottom w:val="none" w:sz="0" w:space="0" w:color="auto"/>
        <w:right w:val="none" w:sz="0" w:space="0" w:color="auto"/>
      </w:divBdr>
    </w:div>
    <w:div w:id="1175798777">
      <w:bodyDiv w:val="1"/>
      <w:marLeft w:val="0"/>
      <w:marRight w:val="0"/>
      <w:marTop w:val="0"/>
      <w:marBottom w:val="0"/>
      <w:divBdr>
        <w:top w:val="none" w:sz="0" w:space="0" w:color="auto"/>
        <w:left w:val="none" w:sz="0" w:space="0" w:color="auto"/>
        <w:bottom w:val="none" w:sz="0" w:space="0" w:color="auto"/>
        <w:right w:val="none" w:sz="0" w:space="0" w:color="auto"/>
      </w:divBdr>
    </w:div>
    <w:div w:id="1179154184">
      <w:bodyDiv w:val="1"/>
      <w:marLeft w:val="0"/>
      <w:marRight w:val="0"/>
      <w:marTop w:val="0"/>
      <w:marBottom w:val="0"/>
      <w:divBdr>
        <w:top w:val="none" w:sz="0" w:space="0" w:color="auto"/>
        <w:left w:val="none" w:sz="0" w:space="0" w:color="auto"/>
        <w:bottom w:val="none" w:sz="0" w:space="0" w:color="auto"/>
        <w:right w:val="none" w:sz="0" w:space="0" w:color="auto"/>
      </w:divBdr>
    </w:div>
    <w:div w:id="1182429553">
      <w:bodyDiv w:val="1"/>
      <w:marLeft w:val="0"/>
      <w:marRight w:val="0"/>
      <w:marTop w:val="0"/>
      <w:marBottom w:val="0"/>
      <w:divBdr>
        <w:top w:val="none" w:sz="0" w:space="0" w:color="auto"/>
        <w:left w:val="none" w:sz="0" w:space="0" w:color="auto"/>
        <w:bottom w:val="none" w:sz="0" w:space="0" w:color="auto"/>
        <w:right w:val="none" w:sz="0" w:space="0" w:color="auto"/>
      </w:divBdr>
    </w:div>
    <w:div w:id="1186676435">
      <w:bodyDiv w:val="1"/>
      <w:marLeft w:val="0"/>
      <w:marRight w:val="0"/>
      <w:marTop w:val="0"/>
      <w:marBottom w:val="0"/>
      <w:divBdr>
        <w:top w:val="none" w:sz="0" w:space="0" w:color="auto"/>
        <w:left w:val="none" w:sz="0" w:space="0" w:color="auto"/>
        <w:bottom w:val="none" w:sz="0" w:space="0" w:color="auto"/>
        <w:right w:val="none" w:sz="0" w:space="0" w:color="auto"/>
      </w:divBdr>
    </w:div>
    <w:div w:id="1193809967">
      <w:bodyDiv w:val="1"/>
      <w:marLeft w:val="0"/>
      <w:marRight w:val="0"/>
      <w:marTop w:val="0"/>
      <w:marBottom w:val="0"/>
      <w:divBdr>
        <w:top w:val="none" w:sz="0" w:space="0" w:color="auto"/>
        <w:left w:val="none" w:sz="0" w:space="0" w:color="auto"/>
        <w:bottom w:val="none" w:sz="0" w:space="0" w:color="auto"/>
        <w:right w:val="none" w:sz="0" w:space="0" w:color="auto"/>
      </w:divBdr>
    </w:div>
    <w:div w:id="1195657525">
      <w:bodyDiv w:val="1"/>
      <w:marLeft w:val="0"/>
      <w:marRight w:val="0"/>
      <w:marTop w:val="0"/>
      <w:marBottom w:val="0"/>
      <w:divBdr>
        <w:top w:val="none" w:sz="0" w:space="0" w:color="auto"/>
        <w:left w:val="none" w:sz="0" w:space="0" w:color="auto"/>
        <w:bottom w:val="none" w:sz="0" w:space="0" w:color="auto"/>
        <w:right w:val="none" w:sz="0" w:space="0" w:color="auto"/>
      </w:divBdr>
    </w:div>
    <w:div w:id="1199122921">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6453852">
      <w:bodyDiv w:val="1"/>
      <w:marLeft w:val="0"/>
      <w:marRight w:val="0"/>
      <w:marTop w:val="0"/>
      <w:marBottom w:val="0"/>
      <w:divBdr>
        <w:top w:val="none" w:sz="0" w:space="0" w:color="auto"/>
        <w:left w:val="none" w:sz="0" w:space="0" w:color="auto"/>
        <w:bottom w:val="none" w:sz="0" w:space="0" w:color="auto"/>
        <w:right w:val="none" w:sz="0" w:space="0" w:color="auto"/>
      </w:divBdr>
    </w:div>
    <w:div w:id="1207718019">
      <w:bodyDiv w:val="1"/>
      <w:marLeft w:val="0"/>
      <w:marRight w:val="0"/>
      <w:marTop w:val="0"/>
      <w:marBottom w:val="0"/>
      <w:divBdr>
        <w:top w:val="none" w:sz="0" w:space="0" w:color="auto"/>
        <w:left w:val="none" w:sz="0" w:space="0" w:color="auto"/>
        <w:bottom w:val="none" w:sz="0" w:space="0" w:color="auto"/>
        <w:right w:val="none" w:sz="0" w:space="0" w:color="auto"/>
      </w:divBdr>
    </w:div>
    <w:div w:id="1223756531">
      <w:bodyDiv w:val="1"/>
      <w:marLeft w:val="0"/>
      <w:marRight w:val="0"/>
      <w:marTop w:val="0"/>
      <w:marBottom w:val="0"/>
      <w:divBdr>
        <w:top w:val="none" w:sz="0" w:space="0" w:color="auto"/>
        <w:left w:val="none" w:sz="0" w:space="0" w:color="auto"/>
        <w:bottom w:val="none" w:sz="0" w:space="0" w:color="auto"/>
        <w:right w:val="none" w:sz="0" w:space="0" w:color="auto"/>
      </w:divBdr>
    </w:div>
    <w:div w:id="1224412887">
      <w:bodyDiv w:val="1"/>
      <w:marLeft w:val="0"/>
      <w:marRight w:val="0"/>
      <w:marTop w:val="0"/>
      <w:marBottom w:val="0"/>
      <w:divBdr>
        <w:top w:val="none" w:sz="0" w:space="0" w:color="auto"/>
        <w:left w:val="none" w:sz="0" w:space="0" w:color="auto"/>
        <w:bottom w:val="none" w:sz="0" w:space="0" w:color="auto"/>
        <w:right w:val="none" w:sz="0" w:space="0" w:color="auto"/>
      </w:divBdr>
    </w:div>
    <w:div w:id="1234584789">
      <w:bodyDiv w:val="1"/>
      <w:marLeft w:val="0"/>
      <w:marRight w:val="0"/>
      <w:marTop w:val="0"/>
      <w:marBottom w:val="0"/>
      <w:divBdr>
        <w:top w:val="none" w:sz="0" w:space="0" w:color="auto"/>
        <w:left w:val="none" w:sz="0" w:space="0" w:color="auto"/>
        <w:bottom w:val="none" w:sz="0" w:space="0" w:color="auto"/>
        <w:right w:val="none" w:sz="0" w:space="0" w:color="auto"/>
      </w:divBdr>
    </w:div>
    <w:div w:id="1240628912">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4650502">
      <w:bodyDiv w:val="1"/>
      <w:marLeft w:val="0"/>
      <w:marRight w:val="0"/>
      <w:marTop w:val="0"/>
      <w:marBottom w:val="0"/>
      <w:divBdr>
        <w:top w:val="none" w:sz="0" w:space="0" w:color="auto"/>
        <w:left w:val="none" w:sz="0" w:space="0" w:color="auto"/>
        <w:bottom w:val="none" w:sz="0" w:space="0" w:color="auto"/>
        <w:right w:val="none" w:sz="0" w:space="0" w:color="auto"/>
      </w:divBdr>
    </w:div>
    <w:div w:id="1265377356">
      <w:bodyDiv w:val="1"/>
      <w:marLeft w:val="0"/>
      <w:marRight w:val="0"/>
      <w:marTop w:val="0"/>
      <w:marBottom w:val="0"/>
      <w:divBdr>
        <w:top w:val="none" w:sz="0" w:space="0" w:color="auto"/>
        <w:left w:val="none" w:sz="0" w:space="0" w:color="auto"/>
        <w:bottom w:val="none" w:sz="0" w:space="0" w:color="auto"/>
        <w:right w:val="none" w:sz="0" w:space="0" w:color="auto"/>
      </w:divBdr>
    </w:div>
    <w:div w:id="1266226083">
      <w:bodyDiv w:val="1"/>
      <w:marLeft w:val="0"/>
      <w:marRight w:val="0"/>
      <w:marTop w:val="0"/>
      <w:marBottom w:val="0"/>
      <w:divBdr>
        <w:top w:val="none" w:sz="0" w:space="0" w:color="auto"/>
        <w:left w:val="none" w:sz="0" w:space="0" w:color="auto"/>
        <w:bottom w:val="none" w:sz="0" w:space="0" w:color="auto"/>
        <w:right w:val="none" w:sz="0" w:space="0" w:color="auto"/>
      </w:divBdr>
    </w:div>
    <w:div w:id="1276059337">
      <w:bodyDiv w:val="1"/>
      <w:marLeft w:val="0"/>
      <w:marRight w:val="0"/>
      <w:marTop w:val="0"/>
      <w:marBottom w:val="0"/>
      <w:divBdr>
        <w:top w:val="none" w:sz="0" w:space="0" w:color="auto"/>
        <w:left w:val="none" w:sz="0" w:space="0" w:color="auto"/>
        <w:bottom w:val="none" w:sz="0" w:space="0" w:color="auto"/>
        <w:right w:val="none" w:sz="0" w:space="0" w:color="auto"/>
      </w:divBdr>
    </w:div>
    <w:div w:id="1291327044">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9915942">
      <w:bodyDiv w:val="1"/>
      <w:marLeft w:val="0"/>
      <w:marRight w:val="0"/>
      <w:marTop w:val="0"/>
      <w:marBottom w:val="0"/>
      <w:divBdr>
        <w:top w:val="none" w:sz="0" w:space="0" w:color="auto"/>
        <w:left w:val="none" w:sz="0" w:space="0" w:color="auto"/>
        <w:bottom w:val="none" w:sz="0" w:space="0" w:color="auto"/>
        <w:right w:val="none" w:sz="0" w:space="0" w:color="auto"/>
      </w:divBdr>
    </w:div>
    <w:div w:id="1315253371">
      <w:bodyDiv w:val="1"/>
      <w:marLeft w:val="0"/>
      <w:marRight w:val="0"/>
      <w:marTop w:val="0"/>
      <w:marBottom w:val="0"/>
      <w:divBdr>
        <w:top w:val="none" w:sz="0" w:space="0" w:color="auto"/>
        <w:left w:val="none" w:sz="0" w:space="0" w:color="auto"/>
        <w:bottom w:val="none" w:sz="0" w:space="0" w:color="auto"/>
        <w:right w:val="none" w:sz="0" w:space="0" w:color="auto"/>
      </w:divBdr>
    </w:div>
    <w:div w:id="1315836227">
      <w:bodyDiv w:val="1"/>
      <w:marLeft w:val="0"/>
      <w:marRight w:val="0"/>
      <w:marTop w:val="0"/>
      <w:marBottom w:val="0"/>
      <w:divBdr>
        <w:top w:val="none" w:sz="0" w:space="0" w:color="auto"/>
        <w:left w:val="none" w:sz="0" w:space="0" w:color="auto"/>
        <w:bottom w:val="none" w:sz="0" w:space="0" w:color="auto"/>
        <w:right w:val="none" w:sz="0" w:space="0" w:color="auto"/>
      </w:divBdr>
    </w:div>
    <w:div w:id="1315842523">
      <w:bodyDiv w:val="1"/>
      <w:marLeft w:val="0"/>
      <w:marRight w:val="0"/>
      <w:marTop w:val="0"/>
      <w:marBottom w:val="0"/>
      <w:divBdr>
        <w:top w:val="none" w:sz="0" w:space="0" w:color="auto"/>
        <w:left w:val="none" w:sz="0" w:space="0" w:color="auto"/>
        <w:bottom w:val="none" w:sz="0" w:space="0" w:color="auto"/>
        <w:right w:val="none" w:sz="0" w:space="0" w:color="auto"/>
      </w:divBdr>
    </w:div>
    <w:div w:id="1316370818">
      <w:bodyDiv w:val="1"/>
      <w:marLeft w:val="0"/>
      <w:marRight w:val="0"/>
      <w:marTop w:val="0"/>
      <w:marBottom w:val="0"/>
      <w:divBdr>
        <w:top w:val="none" w:sz="0" w:space="0" w:color="auto"/>
        <w:left w:val="none" w:sz="0" w:space="0" w:color="auto"/>
        <w:bottom w:val="none" w:sz="0" w:space="0" w:color="auto"/>
        <w:right w:val="none" w:sz="0" w:space="0" w:color="auto"/>
      </w:divBdr>
    </w:div>
    <w:div w:id="1318222355">
      <w:bodyDiv w:val="1"/>
      <w:marLeft w:val="0"/>
      <w:marRight w:val="0"/>
      <w:marTop w:val="0"/>
      <w:marBottom w:val="0"/>
      <w:divBdr>
        <w:top w:val="none" w:sz="0" w:space="0" w:color="auto"/>
        <w:left w:val="none" w:sz="0" w:space="0" w:color="auto"/>
        <w:bottom w:val="none" w:sz="0" w:space="0" w:color="auto"/>
        <w:right w:val="none" w:sz="0" w:space="0" w:color="auto"/>
      </w:divBdr>
    </w:div>
    <w:div w:id="1332368777">
      <w:bodyDiv w:val="1"/>
      <w:marLeft w:val="0"/>
      <w:marRight w:val="0"/>
      <w:marTop w:val="0"/>
      <w:marBottom w:val="0"/>
      <w:divBdr>
        <w:top w:val="none" w:sz="0" w:space="0" w:color="auto"/>
        <w:left w:val="none" w:sz="0" w:space="0" w:color="auto"/>
        <w:bottom w:val="none" w:sz="0" w:space="0" w:color="auto"/>
        <w:right w:val="none" w:sz="0" w:space="0" w:color="auto"/>
      </w:divBdr>
    </w:div>
    <w:div w:id="1333483065">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5009274">
      <w:bodyDiv w:val="1"/>
      <w:marLeft w:val="0"/>
      <w:marRight w:val="0"/>
      <w:marTop w:val="0"/>
      <w:marBottom w:val="0"/>
      <w:divBdr>
        <w:top w:val="none" w:sz="0" w:space="0" w:color="auto"/>
        <w:left w:val="none" w:sz="0" w:space="0" w:color="auto"/>
        <w:bottom w:val="none" w:sz="0" w:space="0" w:color="auto"/>
        <w:right w:val="none" w:sz="0" w:space="0" w:color="auto"/>
      </w:divBdr>
    </w:div>
    <w:div w:id="1349914171">
      <w:bodyDiv w:val="1"/>
      <w:marLeft w:val="0"/>
      <w:marRight w:val="0"/>
      <w:marTop w:val="0"/>
      <w:marBottom w:val="0"/>
      <w:divBdr>
        <w:top w:val="none" w:sz="0" w:space="0" w:color="auto"/>
        <w:left w:val="none" w:sz="0" w:space="0" w:color="auto"/>
        <w:bottom w:val="none" w:sz="0" w:space="0" w:color="auto"/>
        <w:right w:val="none" w:sz="0" w:space="0" w:color="auto"/>
      </w:divBdr>
    </w:div>
    <w:div w:id="1354957331">
      <w:bodyDiv w:val="1"/>
      <w:marLeft w:val="0"/>
      <w:marRight w:val="0"/>
      <w:marTop w:val="0"/>
      <w:marBottom w:val="0"/>
      <w:divBdr>
        <w:top w:val="none" w:sz="0" w:space="0" w:color="auto"/>
        <w:left w:val="none" w:sz="0" w:space="0" w:color="auto"/>
        <w:bottom w:val="none" w:sz="0" w:space="0" w:color="auto"/>
        <w:right w:val="none" w:sz="0" w:space="0" w:color="auto"/>
      </w:divBdr>
    </w:div>
    <w:div w:id="1360204858">
      <w:bodyDiv w:val="1"/>
      <w:marLeft w:val="0"/>
      <w:marRight w:val="0"/>
      <w:marTop w:val="0"/>
      <w:marBottom w:val="0"/>
      <w:divBdr>
        <w:top w:val="none" w:sz="0" w:space="0" w:color="auto"/>
        <w:left w:val="none" w:sz="0" w:space="0" w:color="auto"/>
        <w:bottom w:val="none" w:sz="0" w:space="0" w:color="auto"/>
        <w:right w:val="none" w:sz="0" w:space="0" w:color="auto"/>
      </w:divBdr>
    </w:div>
    <w:div w:id="1366713865">
      <w:bodyDiv w:val="1"/>
      <w:marLeft w:val="0"/>
      <w:marRight w:val="0"/>
      <w:marTop w:val="0"/>
      <w:marBottom w:val="0"/>
      <w:divBdr>
        <w:top w:val="none" w:sz="0" w:space="0" w:color="auto"/>
        <w:left w:val="none" w:sz="0" w:space="0" w:color="auto"/>
        <w:bottom w:val="none" w:sz="0" w:space="0" w:color="auto"/>
        <w:right w:val="none" w:sz="0" w:space="0" w:color="auto"/>
      </w:divBdr>
    </w:div>
    <w:div w:id="1369648409">
      <w:bodyDiv w:val="1"/>
      <w:marLeft w:val="0"/>
      <w:marRight w:val="0"/>
      <w:marTop w:val="0"/>
      <w:marBottom w:val="0"/>
      <w:divBdr>
        <w:top w:val="none" w:sz="0" w:space="0" w:color="auto"/>
        <w:left w:val="none" w:sz="0" w:space="0" w:color="auto"/>
        <w:bottom w:val="none" w:sz="0" w:space="0" w:color="auto"/>
        <w:right w:val="none" w:sz="0" w:space="0" w:color="auto"/>
      </w:divBdr>
    </w:div>
    <w:div w:id="1383283792">
      <w:bodyDiv w:val="1"/>
      <w:marLeft w:val="0"/>
      <w:marRight w:val="0"/>
      <w:marTop w:val="0"/>
      <w:marBottom w:val="0"/>
      <w:divBdr>
        <w:top w:val="none" w:sz="0" w:space="0" w:color="auto"/>
        <w:left w:val="none" w:sz="0" w:space="0" w:color="auto"/>
        <w:bottom w:val="none" w:sz="0" w:space="0" w:color="auto"/>
        <w:right w:val="none" w:sz="0" w:space="0" w:color="auto"/>
      </w:divBdr>
    </w:div>
    <w:div w:id="1391264313">
      <w:bodyDiv w:val="1"/>
      <w:marLeft w:val="0"/>
      <w:marRight w:val="0"/>
      <w:marTop w:val="0"/>
      <w:marBottom w:val="0"/>
      <w:divBdr>
        <w:top w:val="none" w:sz="0" w:space="0" w:color="auto"/>
        <w:left w:val="none" w:sz="0" w:space="0" w:color="auto"/>
        <w:bottom w:val="none" w:sz="0" w:space="0" w:color="auto"/>
        <w:right w:val="none" w:sz="0" w:space="0" w:color="auto"/>
      </w:divBdr>
    </w:div>
    <w:div w:id="1394230426">
      <w:bodyDiv w:val="1"/>
      <w:marLeft w:val="0"/>
      <w:marRight w:val="0"/>
      <w:marTop w:val="0"/>
      <w:marBottom w:val="0"/>
      <w:divBdr>
        <w:top w:val="none" w:sz="0" w:space="0" w:color="auto"/>
        <w:left w:val="none" w:sz="0" w:space="0" w:color="auto"/>
        <w:bottom w:val="none" w:sz="0" w:space="0" w:color="auto"/>
        <w:right w:val="none" w:sz="0" w:space="0" w:color="auto"/>
      </w:divBdr>
    </w:div>
    <w:div w:id="1394693976">
      <w:bodyDiv w:val="1"/>
      <w:marLeft w:val="0"/>
      <w:marRight w:val="0"/>
      <w:marTop w:val="0"/>
      <w:marBottom w:val="0"/>
      <w:divBdr>
        <w:top w:val="none" w:sz="0" w:space="0" w:color="auto"/>
        <w:left w:val="none" w:sz="0" w:space="0" w:color="auto"/>
        <w:bottom w:val="none" w:sz="0" w:space="0" w:color="auto"/>
        <w:right w:val="none" w:sz="0" w:space="0" w:color="auto"/>
      </w:divBdr>
    </w:div>
    <w:div w:id="1395081527">
      <w:bodyDiv w:val="1"/>
      <w:marLeft w:val="0"/>
      <w:marRight w:val="0"/>
      <w:marTop w:val="0"/>
      <w:marBottom w:val="0"/>
      <w:divBdr>
        <w:top w:val="none" w:sz="0" w:space="0" w:color="auto"/>
        <w:left w:val="none" w:sz="0" w:space="0" w:color="auto"/>
        <w:bottom w:val="none" w:sz="0" w:space="0" w:color="auto"/>
        <w:right w:val="none" w:sz="0" w:space="0" w:color="auto"/>
      </w:divBdr>
    </w:div>
    <w:div w:id="139585501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4820636">
      <w:bodyDiv w:val="1"/>
      <w:marLeft w:val="0"/>
      <w:marRight w:val="0"/>
      <w:marTop w:val="0"/>
      <w:marBottom w:val="0"/>
      <w:divBdr>
        <w:top w:val="none" w:sz="0" w:space="0" w:color="auto"/>
        <w:left w:val="none" w:sz="0" w:space="0" w:color="auto"/>
        <w:bottom w:val="none" w:sz="0" w:space="0" w:color="auto"/>
        <w:right w:val="none" w:sz="0" w:space="0" w:color="auto"/>
      </w:divBdr>
    </w:div>
    <w:div w:id="1421756763">
      <w:bodyDiv w:val="1"/>
      <w:marLeft w:val="0"/>
      <w:marRight w:val="0"/>
      <w:marTop w:val="0"/>
      <w:marBottom w:val="0"/>
      <w:divBdr>
        <w:top w:val="none" w:sz="0" w:space="0" w:color="auto"/>
        <w:left w:val="none" w:sz="0" w:space="0" w:color="auto"/>
        <w:bottom w:val="none" w:sz="0" w:space="0" w:color="auto"/>
        <w:right w:val="none" w:sz="0" w:space="0" w:color="auto"/>
      </w:divBdr>
    </w:div>
    <w:div w:id="1426026508">
      <w:bodyDiv w:val="1"/>
      <w:marLeft w:val="0"/>
      <w:marRight w:val="0"/>
      <w:marTop w:val="0"/>
      <w:marBottom w:val="0"/>
      <w:divBdr>
        <w:top w:val="none" w:sz="0" w:space="0" w:color="auto"/>
        <w:left w:val="none" w:sz="0" w:space="0" w:color="auto"/>
        <w:bottom w:val="none" w:sz="0" w:space="0" w:color="auto"/>
        <w:right w:val="none" w:sz="0" w:space="0" w:color="auto"/>
      </w:divBdr>
    </w:div>
    <w:div w:id="1429425495">
      <w:bodyDiv w:val="1"/>
      <w:marLeft w:val="0"/>
      <w:marRight w:val="0"/>
      <w:marTop w:val="0"/>
      <w:marBottom w:val="0"/>
      <w:divBdr>
        <w:top w:val="none" w:sz="0" w:space="0" w:color="auto"/>
        <w:left w:val="none" w:sz="0" w:space="0" w:color="auto"/>
        <w:bottom w:val="none" w:sz="0" w:space="0" w:color="auto"/>
        <w:right w:val="none" w:sz="0" w:space="0" w:color="auto"/>
      </w:divBdr>
    </w:div>
    <w:div w:id="1429543829">
      <w:bodyDiv w:val="1"/>
      <w:marLeft w:val="0"/>
      <w:marRight w:val="0"/>
      <w:marTop w:val="0"/>
      <w:marBottom w:val="0"/>
      <w:divBdr>
        <w:top w:val="none" w:sz="0" w:space="0" w:color="auto"/>
        <w:left w:val="none" w:sz="0" w:space="0" w:color="auto"/>
        <w:bottom w:val="none" w:sz="0" w:space="0" w:color="auto"/>
        <w:right w:val="none" w:sz="0" w:space="0" w:color="auto"/>
      </w:divBdr>
    </w:div>
    <w:div w:id="143786989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067202">
      <w:bodyDiv w:val="1"/>
      <w:marLeft w:val="0"/>
      <w:marRight w:val="0"/>
      <w:marTop w:val="0"/>
      <w:marBottom w:val="0"/>
      <w:divBdr>
        <w:top w:val="none" w:sz="0" w:space="0" w:color="auto"/>
        <w:left w:val="none" w:sz="0" w:space="0" w:color="auto"/>
        <w:bottom w:val="none" w:sz="0" w:space="0" w:color="auto"/>
        <w:right w:val="none" w:sz="0" w:space="0" w:color="auto"/>
      </w:divBdr>
    </w:div>
    <w:div w:id="1456755561">
      <w:bodyDiv w:val="1"/>
      <w:marLeft w:val="0"/>
      <w:marRight w:val="0"/>
      <w:marTop w:val="0"/>
      <w:marBottom w:val="0"/>
      <w:divBdr>
        <w:top w:val="none" w:sz="0" w:space="0" w:color="auto"/>
        <w:left w:val="none" w:sz="0" w:space="0" w:color="auto"/>
        <w:bottom w:val="none" w:sz="0" w:space="0" w:color="auto"/>
        <w:right w:val="none" w:sz="0" w:space="0" w:color="auto"/>
      </w:divBdr>
    </w:div>
    <w:div w:id="1464346099">
      <w:bodyDiv w:val="1"/>
      <w:marLeft w:val="0"/>
      <w:marRight w:val="0"/>
      <w:marTop w:val="0"/>
      <w:marBottom w:val="0"/>
      <w:divBdr>
        <w:top w:val="none" w:sz="0" w:space="0" w:color="auto"/>
        <w:left w:val="none" w:sz="0" w:space="0" w:color="auto"/>
        <w:bottom w:val="none" w:sz="0" w:space="0" w:color="auto"/>
        <w:right w:val="none" w:sz="0" w:space="0" w:color="auto"/>
      </w:divBdr>
    </w:div>
    <w:div w:id="1469124341">
      <w:bodyDiv w:val="1"/>
      <w:marLeft w:val="0"/>
      <w:marRight w:val="0"/>
      <w:marTop w:val="0"/>
      <w:marBottom w:val="0"/>
      <w:divBdr>
        <w:top w:val="none" w:sz="0" w:space="0" w:color="auto"/>
        <w:left w:val="none" w:sz="0" w:space="0" w:color="auto"/>
        <w:bottom w:val="none" w:sz="0" w:space="0" w:color="auto"/>
        <w:right w:val="none" w:sz="0" w:space="0" w:color="auto"/>
      </w:divBdr>
    </w:div>
    <w:div w:id="1488519466">
      <w:bodyDiv w:val="1"/>
      <w:marLeft w:val="0"/>
      <w:marRight w:val="0"/>
      <w:marTop w:val="0"/>
      <w:marBottom w:val="0"/>
      <w:divBdr>
        <w:top w:val="none" w:sz="0" w:space="0" w:color="auto"/>
        <w:left w:val="none" w:sz="0" w:space="0" w:color="auto"/>
        <w:bottom w:val="none" w:sz="0" w:space="0" w:color="auto"/>
        <w:right w:val="none" w:sz="0" w:space="0" w:color="auto"/>
      </w:divBdr>
    </w:div>
    <w:div w:id="1492210237">
      <w:bodyDiv w:val="1"/>
      <w:marLeft w:val="0"/>
      <w:marRight w:val="0"/>
      <w:marTop w:val="0"/>
      <w:marBottom w:val="0"/>
      <w:divBdr>
        <w:top w:val="none" w:sz="0" w:space="0" w:color="auto"/>
        <w:left w:val="none" w:sz="0" w:space="0" w:color="auto"/>
        <w:bottom w:val="none" w:sz="0" w:space="0" w:color="auto"/>
        <w:right w:val="none" w:sz="0" w:space="0" w:color="auto"/>
      </w:divBdr>
    </w:div>
    <w:div w:id="1494562810">
      <w:bodyDiv w:val="1"/>
      <w:marLeft w:val="0"/>
      <w:marRight w:val="0"/>
      <w:marTop w:val="0"/>
      <w:marBottom w:val="0"/>
      <w:divBdr>
        <w:top w:val="none" w:sz="0" w:space="0" w:color="auto"/>
        <w:left w:val="none" w:sz="0" w:space="0" w:color="auto"/>
        <w:bottom w:val="none" w:sz="0" w:space="0" w:color="auto"/>
        <w:right w:val="none" w:sz="0" w:space="0" w:color="auto"/>
      </w:divBdr>
    </w:div>
    <w:div w:id="1500923371">
      <w:bodyDiv w:val="1"/>
      <w:marLeft w:val="0"/>
      <w:marRight w:val="0"/>
      <w:marTop w:val="0"/>
      <w:marBottom w:val="0"/>
      <w:divBdr>
        <w:top w:val="none" w:sz="0" w:space="0" w:color="auto"/>
        <w:left w:val="none" w:sz="0" w:space="0" w:color="auto"/>
        <w:bottom w:val="none" w:sz="0" w:space="0" w:color="auto"/>
        <w:right w:val="none" w:sz="0" w:space="0" w:color="auto"/>
      </w:divBdr>
    </w:div>
    <w:div w:id="1501577994">
      <w:bodyDiv w:val="1"/>
      <w:marLeft w:val="0"/>
      <w:marRight w:val="0"/>
      <w:marTop w:val="0"/>
      <w:marBottom w:val="0"/>
      <w:divBdr>
        <w:top w:val="none" w:sz="0" w:space="0" w:color="auto"/>
        <w:left w:val="none" w:sz="0" w:space="0" w:color="auto"/>
        <w:bottom w:val="none" w:sz="0" w:space="0" w:color="auto"/>
        <w:right w:val="none" w:sz="0" w:space="0" w:color="auto"/>
      </w:divBdr>
    </w:div>
    <w:div w:id="1502768720">
      <w:bodyDiv w:val="1"/>
      <w:marLeft w:val="0"/>
      <w:marRight w:val="0"/>
      <w:marTop w:val="0"/>
      <w:marBottom w:val="0"/>
      <w:divBdr>
        <w:top w:val="none" w:sz="0" w:space="0" w:color="auto"/>
        <w:left w:val="none" w:sz="0" w:space="0" w:color="auto"/>
        <w:bottom w:val="none" w:sz="0" w:space="0" w:color="auto"/>
        <w:right w:val="none" w:sz="0" w:space="0" w:color="auto"/>
      </w:divBdr>
    </w:div>
    <w:div w:id="1511021338">
      <w:bodyDiv w:val="1"/>
      <w:marLeft w:val="0"/>
      <w:marRight w:val="0"/>
      <w:marTop w:val="0"/>
      <w:marBottom w:val="0"/>
      <w:divBdr>
        <w:top w:val="none" w:sz="0" w:space="0" w:color="auto"/>
        <w:left w:val="none" w:sz="0" w:space="0" w:color="auto"/>
        <w:bottom w:val="none" w:sz="0" w:space="0" w:color="auto"/>
        <w:right w:val="none" w:sz="0" w:space="0" w:color="auto"/>
      </w:divBdr>
    </w:div>
    <w:div w:id="1515220744">
      <w:bodyDiv w:val="1"/>
      <w:marLeft w:val="0"/>
      <w:marRight w:val="0"/>
      <w:marTop w:val="0"/>
      <w:marBottom w:val="0"/>
      <w:divBdr>
        <w:top w:val="none" w:sz="0" w:space="0" w:color="auto"/>
        <w:left w:val="none" w:sz="0" w:space="0" w:color="auto"/>
        <w:bottom w:val="none" w:sz="0" w:space="0" w:color="auto"/>
        <w:right w:val="none" w:sz="0" w:space="0" w:color="auto"/>
      </w:divBdr>
    </w:div>
    <w:div w:id="1531412001">
      <w:bodyDiv w:val="1"/>
      <w:marLeft w:val="0"/>
      <w:marRight w:val="0"/>
      <w:marTop w:val="0"/>
      <w:marBottom w:val="0"/>
      <w:divBdr>
        <w:top w:val="none" w:sz="0" w:space="0" w:color="auto"/>
        <w:left w:val="none" w:sz="0" w:space="0" w:color="auto"/>
        <w:bottom w:val="none" w:sz="0" w:space="0" w:color="auto"/>
        <w:right w:val="none" w:sz="0" w:space="0" w:color="auto"/>
      </w:divBdr>
    </w:div>
    <w:div w:id="1552766547">
      <w:bodyDiv w:val="1"/>
      <w:marLeft w:val="0"/>
      <w:marRight w:val="0"/>
      <w:marTop w:val="0"/>
      <w:marBottom w:val="0"/>
      <w:divBdr>
        <w:top w:val="none" w:sz="0" w:space="0" w:color="auto"/>
        <w:left w:val="none" w:sz="0" w:space="0" w:color="auto"/>
        <w:bottom w:val="none" w:sz="0" w:space="0" w:color="auto"/>
        <w:right w:val="none" w:sz="0" w:space="0" w:color="auto"/>
      </w:divBdr>
    </w:div>
    <w:div w:id="1553151321">
      <w:bodyDiv w:val="1"/>
      <w:marLeft w:val="0"/>
      <w:marRight w:val="0"/>
      <w:marTop w:val="0"/>
      <w:marBottom w:val="0"/>
      <w:divBdr>
        <w:top w:val="none" w:sz="0" w:space="0" w:color="auto"/>
        <w:left w:val="none" w:sz="0" w:space="0" w:color="auto"/>
        <w:bottom w:val="none" w:sz="0" w:space="0" w:color="auto"/>
        <w:right w:val="none" w:sz="0" w:space="0" w:color="auto"/>
      </w:divBdr>
    </w:div>
    <w:div w:id="1559434884">
      <w:bodyDiv w:val="1"/>
      <w:marLeft w:val="0"/>
      <w:marRight w:val="0"/>
      <w:marTop w:val="0"/>
      <w:marBottom w:val="0"/>
      <w:divBdr>
        <w:top w:val="none" w:sz="0" w:space="0" w:color="auto"/>
        <w:left w:val="none" w:sz="0" w:space="0" w:color="auto"/>
        <w:bottom w:val="none" w:sz="0" w:space="0" w:color="auto"/>
        <w:right w:val="none" w:sz="0" w:space="0" w:color="auto"/>
      </w:divBdr>
    </w:div>
    <w:div w:id="1560557049">
      <w:bodyDiv w:val="1"/>
      <w:marLeft w:val="0"/>
      <w:marRight w:val="0"/>
      <w:marTop w:val="0"/>
      <w:marBottom w:val="0"/>
      <w:divBdr>
        <w:top w:val="none" w:sz="0" w:space="0" w:color="auto"/>
        <w:left w:val="none" w:sz="0" w:space="0" w:color="auto"/>
        <w:bottom w:val="none" w:sz="0" w:space="0" w:color="auto"/>
        <w:right w:val="none" w:sz="0" w:space="0" w:color="auto"/>
      </w:divBdr>
    </w:div>
    <w:div w:id="1565330259">
      <w:bodyDiv w:val="1"/>
      <w:marLeft w:val="0"/>
      <w:marRight w:val="0"/>
      <w:marTop w:val="0"/>
      <w:marBottom w:val="0"/>
      <w:divBdr>
        <w:top w:val="none" w:sz="0" w:space="0" w:color="auto"/>
        <w:left w:val="none" w:sz="0" w:space="0" w:color="auto"/>
        <w:bottom w:val="none" w:sz="0" w:space="0" w:color="auto"/>
        <w:right w:val="none" w:sz="0" w:space="0" w:color="auto"/>
      </w:divBdr>
    </w:div>
    <w:div w:id="1577130164">
      <w:bodyDiv w:val="1"/>
      <w:marLeft w:val="0"/>
      <w:marRight w:val="0"/>
      <w:marTop w:val="0"/>
      <w:marBottom w:val="0"/>
      <w:divBdr>
        <w:top w:val="none" w:sz="0" w:space="0" w:color="auto"/>
        <w:left w:val="none" w:sz="0" w:space="0" w:color="auto"/>
        <w:bottom w:val="none" w:sz="0" w:space="0" w:color="auto"/>
        <w:right w:val="none" w:sz="0" w:space="0" w:color="auto"/>
      </w:divBdr>
    </w:div>
    <w:div w:id="1581792588">
      <w:bodyDiv w:val="1"/>
      <w:marLeft w:val="0"/>
      <w:marRight w:val="0"/>
      <w:marTop w:val="0"/>
      <w:marBottom w:val="0"/>
      <w:divBdr>
        <w:top w:val="none" w:sz="0" w:space="0" w:color="auto"/>
        <w:left w:val="none" w:sz="0" w:space="0" w:color="auto"/>
        <w:bottom w:val="none" w:sz="0" w:space="0" w:color="auto"/>
        <w:right w:val="none" w:sz="0" w:space="0" w:color="auto"/>
      </w:divBdr>
    </w:div>
    <w:div w:id="1585214154">
      <w:bodyDiv w:val="1"/>
      <w:marLeft w:val="0"/>
      <w:marRight w:val="0"/>
      <w:marTop w:val="0"/>
      <w:marBottom w:val="0"/>
      <w:divBdr>
        <w:top w:val="none" w:sz="0" w:space="0" w:color="auto"/>
        <w:left w:val="none" w:sz="0" w:space="0" w:color="auto"/>
        <w:bottom w:val="none" w:sz="0" w:space="0" w:color="auto"/>
        <w:right w:val="none" w:sz="0" w:space="0" w:color="auto"/>
      </w:divBdr>
    </w:div>
    <w:div w:id="1593540320">
      <w:bodyDiv w:val="1"/>
      <w:marLeft w:val="0"/>
      <w:marRight w:val="0"/>
      <w:marTop w:val="0"/>
      <w:marBottom w:val="0"/>
      <w:divBdr>
        <w:top w:val="none" w:sz="0" w:space="0" w:color="auto"/>
        <w:left w:val="none" w:sz="0" w:space="0" w:color="auto"/>
        <w:bottom w:val="none" w:sz="0" w:space="0" w:color="auto"/>
        <w:right w:val="none" w:sz="0" w:space="0" w:color="auto"/>
      </w:divBdr>
    </w:div>
    <w:div w:id="1604801629">
      <w:bodyDiv w:val="1"/>
      <w:marLeft w:val="0"/>
      <w:marRight w:val="0"/>
      <w:marTop w:val="0"/>
      <w:marBottom w:val="0"/>
      <w:divBdr>
        <w:top w:val="none" w:sz="0" w:space="0" w:color="auto"/>
        <w:left w:val="none" w:sz="0" w:space="0" w:color="auto"/>
        <w:bottom w:val="none" w:sz="0" w:space="0" w:color="auto"/>
        <w:right w:val="none" w:sz="0" w:space="0" w:color="auto"/>
      </w:divBdr>
    </w:div>
    <w:div w:id="1606696839">
      <w:bodyDiv w:val="1"/>
      <w:marLeft w:val="0"/>
      <w:marRight w:val="0"/>
      <w:marTop w:val="0"/>
      <w:marBottom w:val="0"/>
      <w:divBdr>
        <w:top w:val="none" w:sz="0" w:space="0" w:color="auto"/>
        <w:left w:val="none" w:sz="0" w:space="0" w:color="auto"/>
        <w:bottom w:val="none" w:sz="0" w:space="0" w:color="auto"/>
        <w:right w:val="none" w:sz="0" w:space="0" w:color="auto"/>
      </w:divBdr>
    </w:div>
    <w:div w:id="1623462938">
      <w:bodyDiv w:val="1"/>
      <w:marLeft w:val="0"/>
      <w:marRight w:val="0"/>
      <w:marTop w:val="0"/>
      <w:marBottom w:val="0"/>
      <w:divBdr>
        <w:top w:val="none" w:sz="0" w:space="0" w:color="auto"/>
        <w:left w:val="none" w:sz="0" w:space="0" w:color="auto"/>
        <w:bottom w:val="none" w:sz="0" w:space="0" w:color="auto"/>
        <w:right w:val="none" w:sz="0" w:space="0" w:color="auto"/>
      </w:divBdr>
    </w:div>
    <w:div w:id="1624389216">
      <w:bodyDiv w:val="1"/>
      <w:marLeft w:val="0"/>
      <w:marRight w:val="0"/>
      <w:marTop w:val="0"/>
      <w:marBottom w:val="0"/>
      <w:divBdr>
        <w:top w:val="none" w:sz="0" w:space="0" w:color="auto"/>
        <w:left w:val="none" w:sz="0" w:space="0" w:color="auto"/>
        <w:bottom w:val="none" w:sz="0" w:space="0" w:color="auto"/>
        <w:right w:val="none" w:sz="0" w:space="0" w:color="auto"/>
      </w:divBdr>
    </w:div>
    <w:div w:id="162642131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6472773">
      <w:bodyDiv w:val="1"/>
      <w:marLeft w:val="0"/>
      <w:marRight w:val="0"/>
      <w:marTop w:val="0"/>
      <w:marBottom w:val="0"/>
      <w:divBdr>
        <w:top w:val="none" w:sz="0" w:space="0" w:color="auto"/>
        <w:left w:val="none" w:sz="0" w:space="0" w:color="auto"/>
        <w:bottom w:val="none" w:sz="0" w:space="0" w:color="auto"/>
        <w:right w:val="none" w:sz="0" w:space="0" w:color="auto"/>
      </w:divBdr>
    </w:div>
    <w:div w:id="1649821355">
      <w:bodyDiv w:val="1"/>
      <w:marLeft w:val="0"/>
      <w:marRight w:val="0"/>
      <w:marTop w:val="0"/>
      <w:marBottom w:val="0"/>
      <w:divBdr>
        <w:top w:val="none" w:sz="0" w:space="0" w:color="auto"/>
        <w:left w:val="none" w:sz="0" w:space="0" w:color="auto"/>
        <w:bottom w:val="none" w:sz="0" w:space="0" w:color="auto"/>
        <w:right w:val="none" w:sz="0" w:space="0" w:color="auto"/>
      </w:divBdr>
    </w:div>
    <w:div w:id="1651522937">
      <w:bodyDiv w:val="1"/>
      <w:marLeft w:val="0"/>
      <w:marRight w:val="0"/>
      <w:marTop w:val="0"/>
      <w:marBottom w:val="0"/>
      <w:divBdr>
        <w:top w:val="none" w:sz="0" w:space="0" w:color="auto"/>
        <w:left w:val="none" w:sz="0" w:space="0" w:color="auto"/>
        <w:bottom w:val="none" w:sz="0" w:space="0" w:color="auto"/>
        <w:right w:val="none" w:sz="0" w:space="0" w:color="auto"/>
      </w:divBdr>
    </w:div>
    <w:div w:id="1655529495">
      <w:bodyDiv w:val="1"/>
      <w:marLeft w:val="0"/>
      <w:marRight w:val="0"/>
      <w:marTop w:val="0"/>
      <w:marBottom w:val="0"/>
      <w:divBdr>
        <w:top w:val="none" w:sz="0" w:space="0" w:color="auto"/>
        <w:left w:val="none" w:sz="0" w:space="0" w:color="auto"/>
        <w:bottom w:val="none" w:sz="0" w:space="0" w:color="auto"/>
        <w:right w:val="none" w:sz="0" w:space="0" w:color="auto"/>
      </w:divBdr>
    </w:div>
    <w:div w:id="1658414834">
      <w:bodyDiv w:val="1"/>
      <w:marLeft w:val="0"/>
      <w:marRight w:val="0"/>
      <w:marTop w:val="0"/>
      <w:marBottom w:val="0"/>
      <w:divBdr>
        <w:top w:val="none" w:sz="0" w:space="0" w:color="auto"/>
        <w:left w:val="none" w:sz="0" w:space="0" w:color="auto"/>
        <w:bottom w:val="none" w:sz="0" w:space="0" w:color="auto"/>
        <w:right w:val="none" w:sz="0" w:space="0" w:color="auto"/>
      </w:divBdr>
    </w:div>
    <w:div w:id="1667125257">
      <w:bodyDiv w:val="1"/>
      <w:marLeft w:val="0"/>
      <w:marRight w:val="0"/>
      <w:marTop w:val="0"/>
      <w:marBottom w:val="0"/>
      <w:divBdr>
        <w:top w:val="none" w:sz="0" w:space="0" w:color="auto"/>
        <w:left w:val="none" w:sz="0" w:space="0" w:color="auto"/>
        <w:bottom w:val="none" w:sz="0" w:space="0" w:color="auto"/>
        <w:right w:val="none" w:sz="0" w:space="0" w:color="auto"/>
      </w:divBdr>
    </w:div>
    <w:div w:id="1680235269">
      <w:bodyDiv w:val="1"/>
      <w:marLeft w:val="0"/>
      <w:marRight w:val="0"/>
      <w:marTop w:val="0"/>
      <w:marBottom w:val="0"/>
      <w:divBdr>
        <w:top w:val="none" w:sz="0" w:space="0" w:color="auto"/>
        <w:left w:val="none" w:sz="0" w:space="0" w:color="auto"/>
        <w:bottom w:val="none" w:sz="0" w:space="0" w:color="auto"/>
        <w:right w:val="none" w:sz="0" w:space="0" w:color="auto"/>
      </w:divBdr>
    </w:div>
    <w:div w:id="1687752568">
      <w:bodyDiv w:val="1"/>
      <w:marLeft w:val="0"/>
      <w:marRight w:val="0"/>
      <w:marTop w:val="0"/>
      <w:marBottom w:val="0"/>
      <w:divBdr>
        <w:top w:val="none" w:sz="0" w:space="0" w:color="auto"/>
        <w:left w:val="none" w:sz="0" w:space="0" w:color="auto"/>
        <w:bottom w:val="none" w:sz="0" w:space="0" w:color="auto"/>
        <w:right w:val="none" w:sz="0" w:space="0" w:color="auto"/>
      </w:divBdr>
    </w:div>
    <w:div w:id="1688167956">
      <w:bodyDiv w:val="1"/>
      <w:marLeft w:val="0"/>
      <w:marRight w:val="0"/>
      <w:marTop w:val="0"/>
      <w:marBottom w:val="0"/>
      <w:divBdr>
        <w:top w:val="none" w:sz="0" w:space="0" w:color="auto"/>
        <w:left w:val="none" w:sz="0" w:space="0" w:color="auto"/>
        <w:bottom w:val="none" w:sz="0" w:space="0" w:color="auto"/>
        <w:right w:val="none" w:sz="0" w:space="0" w:color="auto"/>
      </w:divBdr>
    </w:div>
    <w:div w:id="1688478607">
      <w:bodyDiv w:val="1"/>
      <w:marLeft w:val="0"/>
      <w:marRight w:val="0"/>
      <w:marTop w:val="0"/>
      <w:marBottom w:val="0"/>
      <w:divBdr>
        <w:top w:val="none" w:sz="0" w:space="0" w:color="auto"/>
        <w:left w:val="none" w:sz="0" w:space="0" w:color="auto"/>
        <w:bottom w:val="none" w:sz="0" w:space="0" w:color="auto"/>
        <w:right w:val="none" w:sz="0" w:space="0" w:color="auto"/>
      </w:divBdr>
    </w:div>
    <w:div w:id="1689717287">
      <w:bodyDiv w:val="1"/>
      <w:marLeft w:val="0"/>
      <w:marRight w:val="0"/>
      <w:marTop w:val="0"/>
      <w:marBottom w:val="0"/>
      <w:divBdr>
        <w:top w:val="none" w:sz="0" w:space="0" w:color="auto"/>
        <w:left w:val="none" w:sz="0" w:space="0" w:color="auto"/>
        <w:bottom w:val="none" w:sz="0" w:space="0" w:color="auto"/>
        <w:right w:val="none" w:sz="0" w:space="0" w:color="auto"/>
      </w:divBdr>
    </w:div>
    <w:div w:id="1690138458">
      <w:bodyDiv w:val="1"/>
      <w:marLeft w:val="0"/>
      <w:marRight w:val="0"/>
      <w:marTop w:val="0"/>
      <w:marBottom w:val="0"/>
      <w:divBdr>
        <w:top w:val="none" w:sz="0" w:space="0" w:color="auto"/>
        <w:left w:val="none" w:sz="0" w:space="0" w:color="auto"/>
        <w:bottom w:val="none" w:sz="0" w:space="0" w:color="auto"/>
        <w:right w:val="none" w:sz="0" w:space="0" w:color="auto"/>
      </w:divBdr>
    </w:div>
    <w:div w:id="1707288714">
      <w:bodyDiv w:val="1"/>
      <w:marLeft w:val="0"/>
      <w:marRight w:val="0"/>
      <w:marTop w:val="0"/>
      <w:marBottom w:val="0"/>
      <w:divBdr>
        <w:top w:val="none" w:sz="0" w:space="0" w:color="auto"/>
        <w:left w:val="none" w:sz="0" w:space="0" w:color="auto"/>
        <w:bottom w:val="none" w:sz="0" w:space="0" w:color="auto"/>
        <w:right w:val="none" w:sz="0" w:space="0" w:color="auto"/>
      </w:divBdr>
    </w:div>
    <w:div w:id="1719671636">
      <w:bodyDiv w:val="1"/>
      <w:marLeft w:val="0"/>
      <w:marRight w:val="0"/>
      <w:marTop w:val="0"/>
      <w:marBottom w:val="0"/>
      <w:divBdr>
        <w:top w:val="none" w:sz="0" w:space="0" w:color="auto"/>
        <w:left w:val="none" w:sz="0" w:space="0" w:color="auto"/>
        <w:bottom w:val="none" w:sz="0" w:space="0" w:color="auto"/>
        <w:right w:val="none" w:sz="0" w:space="0" w:color="auto"/>
      </w:divBdr>
    </w:div>
    <w:div w:id="1725323998">
      <w:bodyDiv w:val="1"/>
      <w:marLeft w:val="0"/>
      <w:marRight w:val="0"/>
      <w:marTop w:val="0"/>
      <w:marBottom w:val="0"/>
      <w:divBdr>
        <w:top w:val="none" w:sz="0" w:space="0" w:color="auto"/>
        <w:left w:val="none" w:sz="0" w:space="0" w:color="auto"/>
        <w:bottom w:val="none" w:sz="0" w:space="0" w:color="auto"/>
        <w:right w:val="none" w:sz="0" w:space="0" w:color="auto"/>
      </w:divBdr>
    </w:div>
    <w:div w:id="1734886146">
      <w:bodyDiv w:val="1"/>
      <w:marLeft w:val="0"/>
      <w:marRight w:val="0"/>
      <w:marTop w:val="0"/>
      <w:marBottom w:val="0"/>
      <w:divBdr>
        <w:top w:val="none" w:sz="0" w:space="0" w:color="auto"/>
        <w:left w:val="none" w:sz="0" w:space="0" w:color="auto"/>
        <w:bottom w:val="none" w:sz="0" w:space="0" w:color="auto"/>
        <w:right w:val="none" w:sz="0" w:space="0" w:color="auto"/>
      </w:divBdr>
    </w:div>
    <w:div w:id="1737163688">
      <w:bodyDiv w:val="1"/>
      <w:marLeft w:val="0"/>
      <w:marRight w:val="0"/>
      <w:marTop w:val="0"/>
      <w:marBottom w:val="0"/>
      <w:divBdr>
        <w:top w:val="none" w:sz="0" w:space="0" w:color="auto"/>
        <w:left w:val="none" w:sz="0" w:space="0" w:color="auto"/>
        <w:bottom w:val="none" w:sz="0" w:space="0" w:color="auto"/>
        <w:right w:val="none" w:sz="0" w:space="0" w:color="auto"/>
      </w:divBdr>
    </w:div>
    <w:div w:id="1748919894">
      <w:bodyDiv w:val="1"/>
      <w:marLeft w:val="0"/>
      <w:marRight w:val="0"/>
      <w:marTop w:val="0"/>
      <w:marBottom w:val="0"/>
      <w:divBdr>
        <w:top w:val="none" w:sz="0" w:space="0" w:color="auto"/>
        <w:left w:val="none" w:sz="0" w:space="0" w:color="auto"/>
        <w:bottom w:val="none" w:sz="0" w:space="0" w:color="auto"/>
        <w:right w:val="none" w:sz="0" w:space="0" w:color="auto"/>
      </w:divBdr>
    </w:div>
    <w:div w:id="1749495456">
      <w:bodyDiv w:val="1"/>
      <w:marLeft w:val="0"/>
      <w:marRight w:val="0"/>
      <w:marTop w:val="0"/>
      <w:marBottom w:val="0"/>
      <w:divBdr>
        <w:top w:val="none" w:sz="0" w:space="0" w:color="auto"/>
        <w:left w:val="none" w:sz="0" w:space="0" w:color="auto"/>
        <w:bottom w:val="none" w:sz="0" w:space="0" w:color="auto"/>
        <w:right w:val="none" w:sz="0" w:space="0" w:color="auto"/>
      </w:divBdr>
    </w:div>
    <w:div w:id="1759600654">
      <w:bodyDiv w:val="1"/>
      <w:marLeft w:val="0"/>
      <w:marRight w:val="0"/>
      <w:marTop w:val="0"/>
      <w:marBottom w:val="0"/>
      <w:divBdr>
        <w:top w:val="none" w:sz="0" w:space="0" w:color="auto"/>
        <w:left w:val="none" w:sz="0" w:space="0" w:color="auto"/>
        <w:bottom w:val="none" w:sz="0" w:space="0" w:color="auto"/>
        <w:right w:val="none" w:sz="0" w:space="0" w:color="auto"/>
      </w:divBdr>
    </w:div>
    <w:div w:id="1760372964">
      <w:bodyDiv w:val="1"/>
      <w:marLeft w:val="0"/>
      <w:marRight w:val="0"/>
      <w:marTop w:val="0"/>
      <w:marBottom w:val="0"/>
      <w:divBdr>
        <w:top w:val="none" w:sz="0" w:space="0" w:color="auto"/>
        <w:left w:val="none" w:sz="0" w:space="0" w:color="auto"/>
        <w:bottom w:val="none" w:sz="0" w:space="0" w:color="auto"/>
        <w:right w:val="none" w:sz="0" w:space="0" w:color="auto"/>
      </w:divBdr>
    </w:div>
    <w:div w:id="1766682417">
      <w:bodyDiv w:val="1"/>
      <w:marLeft w:val="0"/>
      <w:marRight w:val="0"/>
      <w:marTop w:val="0"/>
      <w:marBottom w:val="0"/>
      <w:divBdr>
        <w:top w:val="none" w:sz="0" w:space="0" w:color="auto"/>
        <w:left w:val="none" w:sz="0" w:space="0" w:color="auto"/>
        <w:bottom w:val="none" w:sz="0" w:space="0" w:color="auto"/>
        <w:right w:val="none" w:sz="0" w:space="0" w:color="auto"/>
      </w:divBdr>
    </w:div>
    <w:div w:id="1769348822">
      <w:bodyDiv w:val="1"/>
      <w:marLeft w:val="0"/>
      <w:marRight w:val="0"/>
      <w:marTop w:val="0"/>
      <w:marBottom w:val="0"/>
      <w:divBdr>
        <w:top w:val="none" w:sz="0" w:space="0" w:color="auto"/>
        <w:left w:val="none" w:sz="0" w:space="0" w:color="auto"/>
        <w:bottom w:val="none" w:sz="0" w:space="0" w:color="auto"/>
        <w:right w:val="none" w:sz="0" w:space="0" w:color="auto"/>
      </w:divBdr>
    </w:div>
    <w:div w:id="1772236042">
      <w:bodyDiv w:val="1"/>
      <w:marLeft w:val="0"/>
      <w:marRight w:val="0"/>
      <w:marTop w:val="0"/>
      <w:marBottom w:val="0"/>
      <w:divBdr>
        <w:top w:val="none" w:sz="0" w:space="0" w:color="auto"/>
        <w:left w:val="none" w:sz="0" w:space="0" w:color="auto"/>
        <w:bottom w:val="none" w:sz="0" w:space="0" w:color="auto"/>
        <w:right w:val="none" w:sz="0" w:space="0" w:color="auto"/>
      </w:divBdr>
    </w:div>
    <w:div w:id="1774325272">
      <w:bodyDiv w:val="1"/>
      <w:marLeft w:val="0"/>
      <w:marRight w:val="0"/>
      <w:marTop w:val="0"/>
      <w:marBottom w:val="0"/>
      <w:divBdr>
        <w:top w:val="none" w:sz="0" w:space="0" w:color="auto"/>
        <w:left w:val="none" w:sz="0" w:space="0" w:color="auto"/>
        <w:bottom w:val="none" w:sz="0" w:space="0" w:color="auto"/>
        <w:right w:val="none" w:sz="0" w:space="0" w:color="auto"/>
      </w:divBdr>
    </w:div>
    <w:div w:id="1778523040">
      <w:bodyDiv w:val="1"/>
      <w:marLeft w:val="0"/>
      <w:marRight w:val="0"/>
      <w:marTop w:val="0"/>
      <w:marBottom w:val="0"/>
      <w:divBdr>
        <w:top w:val="none" w:sz="0" w:space="0" w:color="auto"/>
        <w:left w:val="none" w:sz="0" w:space="0" w:color="auto"/>
        <w:bottom w:val="none" w:sz="0" w:space="0" w:color="auto"/>
        <w:right w:val="none" w:sz="0" w:space="0" w:color="auto"/>
      </w:divBdr>
    </w:div>
    <w:div w:id="1778593810">
      <w:bodyDiv w:val="1"/>
      <w:marLeft w:val="0"/>
      <w:marRight w:val="0"/>
      <w:marTop w:val="0"/>
      <w:marBottom w:val="0"/>
      <w:divBdr>
        <w:top w:val="none" w:sz="0" w:space="0" w:color="auto"/>
        <w:left w:val="none" w:sz="0" w:space="0" w:color="auto"/>
        <w:bottom w:val="none" w:sz="0" w:space="0" w:color="auto"/>
        <w:right w:val="none" w:sz="0" w:space="0" w:color="auto"/>
      </w:divBdr>
    </w:div>
    <w:div w:id="1790077657">
      <w:bodyDiv w:val="1"/>
      <w:marLeft w:val="0"/>
      <w:marRight w:val="0"/>
      <w:marTop w:val="0"/>
      <w:marBottom w:val="0"/>
      <w:divBdr>
        <w:top w:val="none" w:sz="0" w:space="0" w:color="auto"/>
        <w:left w:val="none" w:sz="0" w:space="0" w:color="auto"/>
        <w:bottom w:val="none" w:sz="0" w:space="0" w:color="auto"/>
        <w:right w:val="none" w:sz="0" w:space="0" w:color="auto"/>
      </w:divBdr>
    </w:div>
    <w:div w:id="1798375587">
      <w:bodyDiv w:val="1"/>
      <w:marLeft w:val="0"/>
      <w:marRight w:val="0"/>
      <w:marTop w:val="0"/>
      <w:marBottom w:val="0"/>
      <w:divBdr>
        <w:top w:val="none" w:sz="0" w:space="0" w:color="auto"/>
        <w:left w:val="none" w:sz="0" w:space="0" w:color="auto"/>
        <w:bottom w:val="none" w:sz="0" w:space="0" w:color="auto"/>
        <w:right w:val="none" w:sz="0" w:space="0" w:color="auto"/>
      </w:divBdr>
    </w:div>
    <w:div w:id="1798639396">
      <w:bodyDiv w:val="1"/>
      <w:marLeft w:val="0"/>
      <w:marRight w:val="0"/>
      <w:marTop w:val="0"/>
      <w:marBottom w:val="0"/>
      <w:divBdr>
        <w:top w:val="none" w:sz="0" w:space="0" w:color="auto"/>
        <w:left w:val="none" w:sz="0" w:space="0" w:color="auto"/>
        <w:bottom w:val="none" w:sz="0" w:space="0" w:color="auto"/>
        <w:right w:val="none" w:sz="0" w:space="0" w:color="auto"/>
      </w:divBdr>
    </w:div>
    <w:div w:id="1799377655">
      <w:bodyDiv w:val="1"/>
      <w:marLeft w:val="0"/>
      <w:marRight w:val="0"/>
      <w:marTop w:val="0"/>
      <w:marBottom w:val="0"/>
      <w:divBdr>
        <w:top w:val="none" w:sz="0" w:space="0" w:color="auto"/>
        <w:left w:val="none" w:sz="0" w:space="0" w:color="auto"/>
        <w:bottom w:val="none" w:sz="0" w:space="0" w:color="auto"/>
        <w:right w:val="none" w:sz="0" w:space="0" w:color="auto"/>
      </w:divBdr>
    </w:div>
    <w:div w:id="180199046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7044222">
      <w:bodyDiv w:val="1"/>
      <w:marLeft w:val="0"/>
      <w:marRight w:val="0"/>
      <w:marTop w:val="0"/>
      <w:marBottom w:val="0"/>
      <w:divBdr>
        <w:top w:val="none" w:sz="0" w:space="0" w:color="auto"/>
        <w:left w:val="none" w:sz="0" w:space="0" w:color="auto"/>
        <w:bottom w:val="none" w:sz="0" w:space="0" w:color="auto"/>
        <w:right w:val="none" w:sz="0" w:space="0" w:color="auto"/>
      </w:divBdr>
    </w:div>
    <w:div w:id="181706258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8670662">
      <w:bodyDiv w:val="1"/>
      <w:marLeft w:val="0"/>
      <w:marRight w:val="0"/>
      <w:marTop w:val="0"/>
      <w:marBottom w:val="0"/>
      <w:divBdr>
        <w:top w:val="none" w:sz="0" w:space="0" w:color="auto"/>
        <w:left w:val="none" w:sz="0" w:space="0" w:color="auto"/>
        <w:bottom w:val="none" w:sz="0" w:space="0" w:color="auto"/>
        <w:right w:val="none" w:sz="0" w:space="0" w:color="auto"/>
      </w:divBdr>
    </w:div>
    <w:div w:id="1831368385">
      <w:bodyDiv w:val="1"/>
      <w:marLeft w:val="0"/>
      <w:marRight w:val="0"/>
      <w:marTop w:val="0"/>
      <w:marBottom w:val="0"/>
      <w:divBdr>
        <w:top w:val="none" w:sz="0" w:space="0" w:color="auto"/>
        <w:left w:val="none" w:sz="0" w:space="0" w:color="auto"/>
        <w:bottom w:val="none" w:sz="0" w:space="0" w:color="auto"/>
        <w:right w:val="none" w:sz="0" w:space="0" w:color="auto"/>
      </w:divBdr>
    </w:div>
    <w:div w:id="1839298613">
      <w:bodyDiv w:val="1"/>
      <w:marLeft w:val="0"/>
      <w:marRight w:val="0"/>
      <w:marTop w:val="0"/>
      <w:marBottom w:val="0"/>
      <w:divBdr>
        <w:top w:val="none" w:sz="0" w:space="0" w:color="auto"/>
        <w:left w:val="none" w:sz="0" w:space="0" w:color="auto"/>
        <w:bottom w:val="none" w:sz="0" w:space="0" w:color="auto"/>
        <w:right w:val="none" w:sz="0" w:space="0" w:color="auto"/>
      </w:divBdr>
    </w:div>
    <w:div w:id="1844008774">
      <w:bodyDiv w:val="1"/>
      <w:marLeft w:val="0"/>
      <w:marRight w:val="0"/>
      <w:marTop w:val="0"/>
      <w:marBottom w:val="0"/>
      <w:divBdr>
        <w:top w:val="none" w:sz="0" w:space="0" w:color="auto"/>
        <w:left w:val="none" w:sz="0" w:space="0" w:color="auto"/>
        <w:bottom w:val="none" w:sz="0" w:space="0" w:color="auto"/>
        <w:right w:val="none" w:sz="0" w:space="0" w:color="auto"/>
      </w:divBdr>
    </w:div>
    <w:div w:id="1845586597">
      <w:bodyDiv w:val="1"/>
      <w:marLeft w:val="0"/>
      <w:marRight w:val="0"/>
      <w:marTop w:val="0"/>
      <w:marBottom w:val="0"/>
      <w:divBdr>
        <w:top w:val="none" w:sz="0" w:space="0" w:color="auto"/>
        <w:left w:val="none" w:sz="0" w:space="0" w:color="auto"/>
        <w:bottom w:val="none" w:sz="0" w:space="0" w:color="auto"/>
        <w:right w:val="none" w:sz="0" w:space="0" w:color="auto"/>
      </w:divBdr>
    </w:div>
    <w:div w:id="1846438017">
      <w:bodyDiv w:val="1"/>
      <w:marLeft w:val="0"/>
      <w:marRight w:val="0"/>
      <w:marTop w:val="0"/>
      <w:marBottom w:val="0"/>
      <w:divBdr>
        <w:top w:val="none" w:sz="0" w:space="0" w:color="auto"/>
        <w:left w:val="none" w:sz="0" w:space="0" w:color="auto"/>
        <w:bottom w:val="none" w:sz="0" w:space="0" w:color="auto"/>
        <w:right w:val="none" w:sz="0" w:space="0" w:color="auto"/>
      </w:divBdr>
    </w:div>
    <w:div w:id="1848979798">
      <w:bodyDiv w:val="1"/>
      <w:marLeft w:val="0"/>
      <w:marRight w:val="0"/>
      <w:marTop w:val="0"/>
      <w:marBottom w:val="0"/>
      <w:divBdr>
        <w:top w:val="none" w:sz="0" w:space="0" w:color="auto"/>
        <w:left w:val="none" w:sz="0" w:space="0" w:color="auto"/>
        <w:bottom w:val="none" w:sz="0" w:space="0" w:color="auto"/>
        <w:right w:val="none" w:sz="0" w:space="0" w:color="auto"/>
      </w:divBdr>
    </w:div>
    <w:div w:id="1852180193">
      <w:bodyDiv w:val="1"/>
      <w:marLeft w:val="0"/>
      <w:marRight w:val="0"/>
      <w:marTop w:val="0"/>
      <w:marBottom w:val="0"/>
      <w:divBdr>
        <w:top w:val="none" w:sz="0" w:space="0" w:color="auto"/>
        <w:left w:val="none" w:sz="0" w:space="0" w:color="auto"/>
        <w:bottom w:val="none" w:sz="0" w:space="0" w:color="auto"/>
        <w:right w:val="none" w:sz="0" w:space="0" w:color="auto"/>
      </w:divBdr>
    </w:div>
    <w:div w:id="1860122570">
      <w:bodyDiv w:val="1"/>
      <w:marLeft w:val="0"/>
      <w:marRight w:val="0"/>
      <w:marTop w:val="0"/>
      <w:marBottom w:val="0"/>
      <w:divBdr>
        <w:top w:val="none" w:sz="0" w:space="0" w:color="auto"/>
        <w:left w:val="none" w:sz="0" w:space="0" w:color="auto"/>
        <w:bottom w:val="none" w:sz="0" w:space="0" w:color="auto"/>
        <w:right w:val="none" w:sz="0" w:space="0" w:color="auto"/>
      </w:divBdr>
    </w:div>
    <w:div w:id="1867525186">
      <w:bodyDiv w:val="1"/>
      <w:marLeft w:val="0"/>
      <w:marRight w:val="0"/>
      <w:marTop w:val="0"/>
      <w:marBottom w:val="0"/>
      <w:divBdr>
        <w:top w:val="none" w:sz="0" w:space="0" w:color="auto"/>
        <w:left w:val="none" w:sz="0" w:space="0" w:color="auto"/>
        <w:bottom w:val="none" w:sz="0" w:space="0" w:color="auto"/>
        <w:right w:val="none" w:sz="0" w:space="0" w:color="auto"/>
      </w:divBdr>
    </w:div>
    <w:div w:id="1872958433">
      <w:bodyDiv w:val="1"/>
      <w:marLeft w:val="0"/>
      <w:marRight w:val="0"/>
      <w:marTop w:val="0"/>
      <w:marBottom w:val="0"/>
      <w:divBdr>
        <w:top w:val="none" w:sz="0" w:space="0" w:color="auto"/>
        <w:left w:val="none" w:sz="0" w:space="0" w:color="auto"/>
        <w:bottom w:val="none" w:sz="0" w:space="0" w:color="auto"/>
        <w:right w:val="none" w:sz="0" w:space="0" w:color="auto"/>
      </w:divBdr>
    </w:div>
    <w:div w:id="1874074398">
      <w:bodyDiv w:val="1"/>
      <w:marLeft w:val="0"/>
      <w:marRight w:val="0"/>
      <w:marTop w:val="0"/>
      <w:marBottom w:val="0"/>
      <w:divBdr>
        <w:top w:val="none" w:sz="0" w:space="0" w:color="auto"/>
        <w:left w:val="none" w:sz="0" w:space="0" w:color="auto"/>
        <w:bottom w:val="none" w:sz="0" w:space="0" w:color="auto"/>
        <w:right w:val="none" w:sz="0" w:space="0" w:color="auto"/>
      </w:divBdr>
    </w:div>
    <w:div w:id="1897203283">
      <w:bodyDiv w:val="1"/>
      <w:marLeft w:val="0"/>
      <w:marRight w:val="0"/>
      <w:marTop w:val="0"/>
      <w:marBottom w:val="0"/>
      <w:divBdr>
        <w:top w:val="none" w:sz="0" w:space="0" w:color="auto"/>
        <w:left w:val="none" w:sz="0" w:space="0" w:color="auto"/>
        <w:bottom w:val="none" w:sz="0" w:space="0" w:color="auto"/>
        <w:right w:val="none" w:sz="0" w:space="0" w:color="auto"/>
      </w:divBdr>
    </w:div>
    <w:div w:id="1906183237">
      <w:bodyDiv w:val="1"/>
      <w:marLeft w:val="0"/>
      <w:marRight w:val="0"/>
      <w:marTop w:val="0"/>
      <w:marBottom w:val="0"/>
      <w:divBdr>
        <w:top w:val="none" w:sz="0" w:space="0" w:color="auto"/>
        <w:left w:val="none" w:sz="0" w:space="0" w:color="auto"/>
        <w:bottom w:val="none" w:sz="0" w:space="0" w:color="auto"/>
        <w:right w:val="none" w:sz="0" w:space="0" w:color="auto"/>
      </w:divBdr>
    </w:div>
    <w:div w:id="1916627444">
      <w:bodyDiv w:val="1"/>
      <w:marLeft w:val="0"/>
      <w:marRight w:val="0"/>
      <w:marTop w:val="0"/>
      <w:marBottom w:val="0"/>
      <w:divBdr>
        <w:top w:val="none" w:sz="0" w:space="0" w:color="auto"/>
        <w:left w:val="none" w:sz="0" w:space="0" w:color="auto"/>
        <w:bottom w:val="none" w:sz="0" w:space="0" w:color="auto"/>
        <w:right w:val="none" w:sz="0" w:space="0" w:color="auto"/>
      </w:divBdr>
    </w:div>
    <w:div w:id="1919512241">
      <w:bodyDiv w:val="1"/>
      <w:marLeft w:val="0"/>
      <w:marRight w:val="0"/>
      <w:marTop w:val="0"/>
      <w:marBottom w:val="0"/>
      <w:divBdr>
        <w:top w:val="none" w:sz="0" w:space="0" w:color="auto"/>
        <w:left w:val="none" w:sz="0" w:space="0" w:color="auto"/>
        <w:bottom w:val="none" w:sz="0" w:space="0" w:color="auto"/>
        <w:right w:val="none" w:sz="0" w:space="0" w:color="auto"/>
      </w:divBdr>
    </w:div>
    <w:div w:id="1930311467">
      <w:bodyDiv w:val="1"/>
      <w:marLeft w:val="0"/>
      <w:marRight w:val="0"/>
      <w:marTop w:val="0"/>
      <w:marBottom w:val="0"/>
      <w:divBdr>
        <w:top w:val="none" w:sz="0" w:space="0" w:color="auto"/>
        <w:left w:val="none" w:sz="0" w:space="0" w:color="auto"/>
        <w:bottom w:val="none" w:sz="0" w:space="0" w:color="auto"/>
        <w:right w:val="none" w:sz="0" w:space="0" w:color="auto"/>
      </w:divBdr>
    </w:div>
    <w:div w:id="1934392973">
      <w:bodyDiv w:val="1"/>
      <w:marLeft w:val="0"/>
      <w:marRight w:val="0"/>
      <w:marTop w:val="0"/>
      <w:marBottom w:val="0"/>
      <w:divBdr>
        <w:top w:val="none" w:sz="0" w:space="0" w:color="auto"/>
        <w:left w:val="none" w:sz="0" w:space="0" w:color="auto"/>
        <w:bottom w:val="none" w:sz="0" w:space="0" w:color="auto"/>
        <w:right w:val="none" w:sz="0" w:space="0" w:color="auto"/>
      </w:divBdr>
    </w:div>
    <w:div w:id="1940719877">
      <w:bodyDiv w:val="1"/>
      <w:marLeft w:val="0"/>
      <w:marRight w:val="0"/>
      <w:marTop w:val="0"/>
      <w:marBottom w:val="0"/>
      <w:divBdr>
        <w:top w:val="none" w:sz="0" w:space="0" w:color="auto"/>
        <w:left w:val="none" w:sz="0" w:space="0" w:color="auto"/>
        <w:bottom w:val="none" w:sz="0" w:space="0" w:color="auto"/>
        <w:right w:val="none" w:sz="0" w:space="0" w:color="auto"/>
      </w:divBdr>
    </w:div>
    <w:div w:id="1943027881">
      <w:bodyDiv w:val="1"/>
      <w:marLeft w:val="0"/>
      <w:marRight w:val="0"/>
      <w:marTop w:val="0"/>
      <w:marBottom w:val="0"/>
      <w:divBdr>
        <w:top w:val="none" w:sz="0" w:space="0" w:color="auto"/>
        <w:left w:val="none" w:sz="0" w:space="0" w:color="auto"/>
        <w:bottom w:val="none" w:sz="0" w:space="0" w:color="auto"/>
        <w:right w:val="none" w:sz="0" w:space="0" w:color="auto"/>
      </w:divBdr>
    </w:div>
    <w:div w:id="1952128245">
      <w:bodyDiv w:val="1"/>
      <w:marLeft w:val="0"/>
      <w:marRight w:val="0"/>
      <w:marTop w:val="0"/>
      <w:marBottom w:val="0"/>
      <w:divBdr>
        <w:top w:val="none" w:sz="0" w:space="0" w:color="auto"/>
        <w:left w:val="none" w:sz="0" w:space="0" w:color="auto"/>
        <w:bottom w:val="none" w:sz="0" w:space="0" w:color="auto"/>
        <w:right w:val="none" w:sz="0" w:space="0" w:color="auto"/>
      </w:divBdr>
    </w:div>
    <w:div w:id="1955601513">
      <w:bodyDiv w:val="1"/>
      <w:marLeft w:val="0"/>
      <w:marRight w:val="0"/>
      <w:marTop w:val="0"/>
      <w:marBottom w:val="0"/>
      <w:divBdr>
        <w:top w:val="none" w:sz="0" w:space="0" w:color="auto"/>
        <w:left w:val="none" w:sz="0" w:space="0" w:color="auto"/>
        <w:bottom w:val="none" w:sz="0" w:space="0" w:color="auto"/>
        <w:right w:val="none" w:sz="0" w:space="0" w:color="auto"/>
      </w:divBdr>
    </w:div>
    <w:div w:id="1963148319">
      <w:bodyDiv w:val="1"/>
      <w:marLeft w:val="0"/>
      <w:marRight w:val="0"/>
      <w:marTop w:val="0"/>
      <w:marBottom w:val="0"/>
      <w:divBdr>
        <w:top w:val="none" w:sz="0" w:space="0" w:color="auto"/>
        <w:left w:val="none" w:sz="0" w:space="0" w:color="auto"/>
        <w:bottom w:val="none" w:sz="0" w:space="0" w:color="auto"/>
        <w:right w:val="none" w:sz="0" w:space="0" w:color="auto"/>
      </w:divBdr>
    </w:div>
    <w:div w:id="1967588098">
      <w:bodyDiv w:val="1"/>
      <w:marLeft w:val="0"/>
      <w:marRight w:val="0"/>
      <w:marTop w:val="0"/>
      <w:marBottom w:val="0"/>
      <w:divBdr>
        <w:top w:val="none" w:sz="0" w:space="0" w:color="auto"/>
        <w:left w:val="none" w:sz="0" w:space="0" w:color="auto"/>
        <w:bottom w:val="none" w:sz="0" w:space="0" w:color="auto"/>
        <w:right w:val="none" w:sz="0" w:space="0" w:color="auto"/>
      </w:divBdr>
    </w:div>
    <w:div w:id="1981377132">
      <w:bodyDiv w:val="1"/>
      <w:marLeft w:val="0"/>
      <w:marRight w:val="0"/>
      <w:marTop w:val="0"/>
      <w:marBottom w:val="0"/>
      <w:divBdr>
        <w:top w:val="none" w:sz="0" w:space="0" w:color="auto"/>
        <w:left w:val="none" w:sz="0" w:space="0" w:color="auto"/>
        <w:bottom w:val="none" w:sz="0" w:space="0" w:color="auto"/>
        <w:right w:val="none" w:sz="0" w:space="0" w:color="auto"/>
      </w:divBdr>
    </w:div>
    <w:div w:id="1997224382">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7560740">
      <w:bodyDiv w:val="1"/>
      <w:marLeft w:val="0"/>
      <w:marRight w:val="0"/>
      <w:marTop w:val="0"/>
      <w:marBottom w:val="0"/>
      <w:divBdr>
        <w:top w:val="none" w:sz="0" w:space="0" w:color="auto"/>
        <w:left w:val="none" w:sz="0" w:space="0" w:color="auto"/>
        <w:bottom w:val="none" w:sz="0" w:space="0" w:color="auto"/>
        <w:right w:val="none" w:sz="0" w:space="0" w:color="auto"/>
      </w:divBdr>
    </w:div>
    <w:div w:id="2028872691">
      <w:bodyDiv w:val="1"/>
      <w:marLeft w:val="0"/>
      <w:marRight w:val="0"/>
      <w:marTop w:val="0"/>
      <w:marBottom w:val="0"/>
      <w:divBdr>
        <w:top w:val="none" w:sz="0" w:space="0" w:color="auto"/>
        <w:left w:val="none" w:sz="0" w:space="0" w:color="auto"/>
        <w:bottom w:val="none" w:sz="0" w:space="0" w:color="auto"/>
        <w:right w:val="none" w:sz="0" w:space="0" w:color="auto"/>
      </w:divBdr>
    </w:div>
    <w:div w:id="2029796377">
      <w:bodyDiv w:val="1"/>
      <w:marLeft w:val="0"/>
      <w:marRight w:val="0"/>
      <w:marTop w:val="0"/>
      <w:marBottom w:val="0"/>
      <w:divBdr>
        <w:top w:val="none" w:sz="0" w:space="0" w:color="auto"/>
        <w:left w:val="none" w:sz="0" w:space="0" w:color="auto"/>
        <w:bottom w:val="none" w:sz="0" w:space="0" w:color="auto"/>
        <w:right w:val="none" w:sz="0" w:space="0" w:color="auto"/>
      </w:divBdr>
    </w:div>
    <w:div w:id="2053309757">
      <w:bodyDiv w:val="1"/>
      <w:marLeft w:val="0"/>
      <w:marRight w:val="0"/>
      <w:marTop w:val="0"/>
      <w:marBottom w:val="0"/>
      <w:divBdr>
        <w:top w:val="none" w:sz="0" w:space="0" w:color="auto"/>
        <w:left w:val="none" w:sz="0" w:space="0" w:color="auto"/>
        <w:bottom w:val="none" w:sz="0" w:space="0" w:color="auto"/>
        <w:right w:val="none" w:sz="0" w:space="0" w:color="auto"/>
      </w:divBdr>
    </w:div>
    <w:div w:id="2062778036">
      <w:bodyDiv w:val="1"/>
      <w:marLeft w:val="0"/>
      <w:marRight w:val="0"/>
      <w:marTop w:val="0"/>
      <w:marBottom w:val="0"/>
      <w:divBdr>
        <w:top w:val="none" w:sz="0" w:space="0" w:color="auto"/>
        <w:left w:val="none" w:sz="0" w:space="0" w:color="auto"/>
        <w:bottom w:val="none" w:sz="0" w:space="0" w:color="auto"/>
        <w:right w:val="none" w:sz="0" w:space="0" w:color="auto"/>
      </w:divBdr>
    </w:div>
    <w:div w:id="2066443703">
      <w:bodyDiv w:val="1"/>
      <w:marLeft w:val="0"/>
      <w:marRight w:val="0"/>
      <w:marTop w:val="0"/>
      <w:marBottom w:val="0"/>
      <w:divBdr>
        <w:top w:val="none" w:sz="0" w:space="0" w:color="auto"/>
        <w:left w:val="none" w:sz="0" w:space="0" w:color="auto"/>
        <w:bottom w:val="none" w:sz="0" w:space="0" w:color="auto"/>
        <w:right w:val="none" w:sz="0" w:space="0" w:color="auto"/>
      </w:divBdr>
    </w:div>
    <w:div w:id="2068531322">
      <w:bodyDiv w:val="1"/>
      <w:marLeft w:val="0"/>
      <w:marRight w:val="0"/>
      <w:marTop w:val="0"/>
      <w:marBottom w:val="0"/>
      <w:divBdr>
        <w:top w:val="none" w:sz="0" w:space="0" w:color="auto"/>
        <w:left w:val="none" w:sz="0" w:space="0" w:color="auto"/>
        <w:bottom w:val="none" w:sz="0" w:space="0" w:color="auto"/>
        <w:right w:val="none" w:sz="0" w:space="0" w:color="auto"/>
      </w:divBdr>
    </w:div>
    <w:div w:id="2071030825">
      <w:bodyDiv w:val="1"/>
      <w:marLeft w:val="0"/>
      <w:marRight w:val="0"/>
      <w:marTop w:val="0"/>
      <w:marBottom w:val="0"/>
      <w:divBdr>
        <w:top w:val="none" w:sz="0" w:space="0" w:color="auto"/>
        <w:left w:val="none" w:sz="0" w:space="0" w:color="auto"/>
        <w:bottom w:val="none" w:sz="0" w:space="0" w:color="auto"/>
        <w:right w:val="none" w:sz="0" w:space="0" w:color="auto"/>
      </w:divBdr>
    </w:div>
    <w:div w:id="2072457610">
      <w:bodyDiv w:val="1"/>
      <w:marLeft w:val="0"/>
      <w:marRight w:val="0"/>
      <w:marTop w:val="0"/>
      <w:marBottom w:val="0"/>
      <w:divBdr>
        <w:top w:val="none" w:sz="0" w:space="0" w:color="auto"/>
        <w:left w:val="none" w:sz="0" w:space="0" w:color="auto"/>
        <w:bottom w:val="none" w:sz="0" w:space="0" w:color="auto"/>
        <w:right w:val="none" w:sz="0" w:space="0" w:color="auto"/>
      </w:divBdr>
    </w:div>
    <w:div w:id="2074234059">
      <w:bodyDiv w:val="1"/>
      <w:marLeft w:val="0"/>
      <w:marRight w:val="0"/>
      <w:marTop w:val="0"/>
      <w:marBottom w:val="0"/>
      <w:divBdr>
        <w:top w:val="none" w:sz="0" w:space="0" w:color="auto"/>
        <w:left w:val="none" w:sz="0" w:space="0" w:color="auto"/>
        <w:bottom w:val="none" w:sz="0" w:space="0" w:color="auto"/>
        <w:right w:val="none" w:sz="0" w:space="0" w:color="auto"/>
      </w:divBdr>
    </w:div>
    <w:div w:id="2075279224">
      <w:bodyDiv w:val="1"/>
      <w:marLeft w:val="0"/>
      <w:marRight w:val="0"/>
      <w:marTop w:val="0"/>
      <w:marBottom w:val="0"/>
      <w:divBdr>
        <w:top w:val="none" w:sz="0" w:space="0" w:color="auto"/>
        <w:left w:val="none" w:sz="0" w:space="0" w:color="auto"/>
        <w:bottom w:val="none" w:sz="0" w:space="0" w:color="auto"/>
        <w:right w:val="none" w:sz="0" w:space="0" w:color="auto"/>
      </w:divBdr>
    </w:div>
    <w:div w:id="2078354281">
      <w:bodyDiv w:val="1"/>
      <w:marLeft w:val="0"/>
      <w:marRight w:val="0"/>
      <w:marTop w:val="0"/>
      <w:marBottom w:val="0"/>
      <w:divBdr>
        <w:top w:val="none" w:sz="0" w:space="0" w:color="auto"/>
        <w:left w:val="none" w:sz="0" w:space="0" w:color="auto"/>
        <w:bottom w:val="none" w:sz="0" w:space="0" w:color="auto"/>
        <w:right w:val="none" w:sz="0" w:space="0" w:color="auto"/>
      </w:divBdr>
    </w:div>
    <w:div w:id="208275096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1929184">
      <w:bodyDiv w:val="1"/>
      <w:marLeft w:val="0"/>
      <w:marRight w:val="0"/>
      <w:marTop w:val="0"/>
      <w:marBottom w:val="0"/>
      <w:divBdr>
        <w:top w:val="none" w:sz="0" w:space="0" w:color="auto"/>
        <w:left w:val="none" w:sz="0" w:space="0" w:color="auto"/>
        <w:bottom w:val="none" w:sz="0" w:space="0" w:color="auto"/>
        <w:right w:val="none" w:sz="0" w:space="0" w:color="auto"/>
      </w:divBdr>
    </w:div>
    <w:div w:id="2096242898">
      <w:bodyDiv w:val="1"/>
      <w:marLeft w:val="0"/>
      <w:marRight w:val="0"/>
      <w:marTop w:val="0"/>
      <w:marBottom w:val="0"/>
      <w:divBdr>
        <w:top w:val="none" w:sz="0" w:space="0" w:color="auto"/>
        <w:left w:val="none" w:sz="0" w:space="0" w:color="auto"/>
        <w:bottom w:val="none" w:sz="0" w:space="0" w:color="auto"/>
        <w:right w:val="none" w:sz="0" w:space="0" w:color="auto"/>
      </w:divBdr>
    </w:div>
    <w:div w:id="2100904359">
      <w:bodyDiv w:val="1"/>
      <w:marLeft w:val="0"/>
      <w:marRight w:val="0"/>
      <w:marTop w:val="0"/>
      <w:marBottom w:val="0"/>
      <w:divBdr>
        <w:top w:val="none" w:sz="0" w:space="0" w:color="auto"/>
        <w:left w:val="none" w:sz="0" w:space="0" w:color="auto"/>
        <w:bottom w:val="none" w:sz="0" w:space="0" w:color="auto"/>
        <w:right w:val="none" w:sz="0" w:space="0" w:color="auto"/>
      </w:divBdr>
    </w:div>
    <w:div w:id="2101019684">
      <w:bodyDiv w:val="1"/>
      <w:marLeft w:val="0"/>
      <w:marRight w:val="0"/>
      <w:marTop w:val="0"/>
      <w:marBottom w:val="0"/>
      <w:divBdr>
        <w:top w:val="none" w:sz="0" w:space="0" w:color="auto"/>
        <w:left w:val="none" w:sz="0" w:space="0" w:color="auto"/>
        <w:bottom w:val="none" w:sz="0" w:space="0" w:color="auto"/>
        <w:right w:val="none" w:sz="0" w:space="0" w:color="auto"/>
      </w:divBdr>
    </w:div>
    <w:div w:id="2104717331">
      <w:bodyDiv w:val="1"/>
      <w:marLeft w:val="0"/>
      <w:marRight w:val="0"/>
      <w:marTop w:val="0"/>
      <w:marBottom w:val="0"/>
      <w:divBdr>
        <w:top w:val="none" w:sz="0" w:space="0" w:color="auto"/>
        <w:left w:val="none" w:sz="0" w:space="0" w:color="auto"/>
        <w:bottom w:val="none" w:sz="0" w:space="0" w:color="auto"/>
        <w:right w:val="none" w:sz="0" w:space="0" w:color="auto"/>
      </w:divBdr>
    </w:div>
    <w:div w:id="211039527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587506">
      <w:bodyDiv w:val="1"/>
      <w:marLeft w:val="0"/>
      <w:marRight w:val="0"/>
      <w:marTop w:val="0"/>
      <w:marBottom w:val="0"/>
      <w:divBdr>
        <w:top w:val="none" w:sz="0" w:space="0" w:color="auto"/>
        <w:left w:val="none" w:sz="0" w:space="0" w:color="auto"/>
        <w:bottom w:val="none" w:sz="0" w:space="0" w:color="auto"/>
        <w:right w:val="none" w:sz="0" w:space="0" w:color="auto"/>
      </w:divBdr>
    </w:div>
    <w:div w:id="2118865523">
      <w:bodyDiv w:val="1"/>
      <w:marLeft w:val="0"/>
      <w:marRight w:val="0"/>
      <w:marTop w:val="0"/>
      <w:marBottom w:val="0"/>
      <w:divBdr>
        <w:top w:val="none" w:sz="0" w:space="0" w:color="auto"/>
        <w:left w:val="none" w:sz="0" w:space="0" w:color="auto"/>
        <w:bottom w:val="none" w:sz="0" w:space="0" w:color="auto"/>
        <w:right w:val="none" w:sz="0" w:space="0" w:color="auto"/>
      </w:divBdr>
    </w:div>
    <w:div w:id="2123067973">
      <w:bodyDiv w:val="1"/>
      <w:marLeft w:val="0"/>
      <w:marRight w:val="0"/>
      <w:marTop w:val="0"/>
      <w:marBottom w:val="0"/>
      <w:divBdr>
        <w:top w:val="none" w:sz="0" w:space="0" w:color="auto"/>
        <w:left w:val="none" w:sz="0" w:space="0" w:color="auto"/>
        <w:bottom w:val="none" w:sz="0" w:space="0" w:color="auto"/>
        <w:right w:val="none" w:sz="0" w:space="0" w:color="auto"/>
      </w:divBdr>
    </w:div>
    <w:div w:id="2130200530">
      <w:bodyDiv w:val="1"/>
      <w:marLeft w:val="0"/>
      <w:marRight w:val="0"/>
      <w:marTop w:val="0"/>
      <w:marBottom w:val="0"/>
      <w:divBdr>
        <w:top w:val="none" w:sz="0" w:space="0" w:color="auto"/>
        <w:left w:val="none" w:sz="0" w:space="0" w:color="auto"/>
        <w:bottom w:val="none" w:sz="0" w:space="0" w:color="auto"/>
        <w:right w:val="none" w:sz="0" w:space="0" w:color="auto"/>
      </w:divBdr>
    </w:div>
    <w:div w:id="2130469446">
      <w:bodyDiv w:val="1"/>
      <w:marLeft w:val="0"/>
      <w:marRight w:val="0"/>
      <w:marTop w:val="0"/>
      <w:marBottom w:val="0"/>
      <w:divBdr>
        <w:top w:val="none" w:sz="0" w:space="0" w:color="auto"/>
        <w:left w:val="none" w:sz="0" w:space="0" w:color="auto"/>
        <w:bottom w:val="none" w:sz="0" w:space="0" w:color="auto"/>
        <w:right w:val="none" w:sz="0" w:space="0" w:color="auto"/>
      </w:divBdr>
    </w:div>
    <w:div w:id="2131774306">
      <w:bodyDiv w:val="1"/>
      <w:marLeft w:val="0"/>
      <w:marRight w:val="0"/>
      <w:marTop w:val="0"/>
      <w:marBottom w:val="0"/>
      <w:divBdr>
        <w:top w:val="none" w:sz="0" w:space="0" w:color="auto"/>
        <w:left w:val="none" w:sz="0" w:space="0" w:color="auto"/>
        <w:bottom w:val="none" w:sz="0" w:space="0" w:color="auto"/>
        <w:right w:val="none" w:sz="0" w:space="0" w:color="auto"/>
      </w:divBdr>
    </w:div>
    <w:div w:id="2132505682">
      <w:bodyDiv w:val="1"/>
      <w:marLeft w:val="0"/>
      <w:marRight w:val="0"/>
      <w:marTop w:val="0"/>
      <w:marBottom w:val="0"/>
      <w:divBdr>
        <w:top w:val="none" w:sz="0" w:space="0" w:color="auto"/>
        <w:left w:val="none" w:sz="0" w:space="0" w:color="auto"/>
        <w:bottom w:val="none" w:sz="0" w:space="0" w:color="auto"/>
        <w:right w:val="none" w:sz="0" w:space="0" w:color="auto"/>
      </w:divBdr>
    </w:div>
    <w:div w:id="214099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onr.org.uk/publications/regulatory-guidance/"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271A4"/>
    <w:rsid w:val="0025228A"/>
    <w:rsid w:val="00252452"/>
    <w:rsid w:val="002550FD"/>
    <w:rsid w:val="00350199"/>
    <w:rsid w:val="00393E0D"/>
    <w:rsid w:val="00476008"/>
    <w:rsid w:val="004C2BEE"/>
    <w:rsid w:val="0054669D"/>
    <w:rsid w:val="00556AC3"/>
    <w:rsid w:val="005802B5"/>
    <w:rsid w:val="007154C5"/>
    <w:rsid w:val="00780C80"/>
    <w:rsid w:val="00792BD5"/>
    <w:rsid w:val="007B48B4"/>
    <w:rsid w:val="0082164B"/>
    <w:rsid w:val="00835E07"/>
    <w:rsid w:val="009047C7"/>
    <w:rsid w:val="00972B41"/>
    <w:rsid w:val="009C7885"/>
    <w:rsid w:val="00A13F80"/>
    <w:rsid w:val="00B5734B"/>
    <w:rsid w:val="00C74C16"/>
    <w:rsid w:val="00CA10A9"/>
    <w:rsid w:val="00CD10A9"/>
    <w:rsid w:val="00D75606"/>
    <w:rsid w:val="00DB4022"/>
    <w:rsid w:val="00DC2222"/>
    <w:rsid w:val="00DD7BA4"/>
    <w:rsid w:val="00E24D23"/>
    <w:rsid w:val="00E27D6B"/>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ONR15</b:Tag>
    <b:SourceType>DocumentFromInternetSite</b:SourceType>
    <b:Guid>{C25280EE-0B1E-4168-A543-EB4894DECB8D}</b:Guid>
    <b:Author>
      <b:Author>
        <b:Corporate>ONR, EA</b:Corporate>
      </b:Author>
    </b:Author>
    <b:Title>Memorandum of Understanding between ONR and EA on matters of mutual interest in England</b:Title>
    <b:Year>2015</b:Year>
    <b:URL>http://www.onr.org.uk/documents/2015/mou-onr-ea-180815.pdf</b:URL>
    <b:Month>August</b:Month>
    <b:RefOrder>2</b:RefOrder>
  </b:Source>
  <b:Source>
    <b:Tag>ONR19</b:Tag>
    <b:SourceType>DocumentFromInternetSite</b:SourceType>
    <b:Guid>{62E12B32-7EF5-4BC9-A4B4-22AB037495D9}</b:Guid>
    <b:Author>
      <b:Author>
        <b:Corporate>ONR, SEPA</b:Corporate>
      </b:Author>
    </b:Author>
    <b:Title>Memorandum of Understanding between ONR and SEPA on matters of mutual interest in Scotland</b:Title>
    <b:Year>2019</b:Year>
    <b:URL>http://www.onr.org.uk/documents/2019/mou-onr-sepa.pdf</b:URL>
    <b:Month>January</b:Month>
    <b:RefOrder>3</b:RefOrder>
  </b:Source>
  <b:Source>
    <b:Tag>ONR151</b:Tag>
    <b:SourceType>DocumentFromInternetSite</b:SourceType>
    <b:Guid>{843D952A-0A29-4F54-BB00-5B820C44A7ED}</b:Guid>
    <b:Author>
      <b:Author>
        <b:Corporate>ONR, NRW</b:Corporate>
      </b:Author>
    </b:Author>
    <b:Title>Memorandum of Understanding between ONR and NRW on matters of mutual interest in Wales</b:Title>
    <b:Year>2015</b:Year>
    <b:URL>http://www.onr.org.uk/documents/2015/nrw-mou.pdf</b:URL>
    <b:Month>February</b:Month>
    <b:RefOrder>4</b:RefOrder>
  </b:Source>
  <b:Source>
    <b:Tag>ONR172</b:Tag>
    <b:SourceType>DocumentFromInternetSite</b:SourceType>
    <b:Guid>{286BB9D3-7571-4E30-8AE6-ADBACE54C96B}</b:Guid>
    <b:Author>
      <b:Author>
        <b:Corporate>ONR</b:Corporate>
      </b:Author>
    </b:Author>
    <b:Title>Licence Condition Handbook</b:Title>
    <b:Year>2017</b:Year>
    <b:Month>February</b:Month>
    <b:URL>http://www.onr.org.uk/documents/licence-condition-handbook.pdf</b:URL>
    <b:RefOrder>8</b:RefOrder>
  </b:Source>
  <b:Source>
    <b:Tag>Off20</b:Tag>
    <b:SourceType>DocumentFromInternetSite</b:SourceType>
    <b:Guid>{87E1BE88-119F-4944-BC11-610B66284AAF}</b:Guid>
    <b:Title>Safety Assessment Principles for Nuclear Facilities. 2014 Edition Revision 1, Office for Nuclear Regulation</b:Title>
    <b:Year>2020</b:Year>
    <b:Month>January</b:Month>
    <b:URL>www.onr.org.uk/saps/saps2014.pdf</b:URL>
    <b:Author>
      <b:Author>
        <b:Corporate>ONR</b:Corporate>
      </b:Author>
    </b:Author>
    <b:RefOrder>1</b:RefOrder>
  </b:Source>
  <b:Source>
    <b:Tag>BEI181</b:Tag>
    <b:SourceType>DocumentFromInternetSite</b:SourceType>
    <b:Guid>{173DF14E-872B-4B6E-BA4D-A66F12F1E330}</b:Guid>
    <b:Author>
      <b:Author>
        <b:Corporate>BEIS</b:Corporate>
      </b:Author>
    </b:Author>
    <b:Title>Environmental Protection Act 1990: Part IIA Contaminated Land - Radioactive Contaminated Land Statutory Guidance</b:Title>
    <b:Year>2018</b:Year>
    <b:Month>June</b:Month>
    <b:URL>https://assets.publishing.service.gov.uk/government/uploads/system/uploads/attachment_data/file/718848/RCL_Statutory_Guidance_Final_220618.pdf</b:URL>
    <b:RefOrder>13</b:RefOrder>
  </b:Source>
  <b:Source>
    <b:Tag>Sco10</b:Tag>
    <b:SourceType>DocumentFromInternetSite</b:SourceType>
    <b:Guid>{0D5C5B9E-EBAB-4286-A698-886F348D0B14}</b:Guid>
    <b:Author>
      <b:Author>
        <b:Corporate>Scottish Government</b:Corporate>
      </b:Author>
    </b:Author>
    <b:Title>Environmental Protection Act 1990: Part IIA Contaminated Land - Radioactive Contaminated Land (Scotland) Amendment Regulations 2009 Statutory Guidance</b:Title>
    <b:Year>2010</b:Year>
    <b:Month>March</b:Month>
    <b:URL>https://www.gov.scot/publications/radioactive-contaminated-land-scotland-amendment-regulations-2009-statutory-guidance/pages/1/</b:URL>
    <b:RefOrder>14</b:RefOrder>
  </b:Source>
  <b:Source>
    <b:Tag>Wel12</b:Tag>
    <b:SourceType>DocumentFromInternetSite</b:SourceType>
    <b:Guid>{9E5BCA70-A31D-49AE-A06B-A624840B125A}</b:Guid>
    <b:Author>
      <b:Author>
        <b:Corporate>Welsh Government</b:Corporate>
      </b:Author>
    </b:Author>
    <b:Title>Radioactive Contaminated Land Statutory Guidance for Wales</b:Title>
    <b:Year>2012</b:Year>
    <b:URL>https://gov.wales/sites/default/files/publications/2019-07/rclguidance0613.pdf</b:URL>
    <b:RefOrder>15</b:RefOrder>
  </b:Source>
  <b:Source>
    <b:Tag>DEF10</b:Tag>
    <b:SourceType>DocumentFromInternetSite</b:SourceType>
    <b:Guid>{6DF68A92-3665-47F1-BE5A-78A7044E5F25}</b:Guid>
    <b:Author>
      <b:Author>
        <b:Corporate>DEFRA</b:Corporate>
      </b:Author>
    </b:Author>
    <b:Title>Environmental Permitting Guidance - Groundwater Activities; guidance for the Environmental Permitting (England and Wales) Regulations </b:Title>
    <b:Year>2010</b:Year>
    <b:Month>December</b:Month>
    <b:URL>https://assets.publishing.service.gov.uk/government/uploads/system/uploads/attachment_data/file/69474/pb13555-ep-groundwater-activities-101221.pdf</b:URL>
    <b:RefOrder>17</b:RefOrder>
  </b:Source>
  <b:Source>
    <b:Tag>ONR14</b:Tag>
    <b:SourceType>DocumentFromInternetSite</b:SourceType>
    <b:Guid>{ADE11A98-EAD3-4A08-ACD3-BA2D8BBFC60E}</b:Guid>
    <b:Author>
      <b:Author>
        <b:Corporate>ONR, EA, NRW, SEPA</b:Corporate>
      </b:Author>
    </b:Author>
    <b:Title>Regulatory Expectations for Successful Land Quality Management at Nuclear Licensed Sites</b:Title>
    <b:Year>2014</b:Year>
    <b:Month>June</b:Month>
    <b:URL>www.onr.org.uk/documents/2014/land-quality-management.pdf</b:URL>
    <b:RefOrder>11</b:RefOrder>
  </b:Source>
  <b:Source>
    <b:Tag>INC07</b:Tag>
    <b:SourceType>DocumentFromInternetSite</b:SourceType>
    <b:Guid>{86EC9A1E-A15B-4A65-BE34-ED9E8A2D2141}</b:Guid>
    <b:Author>
      <b:Author>
        <b:Corporate>ICRP</b:Corporate>
      </b:Author>
    </b:Author>
    <b:Title>The 2007 Recommendations of the International Commission on Radiological Protection (ICRP) Publication 103 Ann. ICRP 37 (2-4)</b:Title>
    <b:Year>2007</b:Year>
    <b:URL>https://www.icrp.org/publication.asp?id=ICRP%20Publication%20103</b:URL>
    <b:RefOrder>16</b:RefOrder>
  </b:Source>
  <b:Source>
    <b:Tag>EAS18</b:Tag>
    <b:SourceType>DocumentFromInternetSite</b:SourceType>
    <b:Guid>{5CCFA255-813B-4C26-AC48-569834477386}</b:Guid>
    <b:Author>
      <b:Author>
        <b:Corporate>EA, SEPA, NRW</b:Corporate>
      </b:Author>
    </b:Author>
    <b:Title>Management of radioactive waste from decommissioning of nuclear sites: Guidance on Requirements for Release from Radioactive Substances Regulation, Version 1.0</b:Title>
    <b:Year>2018</b:Year>
    <b:Month>July</b:Month>
    <b:URL>www.sepa.org.uk/regulations/radioactive-substances/nuclear-industry</b:URL>
    <b:RefOrder>20</b:RefOrder>
  </b:Source>
  <b:Source>
    <b:Tag>ONR212</b:Tag>
    <b:SourceType>DocumentFromInternetSite</b:SourceType>
    <b:Guid>{29652EAD-6BAD-4C47-8551-08DDBAA6CA12}</b:Guid>
    <b:Author>
      <b:Author>
        <b:Corporate>ONR, EA, SEPA, NRW</b:Corporate>
      </b:Author>
    </b:Author>
    <b:Title>On-site disposal of solid radioactive waste on nuclear licensed sites. Joint regulators' statement of common understanding</b:Title>
    <b:Year>2021</b:Year>
    <b:Month>February</b:Month>
    <b:URL>http://www.onr.org.uk/documents/2021/joint-regulators-statement.pdf</b:URL>
    <b:RefOrder>12</b:RefOrder>
  </b:Source>
  <b:Source>
    <b:Tag>SAF</b:Tag>
    <b:SourceType>DocumentFromInternetSite</b:SourceType>
    <b:Guid>{7F7181FB-0490-4B37-9E93-5D12D91A8BEF}</b:Guid>
    <b:Author>
      <b:Author>
        <b:Corporate>SAFEGROUNDS</b:Corporate>
      </b:Author>
    </b:Author>
    <b:Title>SAFEGROUNDS and SD:SPUR guidance and information</b:Title>
    <b:URL>http://www.safegrounds.com/guidance.htm</b:URL>
    <b:RefOrder>42</b:RefOrder>
  </b:Source>
  <b:Source>
    <b:Tag>Dri20</b:Tag>
    <b:SourceType>DocumentFromInternetSite</b:SourceType>
    <b:Guid>{5617A88D-A255-4723-8F2D-9E49FB4D8F63}</b:Guid>
    <b:Author>
      <b:Author>
        <b:Corporate>Drinking Water Inspectorate</b:Corporate>
      </b:Author>
    </b:Author>
    <b:Title>Guidance on the implementation of the Water Supply (Water Quality) Regulations 2016 (as amended) in England and the Water Supply (Water Quality) Regulations (Wales) 2018, Version 3.0</b:Title>
    <b:Year>2020</b:Year>
    <b:Month>April</b:Month>
    <b:URL>https://www.dwi.gov.uk/water-companies/guidance-and-codes-of-practice/guidance-on-implementing-the-water-supply-water-quality-regulations/</b:URL>
    <b:RefOrder>45</b:RefOrder>
  </b:Source>
  <b:Source>
    <b:Tag>Wor11</b:Tag>
    <b:SourceType>DocumentFromInternetSite</b:SourceType>
    <b:Guid>{58DA0E04-9DDB-4846-A036-AA7F492EC9CE}</b:Guid>
    <b:Author>
      <b:Author>
        <b:Corporate>World Health Organisation</b:Corporate>
      </b:Author>
    </b:Author>
    <b:Title>Guidelines for drinking-water quality, 4th edition</b:Title>
    <b:Year>2011</b:Year>
    <b:URL>https://www.who.int/publications/i/item/9789241549950</b:URL>
    <b:RefOrder>46</b:RefOrder>
  </b:Source>
  <b:Source>
    <b:Tag>UKG18</b:Tag>
    <b:SourceType>DocumentFromInternetSite</b:SourceType>
    <b:Guid>{AE52123A-AC07-46DA-AB76-EAF38FD41FC4}</b:Guid>
    <b:Author>
      <b:Author>
        <b:Corporate>UK Government</b:Corporate>
      </b:Author>
    </b:Author>
    <b:Title>Guidance on the scope of and exemptions from the radioactive substances legislation in the UK</b:Title>
    <b:Year>2018</b:Year>
    <b:Month>August</b:Month>
    <b:URL>https://www.gov.uk/government/publications/guidance-on-the-scope-of-and-exemptions-from-the-radioactive-substances-legislation-in-the-uk</b:URL>
    <b:RefOrder>9</b:RefOrder>
  </b:Source>
  <b:Source>
    <b:Tag>ONR18</b:Tag>
    <b:SourceType>DocumentFromInternetSite</b:SourceType>
    <b:Guid>{EA1471EE-0989-44CB-B2F4-18DD09A56BA9}</b:Guid>
    <b:Author>
      <b:Author>
        <b:Corporate>ONR</b:Corporate>
      </b:Author>
    </b:Author>
    <b:Title>ONR-INSP-GD-061 - Guidance to support the Joint Regulatory Memorandum of Understanding between ONR and EA on Matters of Mutual Interest in England</b:Title>
    <b:RefOrder>5</b:RefOrder>
  </b:Source>
  <b:Source>
    <b:Tag>ONR191</b:Tag>
    <b:SourceType>DocumentFromInternetSite</b:SourceType>
    <b:Guid>{AE4F0B03-834D-4B0F-AB03-2EF17323D018}</b:Guid>
    <b:Author>
      <b:Author>
        <b:Corporate>ONR</b:Corporate>
      </b:Author>
    </b:Author>
    <b:Title>ONR-INSP-GD-062 - Guidance to support the Joint Regulatory Memorandum of Understanding between ONR and SEPA on Matters of Mutual Interest in England</b:Title>
    <b:RefOrder>6</b:RefOrder>
  </b:Source>
  <b:Source>
    <b:Tag>ONR192</b:Tag>
    <b:SourceType>DocumentFromInternetSite</b:SourceType>
    <b:Guid>{D2669983-2F18-4C23-87C9-14A190DB68BC}</b:Guid>
    <b:Author>
      <b:Author>
        <b:Corporate>ONR</b:Corporate>
      </b:Author>
    </b:Author>
    <b:Title>ONR-INSP-GD-063 - Guidance to support the Joint Regulatory Memorandum of Understanding between ONR and NRW on Matters of Mutual Interest in England</b:Title>
    <b:RefOrder>7</b:RefOrder>
  </b:Source>
  <b:Source>
    <b:Tag>ONR16</b:Tag>
    <b:SourceType>DocumentFromInternetSite</b:SourceType>
    <b:Guid>{298B4D86-D6F4-46A6-BFB2-848F5EA9F82F}</b:Guid>
    <b:Author>
      <b:Author>
        <b:Corporate>ONR</b:Corporate>
      </b:Author>
    </b:Author>
    <b:Title>NS-TAST-GD-005 - Regulation duties to reduce risks to ALARP</b:Title>
    <b:RefOrder>10</b:RefOrder>
  </b:Source>
  <b:Source>
    <b:Tag>ONR286</b:Tag>
    <b:SourceType>DocumentFromInternetSite</b:SourceType>
    <b:Guid>{9A310C3C-1F6B-49F9-A928-A56642A03698}</b:Guid>
    <b:Author>
      <b:Author>
        <b:Corporate>ONR</b:Corporate>
      </b:Author>
    </b:Author>
    <b:Title>NS-PER-POL-001 - ONR Criterion for Delicensing Nuclear Sites</b:Title>
    <b:URL>https://www.onr.org.uk/media/thijflmf/ns-per-pol-001.pdf</b:URL>
    <b:RefOrder>18</b:RefOrder>
  </b:Source>
  <b:Source>
    <b:Tag>ONR287</b:Tag>
    <b:SourceType>InternetSite</b:SourceType>
    <b:Guid>{D8488EEA-B93F-4259-A29F-E12FA4577399}</b:Guid>
    <b:Author>
      <b:Author>
        <b:Corporate>ONR</b:Corporate>
      </b:Author>
    </b:Author>
    <b:Title>NS-PER-GD-019 - Guidance to inspectors on the interpretation and implementation of the ONR criterion</b:Title>
    <b:RefOrder>19</b:RefOrder>
  </b:Source>
  <b:Source>
    <b:Tag>ONR128</b:Tag>
    <b:SourceType>ElectronicSource</b:SourceType>
    <b:Guid>{9C2D4C5F-B9BE-46CE-AE5B-28D0E14FAEC9}</b:Guid>
    <b:Author>
      <b:Author>
        <b:Corporate>ONR</b:Corporate>
      </b:Author>
    </b:Author>
    <b:Title>NS-TAST-GD-009 - Examination, Inspection, Maintenance and Testing of Items Important to Safety</b:Title>
    <b:RefOrder>21</b:RefOrder>
  </b:Source>
  <b:Source>
    <b:Tag>ONR533</b:Tag>
    <b:SourceType>ElectronicSource</b:SourceType>
    <b:Guid>{1ECC5BD3-68FC-4083-9ECA-805A6A006EE9}</b:Guid>
    <b:Author>
      <b:Author>
        <b:Corporate>ONR</b:Corporate>
      </b:Author>
    </b:Author>
    <b:Title>NS-TAST-GD-023 - Control of Processes Involving Nuclear Matter</b:Title>
    <b:RefOrder>22</b:RefOrder>
  </b:Source>
  <b:Source>
    <b:Tag>ONR472</b:Tag>
    <b:SourceType>ElectronicSource</b:SourceType>
    <b:Guid>{4C20E032-C6F4-4A3C-9B1A-9D7100E2EE54}</b:Guid>
    <b:Title>NS-TAST-GD-024 - Management of Radioactive Materials and Radioactive Waste on Nuclear Licensed Sites</b:Title>
    <b:Author>
      <b:Author>
        <b:Corporate>ONR</b:Corporate>
      </b:Author>
    </b:Author>
    <b:RefOrder>23</b:RefOrder>
  </b:Source>
  <b:Source>
    <b:Tag>ONR156</b:Tag>
    <b:SourceType>DocumentFromInternetSite</b:SourceType>
    <b:Guid>{12371A95-E51B-4C65-A03A-4FEC55A4BDA5}</b:Guid>
    <b:Author>
      <b:Author>
        <b:Corporate>ONR</b:Corporate>
      </b:Author>
    </b:Author>
    <b:Title>NS-TAST-GD-026 - Decommissioning</b:Title>
    <b:RefOrder>24</b:RefOrder>
  </b:Source>
  <b:Source>
    <b:Tag>ONR23</b:Tag>
    <b:SourceType>InternetSite</b:SourceType>
    <b:Guid>{087A54F3-8111-42B9-B3B7-E70BF48F303F}</b:Guid>
    <b:Author>
      <b:Author>
        <b:Corporate>ONR</b:Corporate>
      </b:Author>
    </b:Author>
    <b:Title>NS-TAST-GD-033 - Management of Records</b:Title>
    <b:RefOrder>25</b:RefOrder>
  </b:Source>
  <b:Source>
    <b:Tag>ONR158</b:Tag>
    <b:SourceType>ElectronicSource</b:SourceType>
    <b:Guid>{683313D4-4A80-4F72-8884-6987D0FF17D8}</b:Guid>
    <b:Author>
      <b:Author>
        <b:Corporate>ONR</b:Corporate>
      </b:Author>
    </b:Author>
    <b:Title>NS-TAST-GD-038 - Radiological Protection</b:Title>
    <b:RefOrder>26</b:RefOrder>
  </b:Source>
  <b:Source>
    <b:Tag>IAE1410</b:Tag>
    <b:SourceType>InternetSite</b:SourceType>
    <b:Guid>{5F3A2238-D40A-4957-A988-F3F9AB678608}</b:Guid>
    <b:Title>Safety Standards Series No. GSR Part 3 - Radiation Protection and Safety of Radiation Sources: International Basic Safety Standards</b:Title>
    <b:Year>2014</b:Year>
    <b:Author>
      <b:Author>
        <b:Corporate>IAEA</b:Corporate>
      </b:Author>
    </b:Author>
    <b:URL>https://www.iaea.org/publications/8930/radiation-protection-and-safety-of-radiation-sources-international-basic-safety-standards</b:URL>
    <b:RefOrder>27</b:RefOrder>
  </b:Source>
  <b:Source>
    <b:Tag>IAE1619</b:Tag>
    <b:SourceType>InternetSite</b:SourceType>
    <b:Guid>{C0CB8C46-4D33-4209-8D8A-63E6ACF25585}</b:Guid>
    <b:Author>
      <b:Author>
        <b:Corporate>IAEA</b:Corporate>
      </b:Author>
    </b:Author>
    <b:Title>Safety Standards Series No. GSR Part 4 (Rev. 1) - Safety Assessment for Facilities and Activities</b:Title>
    <b:Year>2016</b:Year>
    <b:URL>https://www.iaea.org/publications/10884/safety-assessment-for-facilities-and-activities</b:URL>
    <b:RefOrder>28</b:RefOrder>
  </b:Source>
  <b:Source>
    <b:Tag>IAE097</b:Tag>
    <b:SourceType>InternetSite</b:SourceType>
    <b:Guid>{941A5F8F-7814-4BFD-A295-6A96B2E408F5}</b:Guid>
    <b:Author>
      <b:Author>
        <b:Corporate>IAEA</b:Corporate>
      </b:Author>
    </b:Author>
    <b:Title>Safety Standards Series No. GSR Part 5 - Predisposal Management of Radioactive Waste</b:Title>
    <b:Year>2009</b:Year>
    <b:URL>https://www.iaea.org/publications/8004/predisposal-management-of-radioactive-waste</b:URL>
    <b:RefOrder>29</b:RefOrder>
  </b:Source>
  <b:Source>
    <b:Tag>IAE1411</b:Tag>
    <b:SourceType>InternetSite</b:SourceType>
    <b:Guid>{8482B897-A42B-4031-88DA-7D569AA6CCE5}</b:Guid>
    <b:Author>
      <b:Author>
        <b:Corporate>IAEA</b:Corporate>
      </b:Author>
    </b:Author>
    <b:Title>Safety Standards Series No. GSR Part 6 - Decommissioning of Facilities</b:Title>
    <b:Year>2014</b:Year>
    <b:URL>https://www.iaea.org/publications/10676/decommissioning-of-facilities</b:URL>
    <b:RefOrder>30</b:RefOrder>
  </b:Source>
  <b:Source>
    <b:Tag>ONR89</b:Tag>
    <b:SourceType>ElectronicSource</b:SourceType>
    <b:Guid>{E47E9A1D-9536-4288-9EBE-9D29847BDFE4}</b:Guid>
    <b:Author>
      <b:Author>
        <b:Corporate>ONR</b:Corporate>
      </b:Author>
    </b:Author>
    <b:Title>NS-INSP-GD-034 - LC 34 Leakage and Escape of Radioactive Material and Radioactive Waste</b:Title>
    <b:RefOrder>31</b:RefOrder>
  </b:Source>
  <b:Source>
    <b:Tag>ONR222</b:Tag>
    <b:SourceType>InternetSite</b:SourceType>
    <b:Guid>{61DE0730-8617-4ECD-A774-585A20424BD7}</b:Guid>
    <b:Author>
      <b:Author>
        <b:Corporate>ONR</b:Corporate>
      </b:Author>
    </b:Author>
    <b:Title>NS-TAST-GD-051 - The Purpose, Scope and Content of Safety Cases</b:Title>
    <b:RefOrder>33</b:RefOrder>
  </b:Source>
  <b:Source>
    <b:Tag>ONR90</b:Tag>
    <b:SourceType>DocumentFromInternetSite</b:SourceType>
    <b:Guid>{D1A59038-A200-416F-9DB1-D0E0AB8DA5CE}</b:Guid>
    <b:Author>
      <b:Author>
        <b:Corporate>ONR</b:Corporate>
      </b:Author>
    </b:Author>
    <b:Title>NS-INSP-GD-023 - LC 23 Operating Rules</b:Title>
    <b:RefOrder>34</b:RefOrder>
  </b:Source>
  <b:Source>
    <b:Tag>ONR20</b:Tag>
    <b:SourceType>InternetSite</b:SourceType>
    <b:Guid>{595CCEB6-022E-428C-A13D-1CB13CAE5008}</b:Guid>
    <b:Author>
      <b:Author>
        <b:Corporate>ONR</b:Corporate>
      </b:Author>
    </b:Author>
    <b:Title>NS-INSP-GD-017 - LC 17 - Management Systems</b:Title>
    <b:RefOrder>32</b:RefOrder>
  </b:Source>
  <b:Source>
    <b:Tag>ONR160</b:Tag>
    <b:SourceType>DocumentFromInternetSite</b:SourceType>
    <b:Guid>{35A113FD-BBE4-48D9-A06B-41EA8B4E9A88}</b:Guid>
    <b:Author>
      <b:Author>
        <b:Corporate>ONR</b:Corporate>
      </b:Author>
    </b:Author>
    <b:Title>NS-INSP-GD-035 - LC 35 Decommissioning</b:Title>
    <b:RefOrder>35</b:RefOrder>
  </b:Source>
  <b:Source>
    <b:Tag>ONR27</b:Tag>
    <b:SourceType>ElectronicSource</b:SourceType>
    <b:Guid>{715E4EC2-0DE9-4966-9074-99F05A291761}</b:Guid>
    <b:Author>
      <b:Author>
        <b:Corporate>ONR</b:Corporate>
      </b:Author>
    </b:Author>
    <b:Title>ONR-ENF-GD-006 - Enforcement</b:Title>
    <b:URL>https://www.onr.org.uk/media/documents/guidance/onr-enf-gd-006.docx</b:URL>
    <b:RefOrder>36</b:RefOrder>
  </b:Source>
  <b:Source>
    <b:Tag>ISO6</b:Tag>
    <b:SourceType>ElectronicSource</b:SourceType>
    <b:Guid>{FB91F656-3A71-490C-9406-03DA34BE0DAB}</b:Guid>
    <b:Author>
      <b:Author>
        <b:Corporate>ISO</b:Corporate>
      </b:Author>
    </b:Author>
    <b:Title>ISO 21365:2019 - Soil quality — Conceptual site models for potentially contaminated sites</b:Title>
    <b:Year>2019</b:Year>
    <b:RefOrder>43</b:RefOrder>
  </b:Source>
  <b:Source>
    <b:Tag>BSI8</b:Tag>
    <b:SourceType>ElectronicSource</b:SourceType>
    <b:Guid>{21F1E022-3DBD-487A-98C5-49666AD0FC7C}</b:Guid>
    <b:Author>
      <b:Author>
        <b:Corporate>BSI</b:Corporate>
      </b:Author>
    </b:Author>
    <b:Title>BS 10175:2011+A2:2017 - Investigation of potentially contaminated sites. Code of practice - Code of practice</b:Title>
    <b:Year>2017</b:Year>
    <b:RefOrder>44</b:RefOrder>
  </b:Source>
  <b:Source>
    <b:Tag>IAE233</b:Tag>
    <b:SourceType>InternetSite</b:SourceType>
    <b:Guid>{85A0066D-72DC-4090-A529-6C3715FEB83D}</b:Guid>
    <b:Author>
      <b:Author>
        <b:Corporate>IAEA</b:Corporate>
      </b:Author>
    </b:Author>
    <b:Title>Safety Standards Series No. GSG-18 - Application of the Concept of Clearance</b:Title>
    <b:Year>2023</b:Year>
    <b:URL>https://www.iaea.org/publications/15291/application-of-the-concept-of-clearance</b:URL>
    <b:RefOrder>49</b:RefOrder>
  </b:Source>
  <b:Source>
    <b:Tag>IAE047</b:Tag>
    <b:SourceType>InternetSite</b:SourceType>
    <b:Guid>{A337700B-638B-4A60-AB15-BF7F9BDF9379}</b:Guid>
    <b:Author>
      <b:Author>
        <b:Corporate>IAEA</b:Corporate>
      </b:Author>
    </b:Author>
    <b:Title>Safety Standards Series No. RS-G-1.7 - Application of the Concepts of Exclusion, Exemption and Clearance</b:Title>
    <b:Year>2004</b:Year>
    <b:URL>https://www.iaea.org/publications/7118/application-of-the-concepts-of-exclusion-exemption-and-clearance</b:URL>
    <b:RefOrder>50</b:RefOrder>
  </b:Source>
  <b:Source>
    <b:Tag>IAE058</b:Tag>
    <b:SourceType>InternetSite</b:SourceType>
    <b:Guid>{7ACC2F59-1137-4D85-8CA2-40D8BAF8BBD0}</b:Guid>
    <b:Author>
      <b:Author>
        <b:Corporate>IAEA</b:Corporate>
      </b:Author>
    </b:Author>
    <b:Title>Safety Standards Series No. RS-G-1.8 - Environmental and Source Monitoring for Purposes of Radiation Protection</b:Title>
    <b:Year>2005</b:Year>
    <b:URL>https://www.iaea.org/publications/7176/environmental-and-source-monitoring-for-purposes-of-radiation-protection</b:URL>
    <b:RefOrder>51</b:RefOrder>
  </b:Source>
  <b:Source>
    <b:Tag>IAE074</b:Tag>
    <b:SourceType>InternetSite</b:SourceType>
    <b:Guid>{9D1F4412-AE29-4DCD-8F78-A33785330CBC}</b:Guid>
    <b:Author>
      <b:Author>
        <b:Corporate>IAEA</b:Corporate>
      </b:Author>
    </b:Author>
    <b:Title>Safety Standards Series No. WS-G-3.1 - Remediation Process for Areas Affected by Past Activities and Accidents</b:Title>
    <b:Year>2007</b:Year>
    <b:URL>https://www.iaea.org/publications/7537/remediation-process-for-areas-affected-by-past-activities-and-accidents</b:URL>
    <b:RefOrder>52</b:RefOrder>
  </b:Source>
  <b:Source>
    <b:Tag>IAE2212</b:Tag>
    <b:SourceType>InternetSite</b:SourceType>
    <b:Guid>{07D6B0CF-ADB0-491D-933D-D5FA833CA05A}</b:Guid>
    <b:Author>
      <b:Author>
        <b:Corporate>IAEA</b:Corporate>
      </b:Author>
    </b:Author>
    <b:Title>Safety Standards Series No. GSG-15 - Remediation Strategy and Process for Areas Affected by Past Activities or Events</b:Title>
    <b:Year>2022</b:Year>
    <b:URL>https://www.iaea.org/publications/14703/remediation-strategy-and-process-for-areas-affected-by-past-activities-or-events</b:URL>
    <b:RefOrder>53</b:RefOrder>
  </b:Source>
  <b:Source>
    <b:Tag>IAE068</b:Tag>
    <b:SourceType>InternetSite</b:SourceType>
    <b:Guid>{86430E06-CEFE-4DE4-B121-3D4013942D00}</b:Guid>
    <b:Author>
      <b:Author>
        <b:Corporate>IAEA</b:Corporate>
      </b:Author>
    </b:Author>
    <b:Title>Safety Standards Series No. WS-G-5.1 - Release of Sites from Regulatory Control on Termination of Practices</b:Title>
    <b:Year>2006</b:Year>
    <b:URL>https://www.iaea.org/publications/7433/release-of-sites-from-regulatory-control-on-termination-of-practices</b:URL>
    <b:RefOrder>54</b:RefOrder>
  </b:Source>
  <b:Source>
    <b:Tag>IAE232</b:Tag>
    <b:SourceType>InternetSite</b:SourceType>
    <b:Guid>{F628FA4B-A868-410D-948D-A75174DFF79B}</b:Guid>
    <b:Title>Safety Standards Series No. GSG-17 - Application of the Concept of Exemption</b:Title>
    <b:Year>2023</b:Year>
    <b:Author>
      <b:Author>
        <b:Corporate>IAEA</b:Corporate>
      </b:Author>
    </b:Author>
    <b:URL>https://www.iaea.org/publications/15293/application-of-the-concept-of-exemption</b:URL>
    <b:RefOrder>48</b:RefOrder>
  </b:Source>
  <b:Source>
    <b:Tag>IAE059</b:Tag>
    <b:SourceType>InternetSite</b:SourceType>
    <b:Guid>{4182D5D0-D609-4999-8892-11A1660A229E}</b:Guid>
    <b:Author>
      <b:Author>
        <b:Corporate>IAEA</b:Corporate>
      </b:Author>
    </b:Author>
    <b:Title>Safety Reports Series No. 44 - Derivation of Activity Concentration Values for Exclusion, Exemption and Clearance</b:Title>
    <b:Year>2005</b:Year>
    <b:URL>https://www.iaea.org/publications/7131/derivation-of-activity-concentration-values-for-exclusion-exemption-and-clearance</b:URL>
    <b:RefOrder>55</b:RefOrder>
  </b:Source>
  <b:Source>
    <b:Tag>IAE101</b:Tag>
    <b:SourceType>InternetSite</b:SourceType>
    <b:Guid>{BCDAAF5C-8305-4FCE-B5E7-BB16CBE851FD}</b:Guid>
    <b:Author>
      <b:Author>
        <b:Corporate>IAEA</b:Corporate>
      </b:Author>
    </b:Author>
    <b:Title>Safety Reports Series No. 64 - Programmes and Systems for Source and Environmental Radiation Monitoring</b:Title>
    <b:Year>2010</b:Year>
    <b:URL>https://www.iaea.org/publications/8242/programmes-and-systems-for-source-and-environmental-radiation-monitoring</b:URL>
    <b:RefOrder>56</b:RefOrder>
  </b:Source>
  <b:Source>
    <b:Tag>IAE122</b:Tag>
    <b:SourceType>InternetSite</b:SourceType>
    <b:Guid>{7AC1E5D9-143A-4E99-B345-892B6FCBF12C}</b:Guid>
    <b:Author>
      <b:Author>
        <b:Corporate>IAEA</b:Corporate>
      </b:Author>
    </b:Author>
    <b:Title>Safety Reports Series No. 67 - Monitoring for Compliance with Exemption and Clearance Levels</b:Title>
    <b:Year>2012</b:Year>
    <b:URL>https://www.iaea.org/publications/8645/monitoring-for-compliance-with-exemption-and-clearance-levels</b:URL>
    <b:RefOrder>57</b:RefOrder>
  </b:Source>
  <b:Source>
    <b:Tag>IAE123</b:Tag>
    <b:SourceType>InternetSite</b:SourceType>
    <b:Guid>{C307B082-F8F2-4DF5-A661-D03F03F2D466}</b:Guid>
    <b:Author>
      <b:Author>
        <b:Corporate>IAEA</b:Corporate>
      </b:Author>
    </b:Author>
    <b:Title>Safety Reports Series No. 72 - Monitoring for Compliance with Remediation Criteria for Sites</b:Title>
    <b:Year>2012</b:Year>
    <b:URL>https://www.iaea.org/publications/8760/monitoring-for-compliance-with-remediation-criteria-for-sites</b:URL>
    <b:RefOrder>58</b:RefOrder>
  </b:Source>
  <b:Source>
    <b:Tag>IAE048</b:Tag>
    <b:SourceType>InternetSite</b:SourceType>
    <b:Guid>{19D09845-3E1B-4E7B-A76C-46796C779FFC}</b:Guid>
    <b:Author>
      <b:Author>
        <b:Corporate>IAEA</b:Corporate>
      </b:Author>
    </b:Author>
    <b:Title>Technical Reports Series No. 424 - Remediation of Sites With Dispersed Radioactive Contamination</b:Title>
    <b:Year>2004</b:Year>
    <b:URL>https://www.iaea.org/publications/6881/remediation-of-sites-with-dispersed-radioactive-contamination</b:URL>
    <b:RefOrder>59</b:RefOrder>
  </b:Source>
  <b:Source>
    <b:Tag>IAE069</b:Tag>
    <b:SourceType>InternetSite</b:SourceType>
    <b:Guid>{167C0CAB-CAD9-49AC-B494-35B8CCFBC651}</b:Guid>
    <b:Author>
      <b:Author>
        <b:Corporate>IAEA</b:Corporate>
      </b:Author>
    </b:Author>
    <b:Title>Technical Reports Series No. 445 - Applicability of Monitored Natural Attenuation at Radioactively Contaminated Sites</b:Title>
    <b:Year>2006</b:Year>
    <b:URL>https://www.iaea.org/publications/7320/applicability-of-monitored-natural-attenuation-at-radioactively-contaminated-sites</b:URL>
    <b:RefOrder>60</b:RefOrder>
  </b:Source>
  <b:Source>
    <b:Tag>IAE133</b:Tag>
    <b:SourceType>InternetSite</b:SourceType>
    <b:Guid>{C6D06D09-A883-4D0C-9416-4387986145AF}</b:Guid>
    <b:Author>
      <b:Author>
        <b:Corporate>IAEA</b:Corporate>
      </b:Author>
    </b:Author>
    <b:Title>Technical Reports Series No. 475 - Guidelines for Remediation Strategies to Reduce the Radiological Consequences of Environmental Contamination</b:Title>
    <b:Year>2013</b:Year>
    <b:URL>https://www.iaea.org/publications/8874/guidelines-for-remediation-strategies-to-reduce-the-radiological-consequences-of-environmental-contamination</b:URL>
    <b:RefOrder>61</b:RefOrder>
  </b:Source>
  <b:Source>
    <b:Tag>IAE4</b:Tag>
    <b:SourceType>InternetSite</b:SourceType>
    <b:Guid>{3BB46548-0ED2-4B04-B499-387342CE9C7A}</b:Guid>
    <b:Author>
      <b:Author>
        <b:Corporate>IAEA</b:Corporate>
      </b:Author>
    </b:Author>
    <b:Title>“Nuclear Security Series 20 - IAEA Nuclear Security Fundamentals”</b:Title>
    <b:URL>http://www-pub.iaea.org/MTCD/Publications/PDF/Pub1590_web.pdf</b:URL>
    <b:RefOrder>47</b:RefOrder>
  </b:Source>
  <b:Source>
    <b:Tag>Nuc151</b:Tag>
    <b:SourceType>DocumentFromInternetSite</b:SourceType>
    <b:Guid>{A20E8696-3E50-486A-A585-13D2DE45458D}</b:Guid>
    <b:Title>NICoP for Routine Water Quality Monitoring (Version 1)</b:Title>
    <b:Year>2015</b:Year>
    <b:Month>February</b:Month>
    <b:URL>https://assets.publishing.service.gov.uk/media/5a7f86ceed915d74e622b013/Nuclear-industry-code-of-practice-for-routine-water-quality-monitoring.pdf</b:URL>
    <b:Author>
      <b:Author>
        <b:Corporate>Nuclear Industry Group for Land Quality</b:Corporate>
      </b:Author>
    </b:Author>
    <b:RefOrder>37</b:RefOrder>
  </b:Source>
  <b:Source>
    <b:Tag>Nuc12</b:Tag>
    <b:SourceType>DocumentFromInternetSite</b:SourceType>
    <b:Guid>{C6EDC1BE-7509-4E9F-9C0A-C3EAC056DCAC}</b:Guid>
    <b:Author>
      <b:Author>
        <b:Corporate>Nuclear Industry Group for Land Quality</b:Corporate>
      </b:Author>
    </b:Author>
    <b:Title>NICoP for Qualitative Risk Assessment for Land Contamination, Including Radioactive Contamination (Version 1.1)</b:Title>
    <b:Year>2012</b:Year>
    <b:Month>June</b:Month>
    <b:URL>https://assets.publishing.service.gov.uk/media/5a80ab9c40f0b62302694d77/Qualitative-risk-assessment-for-land-contamination-including-radioactive-contamination-June-2012.pdf</b:URL>
    <b:RefOrder>38</b:RefOrder>
  </b:Source>
  <b:Source>
    <b:Tag>Ind12</b:Tag>
    <b:SourceType>DocumentFromInternetSite</b:SourceType>
    <b:Guid>{C206A6BF-0161-47B2-A742-6A17CE4DAB0F}</b:Guid>
    <b:Author>
      <b:Author>
        <b:Corporate>Industry Radiological Protection Co-ordination Group (IRPCG)</b:Corporate>
      </b:Author>
    </b:Author>
    <b:Title>Nuclear Industry Good Practice Guide on The Application of ALARP to Radiological Risk (Issue 1)</b:Title>
    <b:Year>2012</b:Year>
    <b:URL>https://nuclearinst.com/write/MediaUploads/SDF%20documents/IRPCG/Application_of_ALARP_to_Radiological_Risk.pdf</b:URL>
    <b:Month>December</b:Month>
    <b:RefOrder>39</b:RefOrder>
  </b:Source>
  <b:Source>
    <b:Tag>Env10</b:Tag>
    <b:SourceType>DocumentFromInternetSite</b:SourceType>
    <b:Guid>{EFB8AD60-0FEE-4B81-B36F-6E3379D508B5}</b:Guid>
    <b:Author>
      <b:Author>
        <b:Corporate>Environment Agencies Requirements Working Group (EARWG)</b:Corporate>
      </b:Author>
    </b:Author>
    <b:Title>Best Available Techniques (BAT) for the Management of the Generation and Disposal of Radioactive Wastes (Issue 1)</b:Title>
    <b:Year>2010</b:Year>
    <b:Month>December</b:Month>
    <b:URL>https://nuclearinst.com/write/MediaUploads/SDF%20documents/EARWG/BAT_Good_Practice_Guide_May_2017.pdf</b:URL>
    <b:RefOrder>40</b:RefOrder>
  </b:Source>
  <b:Source>
    <b:Tag>htt6</b:Tag>
    <b:SourceType>DocumentFromInternetSite</b:SourceType>
    <b:Guid>{45F7A1A1-53B7-4221-B818-DD2B57C25F3C}</b:Guid>
    <b:URL>https://nuclearinst.com/write/MediaUploads/SDF%20documents/CEWG/Clearance_and_Exemption_GPG_2.01.pdf</b:URL>
    <b:Author>
      <b:Author>
        <b:Corporate>Clearance and Exemption Working Group</b:Corporate>
      </b:Author>
    </b:Author>
    <b:Title>NICoP on Clearance and Radiological Sentencing: Principles, Processes and Practices for use by the Nuclear Industry (Issue 2.01)</b:Title>
    <b:Year>2017</b:Year>
    <b:Month>May</b:Month>
    <b:RefOrder>41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C4EA1A-E153-4F79-8619-9BD546A5A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43</Pages>
  <Words>12880</Words>
  <Characters>73417</Characters>
  <Application>Microsoft Office Word</Application>
  <DocSecurity>4</DocSecurity>
  <Lines>611</Lines>
  <Paragraphs>172</Paragraphs>
  <ScaleCrop>false</ScaleCrop>
  <HeadingPairs>
    <vt:vector size="2" baseType="variant">
      <vt:variant>
        <vt:lpstr>Title</vt:lpstr>
      </vt:variant>
      <vt:variant>
        <vt:i4>1</vt:i4>
      </vt:variant>
    </vt:vector>
  </HeadingPairs>
  <TitlesOfParts>
    <vt:vector size="1" baseType="lpstr">
      <vt:lpstr>Land quality management</vt:lpstr>
    </vt:vector>
  </TitlesOfParts>
  <Manager>Office for Nuclear Regulation</Manager>
  <Company>Office for Nuclear Regulation</Company>
  <LinksUpToDate>false</LinksUpToDate>
  <CharactersWithSpaces>86125</CharactersWithSpaces>
  <SharedDoc>false</SharedDoc>
  <HLinks>
    <vt:vector size="198" baseType="variant">
      <vt:variant>
        <vt:i4>1769522</vt:i4>
      </vt:variant>
      <vt:variant>
        <vt:i4>50</vt:i4>
      </vt:variant>
      <vt:variant>
        <vt:i4>0</vt:i4>
      </vt:variant>
      <vt:variant>
        <vt:i4>5</vt:i4>
      </vt:variant>
      <vt:variant>
        <vt:lpwstr/>
      </vt:variant>
      <vt:variant>
        <vt:lpwstr>_Toc180153660</vt:lpwstr>
      </vt:variant>
      <vt:variant>
        <vt:i4>1572914</vt:i4>
      </vt:variant>
      <vt:variant>
        <vt:i4>44</vt:i4>
      </vt:variant>
      <vt:variant>
        <vt:i4>0</vt:i4>
      </vt:variant>
      <vt:variant>
        <vt:i4>5</vt:i4>
      </vt:variant>
      <vt:variant>
        <vt:lpwstr/>
      </vt:variant>
      <vt:variant>
        <vt:lpwstr>_Toc180153659</vt:lpwstr>
      </vt:variant>
      <vt:variant>
        <vt:i4>1572914</vt:i4>
      </vt:variant>
      <vt:variant>
        <vt:i4>38</vt:i4>
      </vt:variant>
      <vt:variant>
        <vt:i4>0</vt:i4>
      </vt:variant>
      <vt:variant>
        <vt:i4>5</vt:i4>
      </vt:variant>
      <vt:variant>
        <vt:lpwstr/>
      </vt:variant>
      <vt:variant>
        <vt:lpwstr>_Toc180153658</vt:lpwstr>
      </vt:variant>
      <vt:variant>
        <vt:i4>1572914</vt:i4>
      </vt:variant>
      <vt:variant>
        <vt:i4>32</vt:i4>
      </vt:variant>
      <vt:variant>
        <vt:i4>0</vt:i4>
      </vt:variant>
      <vt:variant>
        <vt:i4>5</vt:i4>
      </vt:variant>
      <vt:variant>
        <vt:lpwstr/>
      </vt:variant>
      <vt:variant>
        <vt:lpwstr>_Toc180153657</vt:lpwstr>
      </vt:variant>
      <vt:variant>
        <vt:i4>1572914</vt:i4>
      </vt:variant>
      <vt:variant>
        <vt:i4>26</vt:i4>
      </vt:variant>
      <vt:variant>
        <vt:i4>0</vt:i4>
      </vt:variant>
      <vt:variant>
        <vt:i4>5</vt:i4>
      </vt:variant>
      <vt:variant>
        <vt:lpwstr/>
      </vt:variant>
      <vt:variant>
        <vt:lpwstr>_Toc180153656</vt:lpwstr>
      </vt:variant>
      <vt:variant>
        <vt:i4>1572914</vt:i4>
      </vt:variant>
      <vt:variant>
        <vt:i4>20</vt:i4>
      </vt:variant>
      <vt:variant>
        <vt:i4>0</vt:i4>
      </vt:variant>
      <vt:variant>
        <vt:i4>5</vt:i4>
      </vt:variant>
      <vt:variant>
        <vt:lpwstr/>
      </vt:variant>
      <vt:variant>
        <vt:lpwstr>_Toc180153655</vt:lpwstr>
      </vt:variant>
      <vt:variant>
        <vt:i4>1572914</vt:i4>
      </vt:variant>
      <vt:variant>
        <vt:i4>14</vt:i4>
      </vt:variant>
      <vt:variant>
        <vt:i4>0</vt:i4>
      </vt:variant>
      <vt:variant>
        <vt:i4>5</vt:i4>
      </vt:variant>
      <vt:variant>
        <vt:lpwstr/>
      </vt:variant>
      <vt:variant>
        <vt:lpwstr>_Toc180153654</vt:lpwstr>
      </vt:variant>
      <vt:variant>
        <vt:i4>1572914</vt:i4>
      </vt:variant>
      <vt:variant>
        <vt:i4>8</vt:i4>
      </vt:variant>
      <vt:variant>
        <vt:i4>0</vt:i4>
      </vt:variant>
      <vt:variant>
        <vt:i4>5</vt:i4>
      </vt:variant>
      <vt:variant>
        <vt:lpwstr/>
      </vt:variant>
      <vt:variant>
        <vt:lpwstr>_Toc180153653</vt:lpwstr>
      </vt:variant>
      <vt:variant>
        <vt:i4>5701742</vt:i4>
      </vt:variant>
      <vt:variant>
        <vt:i4>3</vt:i4>
      </vt:variant>
      <vt:variant>
        <vt:i4>0</vt:i4>
      </vt:variant>
      <vt:variant>
        <vt:i4>5</vt:i4>
      </vt:variant>
      <vt:variant>
        <vt:lpwstr>mailto:HOW2@onr.gov.uk</vt:lpwstr>
      </vt:variant>
      <vt:variant>
        <vt:lpwstr/>
      </vt:variant>
      <vt:variant>
        <vt:i4>5701742</vt:i4>
      </vt:variant>
      <vt:variant>
        <vt:i4>0</vt:i4>
      </vt:variant>
      <vt:variant>
        <vt:i4>0</vt:i4>
      </vt:variant>
      <vt:variant>
        <vt:i4>5</vt:i4>
      </vt:variant>
      <vt:variant>
        <vt:lpwstr>mailto:HOW2@onr.gov.uk</vt:lpwstr>
      </vt:variant>
      <vt:variant>
        <vt:lpwstr/>
      </vt:variant>
      <vt:variant>
        <vt:i4>1966150</vt:i4>
      </vt:variant>
      <vt:variant>
        <vt:i4>66</vt:i4>
      </vt:variant>
      <vt:variant>
        <vt:i4>0</vt:i4>
      </vt:variant>
      <vt:variant>
        <vt:i4>5</vt:i4>
      </vt:variant>
      <vt:variant>
        <vt:lpwstr>https://www.who.int/publications/i/item/9789240045064</vt:lpwstr>
      </vt:variant>
      <vt:variant>
        <vt:lpwstr/>
      </vt:variant>
      <vt:variant>
        <vt:i4>2752561</vt:i4>
      </vt:variant>
      <vt:variant>
        <vt:i4>63</vt:i4>
      </vt:variant>
      <vt:variant>
        <vt:i4>0</vt:i4>
      </vt:variant>
      <vt:variant>
        <vt:i4>5</vt:i4>
      </vt:variant>
      <vt:variant>
        <vt:lpwstr>https://dwi.gov.uk/water-companies/guidance-and-codes-of-practice/guidance-on-implementing-the-water-supply-water-quality-regulations/</vt:lpwstr>
      </vt:variant>
      <vt:variant>
        <vt:lpwstr/>
      </vt:variant>
      <vt:variant>
        <vt:i4>2424950</vt:i4>
      </vt:variant>
      <vt:variant>
        <vt:i4>60</vt:i4>
      </vt:variant>
      <vt:variant>
        <vt:i4>0</vt:i4>
      </vt:variant>
      <vt:variant>
        <vt:i4>5</vt:i4>
      </vt:variant>
      <vt:variant>
        <vt:lpwstr>http://www.safegrounds.com/</vt:lpwstr>
      </vt:variant>
      <vt:variant>
        <vt:lpwstr/>
      </vt:variant>
      <vt:variant>
        <vt:i4>5636107</vt:i4>
      </vt:variant>
      <vt:variant>
        <vt:i4>57</vt:i4>
      </vt:variant>
      <vt:variant>
        <vt:i4>0</vt:i4>
      </vt:variant>
      <vt:variant>
        <vt:i4>5</vt:i4>
      </vt:variant>
      <vt:variant>
        <vt:lpwstr>https://www.onr.org.uk/media/tqcnnh2u/onr-enf-gd-006.docx</vt:lpwstr>
      </vt:variant>
      <vt:variant>
        <vt:lpwstr/>
      </vt:variant>
      <vt:variant>
        <vt:i4>1638491</vt:i4>
      </vt:variant>
      <vt:variant>
        <vt:i4>54</vt:i4>
      </vt:variant>
      <vt:variant>
        <vt:i4>0</vt:i4>
      </vt:variant>
      <vt:variant>
        <vt:i4>5</vt:i4>
      </vt:variant>
      <vt:variant>
        <vt:lpwstr>https://www.onr.org.uk/media/cimfxetr/onr-rrr-052.pdf</vt:lpwstr>
      </vt:variant>
      <vt:variant>
        <vt:lpwstr/>
      </vt:variant>
      <vt:variant>
        <vt:i4>5636182</vt:i4>
      </vt:variant>
      <vt:variant>
        <vt:i4>51</vt:i4>
      </vt:variant>
      <vt:variant>
        <vt:i4>0</vt:i4>
      </vt:variant>
      <vt:variant>
        <vt:i4>5</vt:i4>
      </vt:variant>
      <vt:variant>
        <vt:lpwstr>https://www.onr.org.uk/publications/regulatory-guidance/regulatory-inspection/technical-inspection-guides-tigs/nuclear-safety-tigs/technical-inspection-guides-tigs-nuclear-safety-full-list/</vt:lpwstr>
      </vt:variant>
      <vt:variant>
        <vt:lpwstr/>
      </vt:variant>
      <vt:variant>
        <vt:i4>2556022</vt:i4>
      </vt:variant>
      <vt:variant>
        <vt:i4>48</vt:i4>
      </vt:variant>
      <vt:variant>
        <vt:i4>0</vt:i4>
      </vt:variant>
      <vt:variant>
        <vt:i4>5</vt:i4>
      </vt:variant>
      <vt:variant>
        <vt:lpwstr>https://www.iaea.org/resources/safety-standards/search</vt:lpwstr>
      </vt:variant>
      <vt:variant>
        <vt:lpwstr/>
      </vt:variant>
      <vt:variant>
        <vt:i4>5505100</vt:i4>
      </vt:variant>
      <vt:variant>
        <vt:i4>45</vt:i4>
      </vt:variant>
      <vt:variant>
        <vt:i4>0</vt:i4>
      </vt:variant>
      <vt:variant>
        <vt:i4>5</vt:i4>
      </vt:variant>
      <vt:variant>
        <vt:lpwstr>https://www.onr.org.uk/media/idmpvmou/joint-regulators-statement.pdf</vt:lpwstr>
      </vt:variant>
      <vt:variant>
        <vt:lpwstr/>
      </vt:variant>
      <vt:variant>
        <vt:i4>65561</vt:i4>
      </vt:variant>
      <vt:variant>
        <vt:i4>42</vt:i4>
      </vt:variant>
      <vt:variant>
        <vt:i4>0</vt:i4>
      </vt:variant>
      <vt:variant>
        <vt:i4>5</vt:i4>
      </vt:variant>
      <vt:variant>
        <vt:lpwstr>https://www.sepa.org.uk/media/365893/2018-07-17-grr-publication-v1-0.pdf</vt:lpwstr>
      </vt:variant>
      <vt:variant>
        <vt:lpwstr/>
      </vt:variant>
      <vt:variant>
        <vt:i4>2228272</vt:i4>
      </vt:variant>
      <vt:variant>
        <vt:i4>39</vt:i4>
      </vt:variant>
      <vt:variant>
        <vt:i4>0</vt:i4>
      </vt:variant>
      <vt:variant>
        <vt:i4>5</vt:i4>
      </vt:variant>
      <vt:variant>
        <vt:lpwstr>https://www.onr.org.uk/media/hhxfntdp/ns-per-gd-019.pdf</vt:lpwstr>
      </vt:variant>
      <vt:variant>
        <vt:lpwstr/>
      </vt:variant>
      <vt:variant>
        <vt:i4>1310743</vt:i4>
      </vt:variant>
      <vt:variant>
        <vt:i4>36</vt:i4>
      </vt:variant>
      <vt:variant>
        <vt:i4>0</vt:i4>
      </vt:variant>
      <vt:variant>
        <vt:i4>5</vt:i4>
      </vt:variant>
      <vt:variant>
        <vt:lpwstr>https://www.onr.org.uk/media/thijflmf/ns-per-pol-001.pdf</vt:lpwstr>
      </vt:variant>
      <vt:variant>
        <vt:lpwstr/>
      </vt:variant>
      <vt:variant>
        <vt:i4>1376334</vt:i4>
      </vt:variant>
      <vt:variant>
        <vt:i4>33</vt:i4>
      </vt:variant>
      <vt:variant>
        <vt:i4>0</vt:i4>
      </vt:variant>
      <vt:variant>
        <vt:i4>5</vt:i4>
      </vt:variant>
      <vt:variant>
        <vt:lpwstr>https://assets.publishing.service.gov.uk/media/5a7d6306e5274a7b50ccea77/RCE_2_Dose_criteria_for_the_designation_of_radioactively_contaminated_land.pdf</vt:lpwstr>
      </vt:variant>
      <vt:variant>
        <vt:lpwstr/>
      </vt:variant>
      <vt:variant>
        <vt:i4>7274556</vt:i4>
      </vt:variant>
      <vt:variant>
        <vt:i4>30</vt:i4>
      </vt:variant>
      <vt:variant>
        <vt:i4>0</vt:i4>
      </vt:variant>
      <vt:variant>
        <vt:i4>5</vt:i4>
      </vt:variant>
      <vt:variant>
        <vt:lpwstr>https://www.gov.wales/radioactive-contaminated-land-statutory-guidance-wales-2012-2013-no6</vt:lpwstr>
      </vt:variant>
      <vt:variant>
        <vt:lpwstr/>
      </vt:variant>
      <vt:variant>
        <vt:i4>7602298</vt:i4>
      </vt:variant>
      <vt:variant>
        <vt:i4>27</vt:i4>
      </vt:variant>
      <vt:variant>
        <vt:i4>0</vt:i4>
      </vt:variant>
      <vt:variant>
        <vt:i4>5</vt:i4>
      </vt:variant>
      <vt:variant>
        <vt:lpwstr>https://www.gov.scot/publications/radioactive-contaminated-land-scotland-amendment-regulations-2009-statutory-guidance/pages/1/</vt:lpwstr>
      </vt:variant>
      <vt:variant>
        <vt:lpwstr/>
      </vt:variant>
      <vt:variant>
        <vt:i4>7667751</vt:i4>
      </vt:variant>
      <vt:variant>
        <vt:i4>24</vt:i4>
      </vt:variant>
      <vt:variant>
        <vt:i4>0</vt:i4>
      </vt:variant>
      <vt:variant>
        <vt:i4>5</vt:i4>
      </vt:variant>
      <vt:variant>
        <vt:lpwstr>https://assets.publishing.service.gov.uk/media/5b2d108fed915d588c3db28e/RCL_Statutory_Guidance_Final_220618.pdf</vt:lpwstr>
      </vt:variant>
      <vt:variant>
        <vt:lpwstr/>
      </vt:variant>
      <vt:variant>
        <vt:i4>3211298</vt:i4>
      </vt:variant>
      <vt:variant>
        <vt:i4>21</vt:i4>
      </vt:variant>
      <vt:variant>
        <vt:i4>0</vt:i4>
      </vt:variant>
      <vt:variant>
        <vt:i4>5</vt:i4>
      </vt:variant>
      <vt:variant>
        <vt:lpwstr>https://www.onr.org.uk/media/ydvjsrnn/land-quality-management.docx</vt:lpwstr>
      </vt:variant>
      <vt:variant>
        <vt:lpwstr/>
      </vt:variant>
      <vt:variant>
        <vt:i4>4194385</vt:i4>
      </vt:variant>
      <vt:variant>
        <vt:i4>18</vt:i4>
      </vt:variant>
      <vt:variant>
        <vt:i4>0</vt:i4>
      </vt:variant>
      <vt:variant>
        <vt:i4>5</vt:i4>
      </vt:variant>
      <vt:variant>
        <vt:lpwstr>https://www.gov.uk/government/publications/guidance-on-the-scope-of-and-exemptions-from-the-radioactive-substances-legislation-in-the-uk</vt:lpwstr>
      </vt:variant>
      <vt:variant>
        <vt:lpwstr/>
      </vt:variant>
      <vt:variant>
        <vt:i4>524353</vt:i4>
      </vt:variant>
      <vt:variant>
        <vt:i4>15</vt:i4>
      </vt:variant>
      <vt:variant>
        <vt:i4>0</vt:i4>
      </vt:variant>
      <vt:variant>
        <vt:i4>5</vt:i4>
      </vt:variant>
      <vt:variant>
        <vt:lpwstr>https://www.onr.org.uk/media/gixbe2br/licence-condition-handbook.pdf</vt:lpwstr>
      </vt:variant>
      <vt:variant>
        <vt:lpwstr/>
      </vt:variant>
      <vt:variant>
        <vt:i4>1703936</vt:i4>
      </vt:variant>
      <vt:variant>
        <vt:i4>12</vt:i4>
      </vt:variant>
      <vt:variant>
        <vt:i4>0</vt:i4>
      </vt:variant>
      <vt:variant>
        <vt:i4>5</vt:i4>
      </vt:variant>
      <vt:variant>
        <vt:lpwstr>https://www.onr.org.uk/agency-agreements-mou.htm</vt:lpwstr>
      </vt:variant>
      <vt:variant>
        <vt:lpwstr/>
      </vt:variant>
      <vt:variant>
        <vt:i4>1703936</vt:i4>
      </vt:variant>
      <vt:variant>
        <vt:i4>9</vt:i4>
      </vt:variant>
      <vt:variant>
        <vt:i4>0</vt:i4>
      </vt:variant>
      <vt:variant>
        <vt:i4>5</vt:i4>
      </vt:variant>
      <vt:variant>
        <vt:lpwstr>https://www.onr.org.uk/agency-agreements-mou.htm</vt:lpwstr>
      </vt:variant>
      <vt:variant>
        <vt:lpwstr/>
      </vt:variant>
      <vt:variant>
        <vt:i4>1703936</vt:i4>
      </vt:variant>
      <vt:variant>
        <vt:i4>6</vt:i4>
      </vt:variant>
      <vt:variant>
        <vt:i4>0</vt:i4>
      </vt:variant>
      <vt:variant>
        <vt:i4>5</vt:i4>
      </vt:variant>
      <vt:variant>
        <vt:lpwstr>https://www.onr.org.uk/agency-agreements-mou.htm</vt:lpwstr>
      </vt:variant>
      <vt:variant>
        <vt:lpwstr/>
      </vt:variant>
      <vt:variant>
        <vt:i4>2359332</vt:i4>
      </vt:variant>
      <vt:variant>
        <vt:i4>3</vt:i4>
      </vt:variant>
      <vt:variant>
        <vt:i4>0</vt:i4>
      </vt:variant>
      <vt:variant>
        <vt:i4>5</vt:i4>
      </vt:variant>
      <vt:variant>
        <vt:lpwstr>https://www.onr.org.uk/publications/regulatory-guidance/regulatory-assessment-and-permissioning/technical-assessment-guides-tags/nuclear-safety-tags/technical-assessment-guides-tags-nuclear-safety-full-list/</vt:lpwstr>
      </vt:variant>
      <vt:variant>
        <vt:lpwstr/>
      </vt:variant>
      <vt:variant>
        <vt:i4>2097206</vt:i4>
      </vt:variant>
      <vt:variant>
        <vt:i4>0</vt:i4>
      </vt:variant>
      <vt:variant>
        <vt:i4>0</vt:i4>
      </vt:variant>
      <vt:variant>
        <vt:i4>5</vt:i4>
      </vt:variant>
      <vt:variant>
        <vt:lpwstr>https://www.onr.org.uk/media/pobf24xm/saps2014.pdf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quality management</dc:title>
  <dc:subject>[Subtitle or description]</dc:subject>
  <dc:creator>Liam Dunning</dc:creator>
  <cp:keywords>[Key words separated by commas]</cp:keywords>
  <dc:description/>
  <cp:lastModifiedBy>Steve McCabe</cp:lastModifiedBy>
  <cp:revision>2</cp:revision>
  <cp:lastPrinted>2016-11-28T19:35:00Z</cp:lastPrinted>
  <dcterms:created xsi:type="dcterms:W3CDTF">2024-11-28T16:29:00Z</dcterms:created>
  <dcterms:modified xsi:type="dcterms:W3CDTF">2024-11-28T16:29:00Z</dcterms:modified>
  <cp:contentStatus>2.3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