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963" w14:textId="77777777" w:rsidR="00C10B8A" w:rsidRPr="00D901A4" w:rsidRDefault="00C10B8A" w:rsidP="00E2267D">
      <w:pPr>
        <w:jc w:val="center"/>
        <w:rPr>
          <w:rFonts w:ascii="Arial" w:hAnsi="Arial" w:cs="Arial"/>
          <w:b/>
        </w:rPr>
      </w:pPr>
      <w:r w:rsidRPr="00D901A4">
        <w:rPr>
          <w:rFonts w:ascii="Arial" w:hAnsi="Arial" w:cs="Arial"/>
          <w:b/>
        </w:rPr>
        <w:t xml:space="preserve">Minutes of the ONR Board </w:t>
      </w:r>
    </w:p>
    <w:p w14:paraId="6E243EE2" w14:textId="483D90A5" w:rsidR="00C10B8A" w:rsidRPr="00D901A4" w:rsidRDefault="005122E9" w:rsidP="00E2267D">
      <w:pPr>
        <w:jc w:val="center"/>
        <w:rPr>
          <w:rFonts w:ascii="Arial" w:hAnsi="Arial" w:cs="Arial"/>
          <w:b/>
        </w:rPr>
      </w:pPr>
      <w:r>
        <w:rPr>
          <w:rFonts w:ascii="Arial" w:hAnsi="Arial" w:cs="Arial"/>
          <w:b/>
        </w:rPr>
        <w:t>3</w:t>
      </w:r>
      <w:r w:rsidR="00C0174B">
        <w:rPr>
          <w:rFonts w:ascii="Arial" w:hAnsi="Arial" w:cs="Arial"/>
          <w:b/>
        </w:rPr>
        <w:t>1</w:t>
      </w:r>
      <w:r w:rsidR="00C10B8A" w:rsidRPr="00D901A4">
        <w:rPr>
          <w:rFonts w:ascii="Arial" w:hAnsi="Arial" w:cs="Arial"/>
          <w:b/>
        </w:rPr>
        <w:t xml:space="preserve"> </w:t>
      </w:r>
      <w:r w:rsidR="00C0174B">
        <w:rPr>
          <w:rFonts w:ascii="Arial" w:hAnsi="Arial" w:cs="Arial"/>
          <w:b/>
        </w:rPr>
        <w:t xml:space="preserve">July </w:t>
      </w:r>
      <w:r w:rsidR="00B031AD">
        <w:rPr>
          <w:rFonts w:ascii="Arial" w:hAnsi="Arial" w:cs="Arial"/>
          <w:b/>
        </w:rPr>
        <w:t>2024</w:t>
      </w:r>
    </w:p>
    <w:p w14:paraId="7F8D4EB9" w14:textId="73C57AC3" w:rsidR="00C10B8A" w:rsidRPr="00D901A4" w:rsidRDefault="00C10B8A" w:rsidP="00E2267D">
      <w:pPr>
        <w:jc w:val="center"/>
        <w:rPr>
          <w:rFonts w:ascii="Arial" w:hAnsi="Arial" w:cs="Arial"/>
          <w:b/>
        </w:rPr>
      </w:pPr>
      <w:r w:rsidRPr="00D901A4">
        <w:rPr>
          <w:rFonts w:ascii="Arial" w:hAnsi="Arial" w:cs="Arial"/>
          <w:b/>
        </w:rPr>
        <w:t xml:space="preserve"> MS Teams and </w:t>
      </w:r>
      <w:r w:rsidR="00C0174B">
        <w:rPr>
          <w:rFonts w:ascii="Arial" w:hAnsi="Arial" w:cs="Arial"/>
          <w:b/>
        </w:rPr>
        <w:t>Denman</w:t>
      </w:r>
      <w:r w:rsidRPr="00D901A4">
        <w:rPr>
          <w:rFonts w:ascii="Arial" w:hAnsi="Arial" w:cs="Arial"/>
          <w:b/>
        </w:rPr>
        <w:t xml:space="preserve">, </w:t>
      </w:r>
      <w:r w:rsidR="00C0174B">
        <w:rPr>
          <w:rFonts w:ascii="Arial" w:hAnsi="Arial" w:cs="Arial"/>
          <w:b/>
        </w:rPr>
        <w:t>St James House</w:t>
      </w:r>
    </w:p>
    <w:p w14:paraId="6B11FB54" w14:textId="77777777" w:rsidR="00C10B8A" w:rsidRPr="00D901A4" w:rsidRDefault="00C10B8A" w:rsidP="00E2267D">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C10B8A" w:rsidRPr="00D901A4" w14:paraId="76D8A026" w14:textId="77777777" w:rsidTr="00A41B00">
        <w:tc>
          <w:tcPr>
            <w:tcW w:w="4395" w:type="dxa"/>
          </w:tcPr>
          <w:p w14:paraId="2BE3A38D" w14:textId="77777777" w:rsidR="00C10B8A" w:rsidRPr="00D901A4" w:rsidRDefault="00C10B8A" w:rsidP="00E2267D">
            <w:pPr>
              <w:rPr>
                <w:rFonts w:ascii="Arial" w:hAnsi="Arial" w:cs="Arial"/>
                <w:b/>
              </w:rPr>
            </w:pPr>
            <w:r w:rsidRPr="00D901A4">
              <w:rPr>
                <w:rFonts w:ascii="Arial" w:hAnsi="Arial" w:cs="Arial"/>
                <w:b/>
              </w:rPr>
              <w:t xml:space="preserve">Present: </w:t>
            </w:r>
          </w:p>
          <w:p w14:paraId="57063090" w14:textId="0EEAB6CC" w:rsidR="00C10B8A" w:rsidRPr="00D901A4" w:rsidRDefault="00E47DD7" w:rsidP="00E2267D">
            <w:pPr>
              <w:rPr>
                <w:rFonts w:ascii="Arial" w:hAnsi="Arial" w:cs="Arial"/>
              </w:rPr>
            </w:pPr>
            <w:r>
              <w:rPr>
                <w:rFonts w:ascii="Arial" w:hAnsi="Arial" w:cs="Arial"/>
              </w:rPr>
              <w:t>Judith Hackitt</w:t>
            </w:r>
            <w:r w:rsidR="00C10B8A" w:rsidRPr="00D901A4">
              <w:rPr>
                <w:rFonts w:ascii="Arial" w:hAnsi="Arial" w:cs="Arial"/>
              </w:rPr>
              <w:t xml:space="preserve"> - Chair</w:t>
            </w:r>
            <w:r w:rsidR="00C10B8A" w:rsidRPr="00D901A4">
              <w:rPr>
                <w:rFonts w:ascii="Arial" w:hAnsi="Arial" w:cs="Arial"/>
              </w:rPr>
              <w:tab/>
            </w:r>
          </w:p>
          <w:p w14:paraId="422B8997" w14:textId="4D876E07" w:rsidR="00E47DD7" w:rsidRDefault="00E47DD7" w:rsidP="00E47DD7">
            <w:pPr>
              <w:rPr>
                <w:rFonts w:ascii="Arial" w:hAnsi="Arial" w:cs="Arial"/>
              </w:rPr>
            </w:pPr>
            <w:r>
              <w:rPr>
                <w:rFonts w:ascii="Arial" w:hAnsi="Arial" w:cs="Arial"/>
              </w:rPr>
              <w:t>Sarika Patel</w:t>
            </w:r>
            <w:r w:rsidRPr="00D901A4">
              <w:rPr>
                <w:rFonts w:ascii="Arial" w:hAnsi="Arial" w:cs="Arial"/>
              </w:rPr>
              <w:t xml:space="preserve"> - Non-Executive Director</w:t>
            </w:r>
          </w:p>
          <w:p w14:paraId="4917659F" w14:textId="2FC8B744" w:rsidR="00C10B8A" w:rsidRPr="00D901A4" w:rsidRDefault="00C10B8A" w:rsidP="00E2267D">
            <w:pPr>
              <w:rPr>
                <w:rFonts w:ascii="Arial" w:hAnsi="Arial" w:cs="Arial"/>
              </w:rPr>
            </w:pPr>
            <w:r w:rsidRPr="00D901A4">
              <w:rPr>
                <w:rFonts w:ascii="Arial" w:hAnsi="Arial" w:cs="Arial"/>
              </w:rPr>
              <w:t>Tracey Matthews - Non-Executive Director</w:t>
            </w:r>
          </w:p>
          <w:p w14:paraId="21A271DC" w14:textId="77777777" w:rsidR="00C10B8A" w:rsidRPr="00D901A4" w:rsidRDefault="00C10B8A" w:rsidP="00E2267D">
            <w:pPr>
              <w:rPr>
                <w:rFonts w:ascii="Arial" w:hAnsi="Arial" w:cs="Arial"/>
              </w:rPr>
            </w:pPr>
            <w:r w:rsidRPr="00D901A4">
              <w:rPr>
                <w:rFonts w:ascii="Arial" w:hAnsi="Arial" w:cs="Arial"/>
              </w:rPr>
              <w:t>Jean Llewellyn - Non-Executive Director</w:t>
            </w:r>
          </w:p>
          <w:p w14:paraId="6FF6CA61" w14:textId="6798B0C6" w:rsidR="00C10B8A" w:rsidRDefault="00C10B8A" w:rsidP="00E2267D">
            <w:pPr>
              <w:rPr>
                <w:rFonts w:ascii="Arial" w:hAnsi="Arial" w:cs="Arial"/>
              </w:rPr>
            </w:pPr>
            <w:r w:rsidRPr="00D901A4">
              <w:rPr>
                <w:rFonts w:ascii="Arial" w:hAnsi="Arial" w:cs="Arial"/>
              </w:rPr>
              <w:t>J</w:t>
            </w:r>
            <w:r w:rsidR="0073328E" w:rsidRPr="00D901A4">
              <w:rPr>
                <w:rFonts w:ascii="Arial" w:hAnsi="Arial" w:cs="Arial"/>
              </w:rPr>
              <w:t>a</w:t>
            </w:r>
            <w:r w:rsidRPr="00D901A4">
              <w:rPr>
                <w:rFonts w:ascii="Arial" w:hAnsi="Arial" w:cs="Arial"/>
              </w:rPr>
              <w:t>net Wilson - Non-Executive Director</w:t>
            </w:r>
          </w:p>
          <w:p w14:paraId="74FECE52" w14:textId="6C08D7AA" w:rsidR="00FA7352" w:rsidRPr="00D901A4" w:rsidRDefault="00FA7352" w:rsidP="00E2267D">
            <w:pPr>
              <w:rPr>
                <w:rFonts w:ascii="Arial" w:hAnsi="Arial" w:cs="Arial"/>
              </w:rPr>
            </w:pPr>
            <w:r>
              <w:rPr>
                <w:rFonts w:ascii="Arial" w:hAnsi="Arial" w:cs="Arial"/>
              </w:rPr>
              <w:t>Roger Hardy</w:t>
            </w:r>
            <w:r w:rsidR="00C85518">
              <w:rPr>
                <w:rFonts w:ascii="Arial" w:hAnsi="Arial" w:cs="Arial"/>
              </w:rPr>
              <w:t>-</w:t>
            </w:r>
            <w:r>
              <w:rPr>
                <w:rFonts w:ascii="Arial" w:hAnsi="Arial" w:cs="Arial"/>
              </w:rPr>
              <w:t xml:space="preserve"> Non-E</w:t>
            </w:r>
            <w:r w:rsidR="00C80E71">
              <w:rPr>
                <w:rFonts w:ascii="Arial" w:hAnsi="Arial" w:cs="Arial"/>
              </w:rPr>
              <w:t>xecutive Director</w:t>
            </w:r>
          </w:p>
          <w:p w14:paraId="5C1203F3" w14:textId="48624BDF" w:rsidR="0073328E" w:rsidRDefault="0073328E" w:rsidP="00E2267D">
            <w:pPr>
              <w:rPr>
                <w:rFonts w:ascii="Arial" w:hAnsi="Arial" w:cs="Arial"/>
              </w:rPr>
            </w:pPr>
            <w:r w:rsidRPr="00D901A4">
              <w:rPr>
                <w:rFonts w:ascii="Arial" w:hAnsi="Arial" w:cs="Arial"/>
              </w:rPr>
              <w:t xml:space="preserve">Mark Foy- Chief Executive and </w:t>
            </w:r>
            <w:r w:rsidR="00144568" w:rsidRPr="00D901A4">
              <w:rPr>
                <w:rFonts w:ascii="Arial" w:hAnsi="Arial" w:cs="Arial"/>
              </w:rPr>
              <w:t>Chief Nuclear Inspector</w:t>
            </w:r>
            <w:r w:rsidR="00063B76">
              <w:rPr>
                <w:rFonts w:ascii="Arial" w:hAnsi="Arial" w:cs="Arial"/>
              </w:rPr>
              <w:t xml:space="preserve"> (CE/CNI)</w:t>
            </w:r>
          </w:p>
          <w:p w14:paraId="361DC128" w14:textId="29D56DA3" w:rsidR="00594CA6" w:rsidRDefault="00594CA6" w:rsidP="00594CA6">
            <w:pPr>
              <w:rPr>
                <w:rFonts w:ascii="Arial" w:hAnsi="Arial" w:cs="Arial"/>
              </w:rPr>
            </w:pPr>
            <w:r>
              <w:rPr>
                <w:rFonts w:ascii="Arial" w:hAnsi="Arial" w:cs="Arial"/>
              </w:rPr>
              <w:t xml:space="preserve">Paul Fyfe, </w:t>
            </w:r>
            <w:r w:rsidR="00320E2D">
              <w:rPr>
                <w:rFonts w:ascii="Arial" w:hAnsi="Arial" w:cs="Arial"/>
              </w:rPr>
              <w:t xml:space="preserve">Senior </w:t>
            </w:r>
            <w:r w:rsidRPr="008471F1">
              <w:rPr>
                <w:rFonts w:ascii="Arial" w:hAnsi="Arial" w:cs="Arial"/>
              </w:rPr>
              <w:t>Director</w:t>
            </w:r>
            <w:r w:rsidR="00A77083">
              <w:rPr>
                <w:rFonts w:ascii="Arial" w:hAnsi="Arial" w:cs="Arial"/>
              </w:rPr>
              <w:t xml:space="preserve"> </w:t>
            </w:r>
            <w:r w:rsidRPr="008471F1">
              <w:rPr>
                <w:rFonts w:ascii="Arial" w:hAnsi="Arial" w:cs="Arial"/>
              </w:rPr>
              <w:t>Regulation</w:t>
            </w:r>
          </w:p>
          <w:p w14:paraId="5536E5E1" w14:textId="77777777" w:rsidR="00594CA6" w:rsidRPr="00D901A4" w:rsidRDefault="00594CA6" w:rsidP="00E2267D">
            <w:pPr>
              <w:rPr>
                <w:rFonts w:ascii="Arial" w:hAnsi="Arial" w:cs="Arial"/>
              </w:rPr>
            </w:pPr>
          </w:p>
          <w:p w14:paraId="35FF07E5" w14:textId="77777777" w:rsidR="00C10B8A" w:rsidRDefault="00C10B8A" w:rsidP="00E47DD7">
            <w:pPr>
              <w:rPr>
                <w:rFonts w:ascii="Arial" w:hAnsi="Arial" w:cs="Arial"/>
              </w:rPr>
            </w:pPr>
          </w:p>
          <w:p w14:paraId="6108AD71" w14:textId="77777777" w:rsidR="00720D7F" w:rsidRDefault="00720D7F" w:rsidP="00720D7F">
            <w:pPr>
              <w:rPr>
                <w:rFonts w:ascii="Arial" w:hAnsi="Arial" w:cs="Arial"/>
              </w:rPr>
            </w:pPr>
          </w:p>
          <w:p w14:paraId="3008A050" w14:textId="77777777" w:rsidR="00720D7F" w:rsidRPr="00720D7F" w:rsidRDefault="00720D7F" w:rsidP="00720D7F">
            <w:pPr>
              <w:jc w:val="right"/>
              <w:rPr>
                <w:rFonts w:ascii="Arial" w:hAnsi="Arial" w:cs="Arial"/>
              </w:rPr>
            </w:pPr>
          </w:p>
        </w:tc>
        <w:tc>
          <w:tcPr>
            <w:tcW w:w="4631" w:type="dxa"/>
          </w:tcPr>
          <w:p w14:paraId="55FAED62" w14:textId="77777777" w:rsidR="00C10B8A" w:rsidRPr="00D901A4" w:rsidRDefault="00C10B8A" w:rsidP="00E2267D">
            <w:pPr>
              <w:rPr>
                <w:rFonts w:ascii="Arial" w:hAnsi="Arial" w:cs="Arial"/>
                <w:b/>
              </w:rPr>
            </w:pPr>
            <w:r w:rsidRPr="00D901A4">
              <w:rPr>
                <w:rFonts w:ascii="Arial" w:hAnsi="Arial" w:cs="Arial"/>
                <w:b/>
              </w:rPr>
              <w:t>In Attendance:</w:t>
            </w:r>
          </w:p>
          <w:p w14:paraId="05A7A7EE" w14:textId="77777777" w:rsidR="00EA6A16" w:rsidRPr="00EA6A16" w:rsidRDefault="00EA6A16" w:rsidP="00EA6A16">
            <w:pPr>
              <w:rPr>
                <w:rFonts w:ascii="Arial" w:hAnsi="Arial" w:cs="Arial"/>
              </w:rPr>
            </w:pPr>
            <w:r w:rsidRPr="00EA6A16">
              <w:rPr>
                <w:rFonts w:ascii="Arial" w:hAnsi="Arial" w:cs="Arial"/>
              </w:rPr>
              <w:t>Lorraine Medcalf, Head of</w:t>
            </w:r>
          </w:p>
          <w:p w14:paraId="0BE21275" w14:textId="77777777" w:rsidR="00EA6A16" w:rsidRPr="00EA6A16" w:rsidRDefault="00EA6A16" w:rsidP="00EA6A16">
            <w:pPr>
              <w:rPr>
                <w:rFonts w:ascii="Arial" w:hAnsi="Arial" w:cs="Arial"/>
              </w:rPr>
            </w:pPr>
            <w:r w:rsidRPr="00EA6A16">
              <w:rPr>
                <w:rFonts w:ascii="Arial" w:hAnsi="Arial" w:cs="Arial"/>
              </w:rPr>
              <w:t>International Strategy and Public</w:t>
            </w:r>
          </w:p>
          <w:p w14:paraId="591B4865" w14:textId="4EFB7642" w:rsidR="00982CF3" w:rsidRPr="00F05B2F" w:rsidRDefault="00EA6A16" w:rsidP="00EA6A16">
            <w:pPr>
              <w:rPr>
                <w:rFonts w:ascii="Arial" w:hAnsi="Arial" w:cs="Arial"/>
              </w:rPr>
            </w:pPr>
            <w:r w:rsidRPr="00EA6A16">
              <w:rPr>
                <w:rFonts w:ascii="Arial" w:hAnsi="Arial" w:cs="Arial"/>
              </w:rPr>
              <w:t>Correspondence</w:t>
            </w:r>
            <w:r w:rsidR="007712D2">
              <w:rPr>
                <w:rStyle w:val="FootnoteReference"/>
                <w:rFonts w:ascii="Arial" w:hAnsi="Arial" w:cs="Arial"/>
              </w:rPr>
              <w:footnoteReference w:id="1"/>
            </w:r>
          </w:p>
          <w:p w14:paraId="5FE0F89A" w14:textId="053E09E6" w:rsidR="00592657" w:rsidRDefault="00592657" w:rsidP="005122E9">
            <w:pPr>
              <w:rPr>
                <w:rFonts w:ascii="Arial" w:hAnsi="Arial" w:cs="Arial"/>
              </w:rPr>
            </w:pPr>
            <w:r>
              <w:rPr>
                <w:rFonts w:ascii="Arial" w:hAnsi="Arial" w:cs="Arial"/>
              </w:rPr>
              <w:t>Katie Riley</w:t>
            </w:r>
            <w:r w:rsidR="00DA582E">
              <w:rPr>
                <w:rFonts w:ascii="Arial" w:hAnsi="Arial" w:cs="Arial"/>
              </w:rPr>
              <w:t>, Senior Finance Business Partner</w:t>
            </w:r>
            <w:r w:rsidR="00DA582E">
              <w:rPr>
                <w:rStyle w:val="FootnoteReference"/>
                <w:rFonts w:ascii="Arial" w:hAnsi="Arial" w:cs="Arial"/>
              </w:rPr>
              <w:footnoteReference w:id="2"/>
            </w:r>
            <w:r>
              <w:rPr>
                <w:rFonts w:ascii="Arial" w:hAnsi="Arial" w:cs="Arial"/>
              </w:rPr>
              <w:t xml:space="preserve"> </w:t>
            </w:r>
          </w:p>
          <w:p w14:paraId="2E5EDCE5" w14:textId="0F94F0A7" w:rsidR="00B04838" w:rsidRDefault="00B04838" w:rsidP="005122E9">
            <w:pPr>
              <w:rPr>
                <w:rFonts w:ascii="Arial" w:hAnsi="Arial" w:cs="Arial"/>
              </w:rPr>
            </w:pPr>
            <w:r w:rsidRPr="000A6EB5">
              <w:rPr>
                <w:rFonts w:ascii="Arial" w:hAnsi="Arial" w:cs="Arial"/>
              </w:rPr>
              <w:t>Sophie Tr</w:t>
            </w:r>
            <w:r w:rsidR="00C92998" w:rsidRPr="000A6EB5">
              <w:rPr>
                <w:rFonts w:ascii="Arial" w:hAnsi="Arial" w:cs="Arial"/>
              </w:rPr>
              <w:t>e</w:t>
            </w:r>
            <w:r w:rsidRPr="000A6EB5">
              <w:rPr>
                <w:rFonts w:ascii="Arial" w:hAnsi="Arial" w:cs="Arial"/>
              </w:rPr>
              <w:t>venna</w:t>
            </w:r>
            <w:r w:rsidR="000A6EB5" w:rsidRPr="000A6EB5">
              <w:rPr>
                <w:rFonts w:ascii="Arial" w:hAnsi="Arial" w:cs="Arial"/>
              </w:rPr>
              <w:t>, Head of Risk and Assurance</w:t>
            </w:r>
            <w:r w:rsidR="007712D2">
              <w:rPr>
                <w:rStyle w:val="FootnoteReference"/>
                <w:rFonts w:ascii="Arial" w:hAnsi="Arial" w:cs="Arial"/>
              </w:rPr>
              <w:footnoteReference w:id="3"/>
            </w:r>
          </w:p>
          <w:p w14:paraId="53770ED9" w14:textId="77777777" w:rsidR="00877ACD" w:rsidRPr="00877ACD" w:rsidRDefault="00356714" w:rsidP="00877ACD">
            <w:pPr>
              <w:rPr>
                <w:rFonts w:ascii="Arial" w:hAnsi="Arial" w:cs="Arial"/>
              </w:rPr>
            </w:pPr>
            <w:r>
              <w:rPr>
                <w:rFonts w:ascii="Arial" w:hAnsi="Arial" w:cs="Arial"/>
              </w:rPr>
              <w:t>Simon Coldham</w:t>
            </w:r>
            <w:r w:rsidR="00877ACD">
              <w:rPr>
                <w:rFonts w:ascii="Arial" w:hAnsi="Arial" w:cs="Arial"/>
              </w:rPr>
              <w:t xml:space="preserve">, </w:t>
            </w:r>
            <w:r w:rsidR="00877ACD" w:rsidRPr="00877ACD">
              <w:rPr>
                <w:rFonts w:ascii="Arial" w:hAnsi="Arial" w:cs="Arial"/>
              </w:rPr>
              <w:t>Chief</w:t>
            </w:r>
          </w:p>
          <w:p w14:paraId="777F9443" w14:textId="7BA2C6A9" w:rsidR="00356714" w:rsidRDefault="00877ACD" w:rsidP="00877ACD">
            <w:pPr>
              <w:rPr>
                <w:rFonts w:ascii="Arial" w:hAnsi="Arial" w:cs="Arial"/>
              </w:rPr>
            </w:pPr>
            <w:r w:rsidRPr="00877ACD">
              <w:rPr>
                <w:rFonts w:ascii="Arial" w:hAnsi="Arial" w:cs="Arial"/>
              </w:rPr>
              <w:t>Information Officer</w:t>
            </w:r>
            <w:r>
              <w:rPr>
                <w:rStyle w:val="FootnoteReference"/>
                <w:rFonts w:ascii="Arial" w:hAnsi="Arial" w:cs="Arial"/>
              </w:rPr>
              <w:footnoteReference w:id="4"/>
            </w:r>
            <w:r w:rsidR="00356714">
              <w:rPr>
                <w:rFonts w:ascii="Arial" w:hAnsi="Arial" w:cs="Arial"/>
              </w:rPr>
              <w:t xml:space="preserve"> </w:t>
            </w:r>
          </w:p>
          <w:p w14:paraId="013139D2" w14:textId="77777777" w:rsidR="0039712B" w:rsidRPr="0039712B" w:rsidRDefault="0039712B" w:rsidP="0039712B">
            <w:pPr>
              <w:rPr>
                <w:rFonts w:ascii="Arial" w:hAnsi="Arial" w:cs="Arial"/>
              </w:rPr>
            </w:pPr>
            <w:r w:rsidRPr="0039712B">
              <w:rPr>
                <w:rFonts w:ascii="Arial" w:hAnsi="Arial" w:cs="Arial"/>
              </w:rPr>
              <w:t>Donald Urquhart, Special</w:t>
            </w:r>
          </w:p>
          <w:p w14:paraId="5883CDA9" w14:textId="77777777" w:rsidR="0039712B" w:rsidRPr="0039712B" w:rsidRDefault="0039712B" w:rsidP="0039712B">
            <w:pPr>
              <w:rPr>
                <w:rFonts w:ascii="Arial" w:hAnsi="Arial" w:cs="Arial"/>
              </w:rPr>
            </w:pPr>
            <w:r w:rsidRPr="0039712B">
              <w:rPr>
                <w:rFonts w:ascii="Arial" w:hAnsi="Arial" w:cs="Arial"/>
              </w:rPr>
              <w:t>Advisor to the Chief Executive</w:t>
            </w:r>
          </w:p>
          <w:p w14:paraId="3C1965EE" w14:textId="4A38CC42" w:rsidR="0039712B" w:rsidRDefault="0039712B" w:rsidP="0039712B">
            <w:pPr>
              <w:rPr>
                <w:rFonts w:ascii="Arial" w:hAnsi="Arial" w:cs="Arial"/>
              </w:rPr>
            </w:pPr>
            <w:r w:rsidRPr="0039712B">
              <w:rPr>
                <w:rFonts w:ascii="Arial" w:hAnsi="Arial" w:cs="Arial"/>
              </w:rPr>
              <w:t>and Chief Nuclear Inspector</w:t>
            </w:r>
            <w:r>
              <w:rPr>
                <w:rStyle w:val="FootnoteReference"/>
                <w:rFonts w:ascii="Arial" w:hAnsi="Arial" w:cs="Arial"/>
              </w:rPr>
              <w:footnoteReference w:id="5"/>
            </w:r>
          </w:p>
          <w:p w14:paraId="1DB0EB4C" w14:textId="24F2A257" w:rsidR="00C10B8A" w:rsidRPr="000A6EB5" w:rsidRDefault="00720D7F" w:rsidP="00720D7F">
            <w:pPr>
              <w:tabs>
                <w:tab w:val="left" w:pos="1620"/>
              </w:tabs>
              <w:rPr>
                <w:rFonts w:ascii="Arial" w:hAnsi="Arial" w:cs="Arial"/>
              </w:rPr>
            </w:pPr>
            <w:r>
              <w:rPr>
                <w:rFonts w:ascii="Arial" w:hAnsi="Arial" w:cs="Arial"/>
              </w:rPr>
              <w:tab/>
            </w:r>
          </w:p>
          <w:p w14:paraId="273F842C" w14:textId="2B0F4AEB" w:rsidR="00C10B8A" w:rsidRPr="00881CDD" w:rsidRDefault="00C10B8A" w:rsidP="00E2267D">
            <w:pPr>
              <w:rPr>
                <w:rFonts w:ascii="Arial" w:hAnsi="Arial" w:cs="Arial"/>
                <w:b/>
                <w:bCs/>
              </w:rPr>
            </w:pPr>
            <w:r w:rsidRPr="00881CDD">
              <w:rPr>
                <w:rFonts w:ascii="Arial" w:hAnsi="Arial" w:cs="Arial"/>
                <w:b/>
                <w:bCs/>
              </w:rPr>
              <w:t xml:space="preserve">Observer: </w:t>
            </w:r>
          </w:p>
          <w:p w14:paraId="04F64599" w14:textId="2F19F6D7" w:rsidR="00903A32" w:rsidRPr="00D901A4" w:rsidRDefault="00720D7F" w:rsidP="00903A32">
            <w:pPr>
              <w:rPr>
                <w:rFonts w:ascii="Arial" w:hAnsi="Arial" w:cs="Arial"/>
              </w:rPr>
            </w:pPr>
            <w:r w:rsidRPr="00720D7F">
              <w:rPr>
                <w:rFonts w:ascii="Arial" w:hAnsi="Arial" w:cs="Arial"/>
              </w:rPr>
              <w:t xml:space="preserve">Chris Hannaway, </w:t>
            </w:r>
            <w:r w:rsidR="00D939BD" w:rsidRPr="00D939BD">
              <w:rPr>
                <w:rFonts w:ascii="Arial" w:hAnsi="Arial" w:cs="Arial"/>
              </w:rPr>
              <w:t>Deputy Head of Communications</w:t>
            </w:r>
          </w:p>
        </w:tc>
      </w:tr>
    </w:tbl>
    <w:p w14:paraId="201A42DE" w14:textId="347E9554" w:rsidR="00467635" w:rsidRPr="00D901A4" w:rsidRDefault="00C10B8A" w:rsidP="00E2267D">
      <w:pPr>
        <w:rPr>
          <w:rFonts w:ascii="Arial" w:hAnsi="Arial" w:cs="Arial"/>
          <w:bCs/>
        </w:rPr>
      </w:pPr>
      <w:r w:rsidRPr="00D901A4">
        <w:rPr>
          <w:rFonts w:ascii="Arial" w:hAnsi="Arial" w:cs="Arial"/>
          <w:b/>
        </w:rPr>
        <w:t xml:space="preserve">Secretariat: </w:t>
      </w:r>
      <w:r w:rsidRPr="00D901A4">
        <w:rPr>
          <w:rFonts w:ascii="Arial" w:hAnsi="Arial" w:cs="Arial"/>
          <w:bCs/>
        </w:rPr>
        <w:t>Nidhi Misri, Head of Corporate Governance and Compliance (Board Secretary)</w:t>
      </w:r>
    </w:p>
    <w:p w14:paraId="77337421" w14:textId="0BFB142C" w:rsidR="00C10B8A" w:rsidRPr="00D901A4" w:rsidRDefault="00C10B8A" w:rsidP="00E2267D">
      <w:pPr>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875"/>
      </w:tblGrid>
      <w:tr w:rsidR="000A5AC2" w:rsidRPr="00D901A4" w14:paraId="3390E441" w14:textId="77777777" w:rsidTr="006159E8">
        <w:tc>
          <w:tcPr>
            <w:tcW w:w="1141" w:type="dxa"/>
          </w:tcPr>
          <w:p w14:paraId="1D59C22B" w14:textId="77777777" w:rsidR="000A5AC2" w:rsidRPr="00D901A4" w:rsidRDefault="000A5AC2" w:rsidP="00E2267D">
            <w:pPr>
              <w:tabs>
                <w:tab w:val="left" w:pos="5347"/>
              </w:tabs>
              <w:rPr>
                <w:rFonts w:ascii="Arial" w:hAnsi="Arial" w:cs="Arial"/>
                <w:b/>
              </w:rPr>
            </w:pPr>
            <w:r w:rsidRPr="00D901A4">
              <w:rPr>
                <w:rFonts w:ascii="Arial" w:hAnsi="Arial" w:cs="Arial"/>
                <w:b/>
              </w:rPr>
              <w:t>1</w:t>
            </w:r>
          </w:p>
        </w:tc>
        <w:tc>
          <w:tcPr>
            <w:tcW w:w="7875" w:type="dxa"/>
          </w:tcPr>
          <w:p w14:paraId="177ABECB" w14:textId="77777777" w:rsidR="000A5AC2" w:rsidRPr="00D901A4" w:rsidRDefault="000A5AC2" w:rsidP="00E2267D">
            <w:pPr>
              <w:tabs>
                <w:tab w:val="left" w:pos="5347"/>
              </w:tabs>
              <w:rPr>
                <w:rFonts w:ascii="Arial" w:hAnsi="Arial" w:cs="Arial"/>
                <w:b/>
              </w:rPr>
            </w:pPr>
            <w:r w:rsidRPr="00D901A4">
              <w:rPr>
                <w:rFonts w:ascii="Arial" w:hAnsi="Arial" w:cs="Arial"/>
                <w:b/>
              </w:rPr>
              <w:t xml:space="preserve">Welcome, Apologies for Absence and Declarations of Interest </w:t>
            </w:r>
          </w:p>
          <w:p w14:paraId="5AF63D0C" w14:textId="77777777" w:rsidR="000A5AC2" w:rsidRPr="00D901A4" w:rsidRDefault="000A5AC2" w:rsidP="00E2267D">
            <w:pPr>
              <w:tabs>
                <w:tab w:val="left" w:pos="5347"/>
              </w:tabs>
              <w:rPr>
                <w:rFonts w:ascii="Arial" w:hAnsi="Arial" w:cs="Arial"/>
                <w:b/>
              </w:rPr>
            </w:pPr>
          </w:p>
        </w:tc>
      </w:tr>
      <w:tr w:rsidR="000A5AC2" w:rsidRPr="00D901A4" w14:paraId="0B576307" w14:textId="77777777" w:rsidTr="006159E8">
        <w:tc>
          <w:tcPr>
            <w:tcW w:w="1141" w:type="dxa"/>
          </w:tcPr>
          <w:p w14:paraId="589164DC" w14:textId="77777777" w:rsidR="000A5AC2" w:rsidRPr="00D901A4" w:rsidRDefault="000A5AC2" w:rsidP="00E2267D">
            <w:pPr>
              <w:tabs>
                <w:tab w:val="left" w:pos="5347"/>
              </w:tabs>
              <w:rPr>
                <w:rFonts w:ascii="Arial" w:hAnsi="Arial" w:cs="Arial"/>
              </w:rPr>
            </w:pPr>
            <w:r w:rsidRPr="00D901A4">
              <w:rPr>
                <w:rFonts w:ascii="Arial" w:hAnsi="Arial" w:cs="Arial"/>
              </w:rPr>
              <w:t>1.1</w:t>
            </w:r>
          </w:p>
          <w:p w14:paraId="5CD71E31" w14:textId="77777777" w:rsidR="000A5AC2" w:rsidRPr="00D901A4" w:rsidRDefault="000A5AC2" w:rsidP="00E2267D">
            <w:pPr>
              <w:tabs>
                <w:tab w:val="left" w:pos="5347"/>
              </w:tabs>
              <w:rPr>
                <w:rFonts w:ascii="Arial" w:hAnsi="Arial" w:cs="Arial"/>
              </w:rPr>
            </w:pPr>
          </w:p>
        </w:tc>
        <w:tc>
          <w:tcPr>
            <w:tcW w:w="7875" w:type="dxa"/>
          </w:tcPr>
          <w:p w14:paraId="5A9C1581" w14:textId="0DA34B7B" w:rsidR="002B4BD1" w:rsidRDefault="000A5AC2" w:rsidP="002B4BD1">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D901A4">
              <w:rPr>
                <w:rFonts w:ascii="Arial" w:eastAsia="Arial" w:hAnsi="Arial" w:cs="Arial"/>
                <w:bCs/>
                <w:color w:val="auto"/>
              </w:rPr>
              <w:t xml:space="preserve">The Chair welcomed everyone to the meeting. An apology for absence had been received on behalf of </w:t>
            </w:r>
            <w:r w:rsidR="00962A8A">
              <w:rPr>
                <w:rFonts w:ascii="Arial" w:eastAsia="Arial" w:hAnsi="Arial" w:cs="Arial"/>
                <w:bCs/>
                <w:color w:val="auto"/>
              </w:rPr>
              <w:t>Sarah High</w:t>
            </w:r>
            <w:r w:rsidR="0025445A">
              <w:rPr>
                <w:rFonts w:ascii="Arial" w:eastAsia="Arial" w:hAnsi="Arial" w:cs="Arial"/>
                <w:bCs/>
                <w:color w:val="auto"/>
              </w:rPr>
              <w:t xml:space="preserve">, </w:t>
            </w:r>
            <w:r w:rsidR="00353DC6">
              <w:rPr>
                <w:rFonts w:ascii="Arial" w:eastAsia="Arial" w:hAnsi="Arial" w:cs="Arial"/>
                <w:bCs/>
                <w:color w:val="auto"/>
              </w:rPr>
              <w:t>Rachel Grant</w:t>
            </w:r>
            <w:r w:rsidR="0025445A">
              <w:rPr>
                <w:rFonts w:ascii="Arial" w:eastAsia="Arial" w:hAnsi="Arial" w:cs="Arial"/>
                <w:bCs/>
                <w:color w:val="auto"/>
              </w:rPr>
              <w:t xml:space="preserve"> and </w:t>
            </w:r>
            <w:r w:rsidR="0025445A" w:rsidRPr="0025445A">
              <w:rPr>
                <w:rFonts w:ascii="Arial" w:eastAsia="Arial" w:hAnsi="Arial" w:cs="Arial"/>
                <w:bCs/>
                <w:color w:val="auto"/>
              </w:rPr>
              <w:t>Leanne Weild</w:t>
            </w:r>
            <w:r w:rsidR="00353DC6">
              <w:rPr>
                <w:rFonts w:ascii="Arial" w:eastAsia="Arial" w:hAnsi="Arial" w:cs="Arial"/>
                <w:bCs/>
                <w:color w:val="auto"/>
              </w:rPr>
              <w:t>.</w:t>
            </w:r>
          </w:p>
          <w:p w14:paraId="43AE2893" w14:textId="44B212B6" w:rsidR="00BC0353" w:rsidRPr="00D901A4" w:rsidRDefault="00BC0353"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hAnsi="Arial" w:cs="Arial"/>
              </w:rPr>
            </w:pPr>
          </w:p>
        </w:tc>
      </w:tr>
      <w:tr w:rsidR="000A5AC2" w:rsidRPr="00D901A4" w14:paraId="7883C0BE" w14:textId="77777777" w:rsidTr="006159E8">
        <w:tc>
          <w:tcPr>
            <w:tcW w:w="1141" w:type="dxa"/>
          </w:tcPr>
          <w:p w14:paraId="7EA358AF" w14:textId="1AF07F38" w:rsidR="000A5AC2" w:rsidRPr="00D901A4" w:rsidRDefault="000A5AC2" w:rsidP="00E2267D">
            <w:pPr>
              <w:tabs>
                <w:tab w:val="left" w:pos="5347"/>
              </w:tabs>
              <w:rPr>
                <w:rFonts w:ascii="Arial" w:hAnsi="Arial" w:cs="Arial"/>
              </w:rPr>
            </w:pPr>
            <w:r w:rsidRPr="00D901A4">
              <w:rPr>
                <w:rFonts w:ascii="Arial" w:hAnsi="Arial" w:cs="Arial"/>
              </w:rPr>
              <w:t>1.</w:t>
            </w:r>
            <w:r w:rsidR="00743136">
              <w:rPr>
                <w:rFonts w:ascii="Arial" w:hAnsi="Arial" w:cs="Arial"/>
              </w:rPr>
              <w:t>2</w:t>
            </w:r>
          </w:p>
        </w:tc>
        <w:tc>
          <w:tcPr>
            <w:tcW w:w="7875" w:type="dxa"/>
          </w:tcPr>
          <w:p w14:paraId="7A5A628D" w14:textId="3F1AE9D7" w:rsidR="000A5AC2" w:rsidRPr="00D901A4" w:rsidRDefault="000A5AC2"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r w:rsidRPr="00D901A4">
              <w:rPr>
                <w:rFonts w:ascii="Arial" w:eastAsia="Arial" w:hAnsi="Arial" w:cs="Arial"/>
                <w:bCs/>
                <w:color w:val="auto"/>
              </w:rPr>
              <w:t>There were no declarations of interest.</w:t>
            </w:r>
          </w:p>
        </w:tc>
      </w:tr>
      <w:tr w:rsidR="00743136" w:rsidRPr="00D901A4" w14:paraId="604A0748" w14:textId="77777777" w:rsidTr="006159E8">
        <w:tc>
          <w:tcPr>
            <w:tcW w:w="1141" w:type="dxa"/>
          </w:tcPr>
          <w:p w14:paraId="4F439E6F" w14:textId="77777777" w:rsidR="00743136" w:rsidRPr="00D901A4" w:rsidRDefault="00743136" w:rsidP="00E2267D">
            <w:pPr>
              <w:tabs>
                <w:tab w:val="left" w:pos="5347"/>
              </w:tabs>
              <w:rPr>
                <w:rFonts w:ascii="Arial" w:hAnsi="Arial" w:cs="Arial"/>
              </w:rPr>
            </w:pPr>
          </w:p>
        </w:tc>
        <w:tc>
          <w:tcPr>
            <w:tcW w:w="7875" w:type="dxa"/>
          </w:tcPr>
          <w:p w14:paraId="7021EB3A" w14:textId="77777777" w:rsidR="00743136" w:rsidRPr="00D901A4" w:rsidRDefault="00743136"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901A4" w14:paraId="2BE6D30E" w14:textId="77777777" w:rsidTr="006159E8">
        <w:tc>
          <w:tcPr>
            <w:tcW w:w="1141" w:type="dxa"/>
          </w:tcPr>
          <w:p w14:paraId="71862D3C" w14:textId="77777777" w:rsidR="000A5AC2" w:rsidRPr="00D901A4" w:rsidRDefault="000A5AC2" w:rsidP="00E2267D">
            <w:pPr>
              <w:tabs>
                <w:tab w:val="left" w:pos="5347"/>
              </w:tabs>
              <w:rPr>
                <w:rFonts w:ascii="Arial" w:hAnsi="Arial" w:cs="Arial"/>
                <w:b/>
              </w:rPr>
            </w:pPr>
            <w:r w:rsidRPr="00D901A4">
              <w:rPr>
                <w:rFonts w:ascii="Arial" w:hAnsi="Arial" w:cs="Arial"/>
                <w:b/>
              </w:rPr>
              <w:t>2</w:t>
            </w:r>
          </w:p>
        </w:tc>
        <w:tc>
          <w:tcPr>
            <w:tcW w:w="7875" w:type="dxa"/>
          </w:tcPr>
          <w:p w14:paraId="43824C82" w14:textId="7E761A60" w:rsidR="000A5AC2" w:rsidRPr="00D901A4" w:rsidRDefault="000A5AC2" w:rsidP="00E2267D">
            <w:pPr>
              <w:tabs>
                <w:tab w:val="left" w:pos="5347"/>
              </w:tabs>
              <w:rPr>
                <w:rFonts w:ascii="Arial" w:hAnsi="Arial" w:cs="Arial"/>
                <w:b/>
              </w:rPr>
            </w:pPr>
            <w:r w:rsidRPr="00D901A4">
              <w:rPr>
                <w:rFonts w:ascii="Arial" w:hAnsi="Arial" w:cs="Arial"/>
                <w:b/>
              </w:rPr>
              <w:t xml:space="preserve">Minutes, </w:t>
            </w:r>
            <w:r w:rsidR="00815624">
              <w:rPr>
                <w:rFonts w:ascii="Arial" w:hAnsi="Arial" w:cs="Arial"/>
                <w:b/>
              </w:rPr>
              <w:t>m</w:t>
            </w:r>
            <w:r w:rsidRPr="00D901A4">
              <w:rPr>
                <w:rFonts w:ascii="Arial" w:hAnsi="Arial" w:cs="Arial"/>
                <w:b/>
              </w:rPr>
              <w:t xml:space="preserve">atters </w:t>
            </w:r>
            <w:r w:rsidR="00815624">
              <w:rPr>
                <w:rFonts w:ascii="Arial" w:hAnsi="Arial" w:cs="Arial"/>
                <w:b/>
              </w:rPr>
              <w:t>a</w:t>
            </w:r>
            <w:r w:rsidRPr="00D901A4">
              <w:rPr>
                <w:rFonts w:ascii="Arial" w:hAnsi="Arial" w:cs="Arial"/>
                <w:b/>
              </w:rPr>
              <w:t xml:space="preserve">rising and </w:t>
            </w:r>
            <w:r w:rsidR="00815624">
              <w:rPr>
                <w:rFonts w:ascii="Arial" w:hAnsi="Arial" w:cs="Arial"/>
                <w:b/>
              </w:rPr>
              <w:t>a</w:t>
            </w:r>
            <w:r w:rsidRPr="00D901A4">
              <w:rPr>
                <w:rFonts w:ascii="Arial" w:hAnsi="Arial" w:cs="Arial"/>
                <w:b/>
              </w:rPr>
              <w:t xml:space="preserve">ction </w:t>
            </w:r>
            <w:r w:rsidR="00815624">
              <w:rPr>
                <w:rFonts w:ascii="Arial" w:hAnsi="Arial" w:cs="Arial"/>
                <w:b/>
              </w:rPr>
              <w:t>p</w:t>
            </w:r>
            <w:r w:rsidRPr="00D901A4">
              <w:rPr>
                <w:rFonts w:ascii="Arial" w:hAnsi="Arial" w:cs="Arial"/>
                <w:b/>
              </w:rPr>
              <w:t xml:space="preserve">oints </w:t>
            </w:r>
          </w:p>
          <w:p w14:paraId="78BDFED9" w14:textId="77777777" w:rsidR="000A5AC2" w:rsidRPr="00D901A4" w:rsidRDefault="000A5AC2" w:rsidP="00E2267D">
            <w:pPr>
              <w:tabs>
                <w:tab w:val="left" w:pos="5347"/>
              </w:tabs>
              <w:rPr>
                <w:rFonts w:ascii="Arial" w:hAnsi="Arial" w:cs="Arial"/>
                <w:b/>
              </w:rPr>
            </w:pPr>
          </w:p>
        </w:tc>
      </w:tr>
      <w:tr w:rsidR="000A5AC2" w:rsidRPr="00D901A4" w14:paraId="5CE35502" w14:textId="77777777" w:rsidTr="006159E8">
        <w:tc>
          <w:tcPr>
            <w:tcW w:w="1141" w:type="dxa"/>
          </w:tcPr>
          <w:p w14:paraId="513B7C41" w14:textId="77777777" w:rsidR="000A5AC2" w:rsidRPr="00D901A4" w:rsidRDefault="000A5AC2" w:rsidP="00E2267D">
            <w:pPr>
              <w:tabs>
                <w:tab w:val="left" w:pos="5347"/>
              </w:tabs>
              <w:rPr>
                <w:rFonts w:ascii="Arial" w:hAnsi="Arial" w:cs="Arial"/>
              </w:rPr>
            </w:pPr>
            <w:r w:rsidRPr="00D901A4">
              <w:rPr>
                <w:rFonts w:ascii="Arial" w:hAnsi="Arial" w:cs="Arial"/>
              </w:rPr>
              <w:t>2.1</w:t>
            </w:r>
          </w:p>
        </w:tc>
        <w:tc>
          <w:tcPr>
            <w:tcW w:w="7875" w:type="dxa"/>
          </w:tcPr>
          <w:p w14:paraId="53071384" w14:textId="6F1720B3" w:rsidR="000A5AC2" w:rsidRPr="00D901A4" w:rsidRDefault="000A5AC2" w:rsidP="00E2267D">
            <w:pPr>
              <w:contextualSpacing/>
              <w:rPr>
                <w:rFonts w:ascii="Arial" w:hAnsi="Arial"/>
                <w:bCs/>
                <w:color w:val="000000" w:themeColor="text1"/>
                <w:szCs w:val="20"/>
                <w:lang w:eastAsia="en-US"/>
              </w:rPr>
            </w:pPr>
            <w:r w:rsidRPr="00D901A4">
              <w:rPr>
                <w:rFonts w:ascii="Arial" w:hAnsi="Arial"/>
                <w:bCs/>
                <w:color w:val="000000" w:themeColor="text1"/>
                <w:szCs w:val="20"/>
                <w:lang w:eastAsia="en-US"/>
              </w:rPr>
              <w:t>The minutes of the meeting</w:t>
            </w:r>
            <w:r w:rsidR="003B110C">
              <w:rPr>
                <w:rFonts w:ascii="Arial" w:hAnsi="Arial"/>
                <w:bCs/>
                <w:color w:val="000000" w:themeColor="text1"/>
                <w:szCs w:val="20"/>
                <w:lang w:eastAsia="en-US"/>
              </w:rPr>
              <w:t>s</w:t>
            </w:r>
            <w:r w:rsidRPr="00D901A4">
              <w:rPr>
                <w:rFonts w:ascii="Arial" w:hAnsi="Arial"/>
                <w:bCs/>
                <w:color w:val="000000" w:themeColor="text1"/>
                <w:szCs w:val="20"/>
                <w:lang w:eastAsia="en-US"/>
              </w:rPr>
              <w:t xml:space="preserve"> held on </w:t>
            </w:r>
            <w:r w:rsidR="00993227">
              <w:rPr>
                <w:rFonts w:ascii="Arial" w:hAnsi="Arial"/>
                <w:bCs/>
                <w:color w:val="000000" w:themeColor="text1"/>
                <w:szCs w:val="20"/>
                <w:lang w:eastAsia="en-US"/>
              </w:rPr>
              <w:t>12 June</w:t>
            </w:r>
            <w:r w:rsidRPr="00D901A4">
              <w:rPr>
                <w:rFonts w:ascii="Arial" w:hAnsi="Arial"/>
                <w:bCs/>
                <w:color w:val="000000" w:themeColor="text1"/>
                <w:szCs w:val="20"/>
                <w:lang w:eastAsia="en-US"/>
              </w:rPr>
              <w:t xml:space="preserve"> 202</w:t>
            </w:r>
            <w:r w:rsidR="006E249B">
              <w:rPr>
                <w:rFonts w:ascii="Arial" w:hAnsi="Arial"/>
                <w:bCs/>
                <w:color w:val="000000" w:themeColor="text1"/>
                <w:szCs w:val="20"/>
                <w:lang w:eastAsia="en-US"/>
              </w:rPr>
              <w:t xml:space="preserve">4 </w:t>
            </w:r>
            <w:r w:rsidRPr="00D901A4">
              <w:rPr>
                <w:rFonts w:ascii="Arial" w:hAnsi="Arial"/>
                <w:bCs/>
                <w:color w:val="000000" w:themeColor="text1"/>
                <w:szCs w:val="20"/>
                <w:lang w:eastAsia="en-US"/>
              </w:rPr>
              <w:t>were approved as a correct record</w:t>
            </w:r>
            <w:r w:rsidR="006475A2">
              <w:rPr>
                <w:rFonts w:ascii="Arial" w:hAnsi="Arial"/>
                <w:bCs/>
                <w:color w:val="000000" w:themeColor="text1"/>
                <w:szCs w:val="20"/>
                <w:lang w:eastAsia="en-US"/>
              </w:rPr>
              <w:t>.</w:t>
            </w:r>
          </w:p>
          <w:p w14:paraId="022B9442" w14:textId="65002E8F" w:rsidR="000A5AC2" w:rsidRPr="00D901A4" w:rsidRDefault="000A5AC2" w:rsidP="00E2267D">
            <w:pPr>
              <w:contextualSpacing/>
              <w:rPr>
                <w:rFonts w:ascii="Arial" w:hAnsi="Arial"/>
                <w:bCs/>
                <w:color w:val="000000" w:themeColor="text1"/>
                <w:szCs w:val="20"/>
                <w:lang w:eastAsia="en-US"/>
              </w:rPr>
            </w:pPr>
          </w:p>
        </w:tc>
      </w:tr>
      <w:tr w:rsidR="000A5AC2" w:rsidRPr="00D901A4" w14:paraId="7CA64719" w14:textId="77777777" w:rsidTr="006159E8">
        <w:trPr>
          <w:trHeight w:val="399"/>
        </w:trPr>
        <w:tc>
          <w:tcPr>
            <w:tcW w:w="1141" w:type="dxa"/>
          </w:tcPr>
          <w:p w14:paraId="12C0835C" w14:textId="5D1B9999" w:rsidR="000A5AC2" w:rsidRPr="00D901A4" w:rsidRDefault="000A5AC2" w:rsidP="00E2267D">
            <w:pPr>
              <w:tabs>
                <w:tab w:val="left" w:pos="5347"/>
              </w:tabs>
              <w:rPr>
                <w:rFonts w:ascii="Arial" w:hAnsi="Arial" w:cs="Arial"/>
              </w:rPr>
            </w:pPr>
            <w:r w:rsidRPr="00D901A4">
              <w:rPr>
                <w:rFonts w:ascii="Arial" w:hAnsi="Arial" w:cs="Arial"/>
              </w:rPr>
              <w:t>2.2</w:t>
            </w:r>
          </w:p>
        </w:tc>
        <w:tc>
          <w:tcPr>
            <w:tcW w:w="7875" w:type="dxa"/>
          </w:tcPr>
          <w:p w14:paraId="0C970C83" w14:textId="77777777" w:rsidR="000A5AC2" w:rsidRDefault="000A5AC2" w:rsidP="00E2267D">
            <w:pPr>
              <w:rPr>
                <w:rFonts w:ascii="Arial" w:hAnsi="Arial" w:cs="Arial"/>
                <w:bCs/>
              </w:rPr>
            </w:pPr>
            <w:r w:rsidRPr="00D901A4">
              <w:rPr>
                <w:rFonts w:ascii="Arial" w:hAnsi="Arial" w:cs="Arial"/>
                <w:bCs/>
              </w:rPr>
              <w:t>The Board noted that all actions were either complete or on track.</w:t>
            </w:r>
          </w:p>
          <w:p w14:paraId="7E7C2BB9" w14:textId="77777777" w:rsidR="00BC0353" w:rsidRPr="00D901A4" w:rsidRDefault="00BC0353" w:rsidP="00E2267D">
            <w:pPr>
              <w:rPr>
                <w:rFonts w:ascii="Arial" w:hAnsi="Arial" w:cs="Arial"/>
                <w:bCs/>
              </w:rPr>
            </w:pPr>
          </w:p>
        </w:tc>
      </w:tr>
      <w:tr w:rsidR="008C531E" w:rsidRPr="00D901A4" w14:paraId="6E520564" w14:textId="77777777" w:rsidTr="006159E8">
        <w:trPr>
          <w:trHeight w:val="399"/>
        </w:trPr>
        <w:tc>
          <w:tcPr>
            <w:tcW w:w="1141" w:type="dxa"/>
          </w:tcPr>
          <w:p w14:paraId="517943E3" w14:textId="7AC03BD5" w:rsidR="008C531E" w:rsidRPr="00FD070D" w:rsidRDefault="008C531E" w:rsidP="00FD070D">
            <w:pPr>
              <w:tabs>
                <w:tab w:val="left" w:pos="5347"/>
              </w:tabs>
              <w:rPr>
                <w:rFonts w:ascii="Arial" w:hAnsi="Arial" w:cs="Arial"/>
                <w:b/>
                <w:bCs/>
              </w:rPr>
            </w:pPr>
            <w:r w:rsidRPr="00D901A4">
              <w:rPr>
                <w:rFonts w:ascii="Arial" w:hAnsi="Arial" w:cs="Arial"/>
                <w:b/>
                <w:bCs/>
              </w:rPr>
              <w:t>3</w:t>
            </w:r>
          </w:p>
        </w:tc>
        <w:tc>
          <w:tcPr>
            <w:tcW w:w="7875" w:type="dxa"/>
          </w:tcPr>
          <w:p w14:paraId="0DDF6161" w14:textId="65636476" w:rsidR="008C531E" w:rsidRPr="00D901A4" w:rsidRDefault="008C531E" w:rsidP="00FD070D">
            <w:pPr>
              <w:tabs>
                <w:tab w:val="left" w:pos="5347"/>
              </w:tabs>
              <w:rPr>
                <w:rFonts w:ascii="Arial" w:hAnsi="Arial" w:cs="Arial"/>
                <w:b/>
              </w:rPr>
            </w:pPr>
            <w:r w:rsidRPr="00D901A4">
              <w:rPr>
                <w:rFonts w:ascii="Arial" w:hAnsi="Arial" w:cs="Arial"/>
                <w:b/>
              </w:rPr>
              <w:t xml:space="preserve">Chair’s </w:t>
            </w:r>
            <w:r w:rsidR="00815624">
              <w:rPr>
                <w:rFonts w:ascii="Arial" w:hAnsi="Arial" w:cs="Arial"/>
                <w:b/>
              </w:rPr>
              <w:t>r</w:t>
            </w:r>
            <w:r w:rsidRPr="00D901A4">
              <w:rPr>
                <w:rFonts w:ascii="Arial" w:hAnsi="Arial" w:cs="Arial"/>
                <w:b/>
              </w:rPr>
              <w:t>eport</w:t>
            </w:r>
          </w:p>
          <w:p w14:paraId="342E4677" w14:textId="77777777" w:rsidR="008C531E" w:rsidRPr="00D901A4" w:rsidRDefault="008C531E" w:rsidP="00FD070D">
            <w:pPr>
              <w:tabs>
                <w:tab w:val="left" w:pos="5347"/>
              </w:tabs>
              <w:rPr>
                <w:rFonts w:ascii="Arial" w:hAnsi="Arial" w:cs="Arial"/>
                <w:bCs/>
              </w:rPr>
            </w:pPr>
          </w:p>
        </w:tc>
      </w:tr>
      <w:tr w:rsidR="00FD070D" w:rsidRPr="00D901A4" w14:paraId="07E049FD" w14:textId="77777777" w:rsidTr="006159E8">
        <w:trPr>
          <w:trHeight w:val="399"/>
        </w:trPr>
        <w:tc>
          <w:tcPr>
            <w:tcW w:w="1141" w:type="dxa"/>
          </w:tcPr>
          <w:p w14:paraId="65F34E0E" w14:textId="78AAE182" w:rsidR="00FD070D" w:rsidRDefault="00FD070D" w:rsidP="00E2267D">
            <w:pPr>
              <w:tabs>
                <w:tab w:val="left" w:pos="5347"/>
              </w:tabs>
              <w:rPr>
                <w:rFonts w:ascii="Arial" w:hAnsi="Arial" w:cs="Arial"/>
              </w:rPr>
            </w:pPr>
            <w:r>
              <w:rPr>
                <w:rFonts w:ascii="Arial" w:hAnsi="Arial" w:cs="Arial"/>
              </w:rPr>
              <w:t>3.</w:t>
            </w:r>
            <w:r w:rsidR="003450C4">
              <w:rPr>
                <w:rFonts w:ascii="Arial" w:hAnsi="Arial" w:cs="Arial"/>
              </w:rPr>
              <w:t>1</w:t>
            </w:r>
          </w:p>
        </w:tc>
        <w:tc>
          <w:tcPr>
            <w:tcW w:w="7875" w:type="dxa"/>
          </w:tcPr>
          <w:p w14:paraId="4283113A" w14:textId="658C0ED8" w:rsidR="00FD070D" w:rsidRPr="00D901A4" w:rsidRDefault="00FD070D" w:rsidP="00FD070D">
            <w:pPr>
              <w:tabs>
                <w:tab w:val="left" w:pos="5347"/>
              </w:tabs>
              <w:rPr>
                <w:rFonts w:ascii="Arial" w:hAnsi="Arial" w:cs="Arial"/>
                <w:bCs/>
              </w:rPr>
            </w:pPr>
            <w:r w:rsidRPr="00D901A4">
              <w:rPr>
                <w:rFonts w:ascii="Arial" w:hAnsi="Arial" w:cs="Arial"/>
                <w:bCs/>
              </w:rPr>
              <w:t xml:space="preserve">The Chair provided an update on activity since the </w:t>
            </w:r>
            <w:r>
              <w:rPr>
                <w:rFonts w:ascii="Arial" w:hAnsi="Arial" w:cs="Arial"/>
                <w:bCs/>
              </w:rPr>
              <w:t>June</w:t>
            </w:r>
            <w:r w:rsidRPr="00D901A4">
              <w:rPr>
                <w:rFonts w:ascii="Arial" w:hAnsi="Arial" w:cs="Arial"/>
                <w:bCs/>
              </w:rPr>
              <w:t xml:space="preserve"> Board meeting.</w:t>
            </w:r>
            <w:r w:rsidR="00095754">
              <w:rPr>
                <w:rFonts w:ascii="Arial" w:hAnsi="Arial" w:cs="Arial"/>
                <w:bCs/>
              </w:rPr>
              <w:t xml:space="preserve"> She reflected on her recent visit to Dounr</w:t>
            </w:r>
            <w:r w:rsidR="00EB7681">
              <w:rPr>
                <w:rFonts w:ascii="Arial" w:hAnsi="Arial" w:cs="Arial"/>
                <w:bCs/>
              </w:rPr>
              <w:t>e</w:t>
            </w:r>
            <w:r w:rsidR="00095754">
              <w:rPr>
                <w:rFonts w:ascii="Arial" w:hAnsi="Arial" w:cs="Arial"/>
                <w:bCs/>
              </w:rPr>
              <w:t>ay</w:t>
            </w:r>
            <w:r w:rsidR="008A2BC7">
              <w:rPr>
                <w:rFonts w:ascii="Arial" w:hAnsi="Arial" w:cs="Arial"/>
                <w:bCs/>
              </w:rPr>
              <w:t xml:space="preserve"> which had prompted thinking on </w:t>
            </w:r>
            <w:r w:rsidR="003612D2">
              <w:rPr>
                <w:rFonts w:ascii="Arial" w:hAnsi="Arial" w:cs="Arial"/>
                <w:bCs/>
              </w:rPr>
              <w:t>where we are on</w:t>
            </w:r>
            <w:r w:rsidR="008A2BC7">
              <w:rPr>
                <w:rFonts w:ascii="Arial" w:hAnsi="Arial" w:cs="Arial"/>
                <w:bCs/>
              </w:rPr>
              <w:t xml:space="preserve"> </w:t>
            </w:r>
            <w:r w:rsidR="003612D2">
              <w:rPr>
                <w:rFonts w:ascii="Arial" w:hAnsi="Arial" w:cs="Arial"/>
                <w:bCs/>
              </w:rPr>
              <w:t>decommissioning and the legacy issues that needed to be addressed.</w:t>
            </w:r>
          </w:p>
          <w:p w14:paraId="42065464" w14:textId="77777777" w:rsidR="00FD070D" w:rsidRDefault="00FD070D" w:rsidP="00D546D4">
            <w:pPr>
              <w:rPr>
                <w:rFonts w:asciiTheme="minorBidi" w:hAnsiTheme="minorBidi"/>
              </w:rPr>
            </w:pPr>
          </w:p>
        </w:tc>
      </w:tr>
      <w:tr w:rsidR="00844DCE" w:rsidRPr="00D901A4" w14:paraId="370E2A35" w14:textId="77777777" w:rsidTr="006159E8">
        <w:trPr>
          <w:trHeight w:val="399"/>
        </w:trPr>
        <w:tc>
          <w:tcPr>
            <w:tcW w:w="1141" w:type="dxa"/>
          </w:tcPr>
          <w:p w14:paraId="38F551A1" w14:textId="0EA737F3" w:rsidR="00844DCE" w:rsidRDefault="008D78A2" w:rsidP="00E2267D">
            <w:pPr>
              <w:tabs>
                <w:tab w:val="left" w:pos="5347"/>
              </w:tabs>
              <w:rPr>
                <w:rFonts w:ascii="Arial" w:hAnsi="Arial" w:cs="Arial"/>
              </w:rPr>
            </w:pPr>
            <w:r>
              <w:rPr>
                <w:rFonts w:ascii="Arial" w:hAnsi="Arial" w:cs="Arial"/>
              </w:rPr>
              <w:lastRenderedPageBreak/>
              <w:t>3.</w:t>
            </w:r>
            <w:r w:rsidR="003450C4">
              <w:rPr>
                <w:rFonts w:ascii="Arial" w:hAnsi="Arial" w:cs="Arial"/>
              </w:rPr>
              <w:t>2</w:t>
            </w:r>
          </w:p>
        </w:tc>
        <w:tc>
          <w:tcPr>
            <w:tcW w:w="7875" w:type="dxa"/>
          </w:tcPr>
          <w:p w14:paraId="6FF1C639" w14:textId="20B93D7D" w:rsidR="00844DCE" w:rsidRDefault="00844DCE" w:rsidP="00D546D4">
            <w:pPr>
              <w:rPr>
                <w:rFonts w:asciiTheme="minorBidi" w:hAnsiTheme="minorBidi"/>
              </w:rPr>
            </w:pPr>
            <w:r>
              <w:rPr>
                <w:rFonts w:asciiTheme="minorBidi" w:hAnsiTheme="minorBidi"/>
              </w:rPr>
              <w:t xml:space="preserve">The Chair </w:t>
            </w:r>
            <w:r w:rsidR="008D78A2">
              <w:rPr>
                <w:rFonts w:asciiTheme="minorBidi" w:hAnsiTheme="minorBidi"/>
              </w:rPr>
              <w:t xml:space="preserve">outlined her </w:t>
            </w:r>
            <w:r w:rsidR="00BD44BD">
              <w:rPr>
                <w:rFonts w:asciiTheme="minorBidi" w:hAnsiTheme="minorBidi"/>
              </w:rPr>
              <w:t>forth</w:t>
            </w:r>
            <w:r w:rsidR="008D78A2">
              <w:rPr>
                <w:rFonts w:asciiTheme="minorBidi" w:hAnsiTheme="minorBidi"/>
              </w:rPr>
              <w:t>coming site visits and meetings with ministers.</w:t>
            </w:r>
          </w:p>
          <w:p w14:paraId="364959FE" w14:textId="52FF69A5" w:rsidR="00797A2D" w:rsidRDefault="00797A2D" w:rsidP="00D546D4">
            <w:pPr>
              <w:rPr>
                <w:rFonts w:asciiTheme="minorBidi" w:hAnsiTheme="minorBidi"/>
              </w:rPr>
            </w:pPr>
          </w:p>
        </w:tc>
      </w:tr>
      <w:tr w:rsidR="0097193F" w:rsidRPr="00D901A4" w14:paraId="376739F6" w14:textId="77777777" w:rsidTr="006159E8">
        <w:trPr>
          <w:trHeight w:val="399"/>
        </w:trPr>
        <w:tc>
          <w:tcPr>
            <w:tcW w:w="1141" w:type="dxa"/>
          </w:tcPr>
          <w:p w14:paraId="051FB799" w14:textId="3585AAC2" w:rsidR="0097193F" w:rsidRPr="0097193F" w:rsidRDefault="0097193F" w:rsidP="00E2267D">
            <w:pPr>
              <w:tabs>
                <w:tab w:val="left" w:pos="5347"/>
              </w:tabs>
              <w:rPr>
                <w:rFonts w:ascii="Arial" w:hAnsi="Arial" w:cs="Arial"/>
                <w:b/>
                <w:bCs/>
              </w:rPr>
            </w:pPr>
            <w:r w:rsidRPr="0097193F">
              <w:rPr>
                <w:rFonts w:ascii="Arial" w:hAnsi="Arial" w:cs="Arial"/>
                <w:b/>
                <w:bCs/>
              </w:rPr>
              <w:t xml:space="preserve">4. </w:t>
            </w:r>
          </w:p>
        </w:tc>
        <w:tc>
          <w:tcPr>
            <w:tcW w:w="7875" w:type="dxa"/>
          </w:tcPr>
          <w:p w14:paraId="63F49344" w14:textId="6CCDAA84" w:rsidR="0097193F" w:rsidRPr="0097193F" w:rsidRDefault="0097193F" w:rsidP="00E2267D">
            <w:pPr>
              <w:tabs>
                <w:tab w:val="left" w:pos="5347"/>
              </w:tabs>
              <w:rPr>
                <w:rFonts w:ascii="Arial" w:hAnsi="Arial" w:cs="Arial"/>
                <w:b/>
              </w:rPr>
            </w:pPr>
            <w:r w:rsidRPr="0097193F">
              <w:rPr>
                <w:rFonts w:ascii="Arial" w:hAnsi="Arial" w:cs="Arial"/>
                <w:b/>
              </w:rPr>
              <w:t xml:space="preserve">Executive Board </w:t>
            </w:r>
            <w:r w:rsidR="00815624">
              <w:rPr>
                <w:rFonts w:ascii="Arial" w:hAnsi="Arial" w:cs="Arial"/>
                <w:b/>
              </w:rPr>
              <w:t>r</w:t>
            </w:r>
            <w:r w:rsidRPr="0097193F">
              <w:rPr>
                <w:rFonts w:ascii="Arial" w:hAnsi="Arial" w:cs="Arial"/>
                <w:b/>
              </w:rPr>
              <w:t>eport</w:t>
            </w:r>
          </w:p>
          <w:p w14:paraId="2CD30B5A" w14:textId="77777777" w:rsidR="0097193F" w:rsidRPr="00D901A4" w:rsidRDefault="0097193F" w:rsidP="00E2267D">
            <w:pPr>
              <w:tabs>
                <w:tab w:val="left" w:pos="5347"/>
              </w:tabs>
              <w:rPr>
                <w:rFonts w:ascii="Arial" w:hAnsi="Arial" w:cs="Arial"/>
                <w:bCs/>
              </w:rPr>
            </w:pPr>
          </w:p>
        </w:tc>
      </w:tr>
      <w:tr w:rsidR="0097193F" w:rsidRPr="00D901A4" w14:paraId="55C30C86" w14:textId="77777777" w:rsidTr="006159E8">
        <w:trPr>
          <w:trHeight w:val="399"/>
        </w:trPr>
        <w:tc>
          <w:tcPr>
            <w:tcW w:w="1141" w:type="dxa"/>
          </w:tcPr>
          <w:p w14:paraId="765F329A" w14:textId="56EF0D37" w:rsidR="0097193F" w:rsidRPr="0097193F" w:rsidRDefault="0097193F" w:rsidP="00E2267D">
            <w:pPr>
              <w:tabs>
                <w:tab w:val="left" w:pos="5347"/>
              </w:tabs>
              <w:rPr>
                <w:rFonts w:ascii="Arial" w:hAnsi="Arial" w:cs="Arial"/>
              </w:rPr>
            </w:pPr>
            <w:r w:rsidRPr="0097193F">
              <w:rPr>
                <w:rFonts w:ascii="Arial" w:hAnsi="Arial" w:cs="Arial"/>
              </w:rPr>
              <w:t>4.1</w:t>
            </w:r>
          </w:p>
        </w:tc>
        <w:tc>
          <w:tcPr>
            <w:tcW w:w="7875" w:type="dxa"/>
          </w:tcPr>
          <w:p w14:paraId="17A21AF9" w14:textId="2D420CE8" w:rsidR="00797A2D" w:rsidRDefault="00FB575C" w:rsidP="00C11E61">
            <w:pPr>
              <w:rPr>
                <w:rFonts w:asciiTheme="minorBidi" w:hAnsiTheme="minorBidi" w:cstheme="minorBidi"/>
              </w:rPr>
            </w:pPr>
            <w:r>
              <w:rPr>
                <w:rFonts w:asciiTheme="minorBidi" w:hAnsiTheme="minorBidi" w:cstheme="minorBidi"/>
              </w:rPr>
              <w:t xml:space="preserve">The CE/CNI </w:t>
            </w:r>
            <w:r w:rsidR="00F672F5">
              <w:rPr>
                <w:rFonts w:asciiTheme="minorBidi" w:hAnsiTheme="minorBidi" w:cstheme="minorBidi"/>
              </w:rPr>
              <w:t>provided assurance to the Board that ONR was performing well</w:t>
            </w:r>
            <w:r w:rsidR="00CF5C1A">
              <w:rPr>
                <w:rFonts w:asciiTheme="minorBidi" w:hAnsiTheme="minorBidi" w:cstheme="minorBidi"/>
              </w:rPr>
              <w:t xml:space="preserve"> and</w:t>
            </w:r>
            <w:r w:rsidR="00F672F5">
              <w:rPr>
                <w:rFonts w:asciiTheme="minorBidi" w:hAnsiTheme="minorBidi" w:cstheme="minorBidi"/>
              </w:rPr>
              <w:t xml:space="preserve"> was delivering against commitments</w:t>
            </w:r>
            <w:r w:rsidR="00FD070D">
              <w:rPr>
                <w:rFonts w:asciiTheme="minorBidi" w:hAnsiTheme="minorBidi" w:cstheme="minorBidi"/>
              </w:rPr>
              <w:t>.</w:t>
            </w:r>
          </w:p>
          <w:p w14:paraId="3D2529D8" w14:textId="5811E56E" w:rsidR="00995595" w:rsidRPr="00F672F5" w:rsidRDefault="00995595" w:rsidP="00C11E61">
            <w:pPr>
              <w:rPr>
                <w:rFonts w:asciiTheme="minorBidi" w:hAnsiTheme="minorBidi" w:cstheme="minorBidi"/>
              </w:rPr>
            </w:pPr>
          </w:p>
        </w:tc>
      </w:tr>
      <w:tr w:rsidR="00C11E61" w:rsidRPr="00D901A4" w14:paraId="458A32BC" w14:textId="77777777" w:rsidTr="006159E8">
        <w:trPr>
          <w:trHeight w:val="399"/>
        </w:trPr>
        <w:tc>
          <w:tcPr>
            <w:tcW w:w="1141" w:type="dxa"/>
          </w:tcPr>
          <w:p w14:paraId="57EE6D2E" w14:textId="5E3D0231" w:rsidR="00C11E61" w:rsidRPr="0097193F" w:rsidRDefault="00C11E61" w:rsidP="00E2267D">
            <w:pPr>
              <w:tabs>
                <w:tab w:val="left" w:pos="5347"/>
              </w:tabs>
              <w:rPr>
                <w:rFonts w:ascii="Arial" w:hAnsi="Arial" w:cs="Arial"/>
              </w:rPr>
            </w:pPr>
            <w:r>
              <w:rPr>
                <w:rFonts w:ascii="Arial" w:hAnsi="Arial" w:cs="Arial"/>
              </w:rPr>
              <w:t>4.2</w:t>
            </w:r>
          </w:p>
        </w:tc>
        <w:tc>
          <w:tcPr>
            <w:tcW w:w="7875" w:type="dxa"/>
          </w:tcPr>
          <w:p w14:paraId="11D9EB59" w14:textId="47569B39" w:rsidR="00C11E61" w:rsidRPr="00C11E61" w:rsidRDefault="00C11E61" w:rsidP="00C11E61">
            <w:pPr>
              <w:rPr>
                <w:rFonts w:asciiTheme="minorBidi" w:hAnsiTheme="minorBidi"/>
              </w:rPr>
            </w:pPr>
            <w:r w:rsidRPr="00C11E61">
              <w:rPr>
                <w:rFonts w:asciiTheme="minorBidi" w:hAnsiTheme="minorBidi"/>
              </w:rPr>
              <w:t xml:space="preserve">He highlighted the success of the recent All Staff Conference. Over 90% of the organisation, more than 600 members of staff had come together in June for ONR’s first staff conference in seven years. The event had been a success with lots of positive comments and feedback </w:t>
            </w:r>
            <w:r w:rsidR="00CF5C1A">
              <w:rPr>
                <w:rFonts w:asciiTheme="minorBidi" w:hAnsiTheme="minorBidi"/>
              </w:rPr>
              <w:t>received f</w:t>
            </w:r>
            <w:r w:rsidRPr="00C11E61">
              <w:rPr>
                <w:rFonts w:asciiTheme="minorBidi" w:hAnsiTheme="minorBidi"/>
              </w:rPr>
              <w:t>rom staff. There was considerable collaboration and engagement throughout</w:t>
            </w:r>
            <w:r w:rsidR="00916C05">
              <w:rPr>
                <w:rFonts w:asciiTheme="minorBidi" w:hAnsiTheme="minorBidi"/>
              </w:rPr>
              <w:t>,</w:t>
            </w:r>
            <w:r w:rsidRPr="00C11E61">
              <w:rPr>
                <w:rFonts w:asciiTheme="minorBidi" w:hAnsiTheme="minorBidi"/>
              </w:rPr>
              <w:t xml:space="preserve"> and a number of key themes had emerged which would be taken forward.</w:t>
            </w:r>
          </w:p>
          <w:p w14:paraId="70DF6748" w14:textId="77777777" w:rsidR="00C11E61" w:rsidRPr="00C11E61" w:rsidRDefault="00C11E61" w:rsidP="00C11E61">
            <w:pPr>
              <w:rPr>
                <w:rFonts w:asciiTheme="minorBidi" w:hAnsiTheme="minorBidi" w:cstheme="minorBidi"/>
              </w:rPr>
            </w:pPr>
          </w:p>
        </w:tc>
      </w:tr>
      <w:tr w:rsidR="00C11E61" w:rsidRPr="00D901A4" w14:paraId="5A0C8D33" w14:textId="77777777" w:rsidTr="006159E8">
        <w:trPr>
          <w:trHeight w:val="399"/>
        </w:trPr>
        <w:tc>
          <w:tcPr>
            <w:tcW w:w="1141" w:type="dxa"/>
          </w:tcPr>
          <w:p w14:paraId="0A071A2D" w14:textId="15D8B5FD" w:rsidR="00C11E61" w:rsidRPr="0097193F" w:rsidRDefault="00C11E61" w:rsidP="00E2267D">
            <w:pPr>
              <w:tabs>
                <w:tab w:val="left" w:pos="5347"/>
              </w:tabs>
              <w:rPr>
                <w:rFonts w:ascii="Arial" w:hAnsi="Arial" w:cs="Arial"/>
              </w:rPr>
            </w:pPr>
            <w:r>
              <w:rPr>
                <w:rFonts w:ascii="Arial" w:hAnsi="Arial" w:cs="Arial"/>
              </w:rPr>
              <w:t>4.3</w:t>
            </w:r>
          </w:p>
        </w:tc>
        <w:tc>
          <w:tcPr>
            <w:tcW w:w="7875" w:type="dxa"/>
          </w:tcPr>
          <w:p w14:paraId="3F916A7A" w14:textId="7F283537" w:rsidR="00C11E61" w:rsidRPr="00C11E61" w:rsidRDefault="00C11E61" w:rsidP="00C11E61">
            <w:pPr>
              <w:rPr>
                <w:rFonts w:asciiTheme="minorBidi" w:hAnsiTheme="minorBidi"/>
              </w:rPr>
            </w:pPr>
            <w:r w:rsidRPr="00C11E61">
              <w:rPr>
                <w:rFonts w:asciiTheme="minorBidi" w:hAnsiTheme="minorBidi"/>
              </w:rPr>
              <w:t xml:space="preserve">He provided an update on recruitment. Work was in progress to fill the CE/CNI role. </w:t>
            </w:r>
            <w:r w:rsidR="00E2394E">
              <w:rPr>
                <w:rFonts w:asciiTheme="minorBidi" w:hAnsiTheme="minorBidi"/>
              </w:rPr>
              <w:t xml:space="preserve">The new </w:t>
            </w:r>
            <w:r w:rsidR="00D7013A">
              <w:rPr>
                <w:rFonts w:asciiTheme="minorBidi" w:hAnsiTheme="minorBidi"/>
              </w:rPr>
              <w:t>Finance Director</w:t>
            </w:r>
            <w:r w:rsidR="006436E5">
              <w:rPr>
                <w:rFonts w:asciiTheme="minorBidi" w:hAnsiTheme="minorBidi"/>
              </w:rPr>
              <w:t xml:space="preserve"> (FD)</w:t>
            </w:r>
            <w:r w:rsidR="00EB1D24">
              <w:rPr>
                <w:rFonts w:asciiTheme="minorBidi" w:hAnsiTheme="minorBidi"/>
              </w:rPr>
              <w:t>, appointed</w:t>
            </w:r>
            <w:r w:rsidR="00FB11C9">
              <w:rPr>
                <w:rFonts w:asciiTheme="minorBidi" w:hAnsiTheme="minorBidi"/>
              </w:rPr>
              <w:t xml:space="preserve"> f</w:t>
            </w:r>
            <w:r w:rsidRPr="00C11E61">
              <w:rPr>
                <w:rFonts w:asciiTheme="minorBidi" w:hAnsiTheme="minorBidi"/>
              </w:rPr>
              <w:t>ollowing a competitive recruitment process</w:t>
            </w:r>
            <w:r w:rsidR="00BF37E8">
              <w:rPr>
                <w:rFonts w:asciiTheme="minorBidi" w:hAnsiTheme="minorBidi"/>
              </w:rPr>
              <w:t>, would ta</w:t>
            </w:r>
            <w:r w:rsidR="00CA7D40">
              <w:rPr>
                <w:rFonts w:asciiTheme="minorBidi" w:hAnsiTheme="minorBidi"/>
              </w:rPr>
              <w:t>k</w:t>
            </w:r>
            <w:r w:rsidR="00BF37E8">
              <w:rPr>
                <w:rFonts w:asciiTheme="minorBidi" w:hAnsiTheme="minorBidi"/>
              </w:rPr>
              <w:t>e up duty on 1 October</w:t>
            </w:r>
            <w:r w:rsidRPr="00C11E61">
              <w:rPr>
                <w:rFonts w:asciiTheme="minorBidi" w:hAnsiTheme="minorBidi"/>
              </w:rPr>
              <w:t>. Following completion of the FD recruitment, the process to recruit a H</w:t>
            </w:r>
            <w:r w:rsidR="00F47B7C">
              <w:rPr>
                <w:rFonts w:asciiTheme="minorBidi" w:hAnsiTheme="minorBidi"/>
              </w:rPr>
              <w:t xml:space="preserve">uman </w:t>
            </w:r>
            <w:r w:rsidRPr="00C11E61">
              <w:rPr>
                <w:rFonts w:asciiTheme="minorBidi" w:hAnsiTheme="minorBidi"/>
              </w:rPr>
              <w:t>R</w:t>
            </w:r>
            <w:r w:rsidR="00F47B7C">
              <w:rPr>
                <w:rFonts w:asciiTheme="minorBidi" w:hAnsiTheme="minorBidi"/>
              </w:rPr>
              <w:t>esources (HR)</w:t>
            </w:r>
            <w:r w:rsidRPr="00C11E61">
              <w:rPr>
                <w:rFonts w:asciiTheme="minorBidi" w:hAnsiTheme="minorBidi"/>
              </w:rPr>
              <w:t>/People Services Director would commence</w:t>
            </w:r>
            <w:r w:rsidR="004C098E">
              <w:rPr>
                <w:rFonts w:asciiTheme="minorBidi" w:hAnsiTheme="minorBidi"/>
              </w:rPr>
              <w:t xml:space="preserve"> shortly</w:t>
            </w:r>
            <w:r w:rsidRPr="00C11E61">
              <w:rPr>
                <w:rFonts w:asciiTheme="minorBidi" w:hAnsiTheme="minorBidi"/>
              </w:rPr>
              <w:t>.</w:t>
            </w:r>
          </w:p>
          <w:p w14:paraId="4D83F2F5" w14:textId="77777777" w:rsidR="00C11E61" w:rsidRPr="00C11E61" w:rsidRDefault="00C11E61" w:rsidP="00C11E61">
            <w:pPr>
              <w:rPr>
                <w:rFonts w:asciiTheme="minorBidi" w:hAnsiTheme="minorBidi" w:cstheme="minorBidi"/>
              </w:rPr>
            </w:pPr>
          </w:p>
        </w:tc>
      </w:tr>
      <w:tr w:rsidR="00C11E61" w:rsidRPr="00D901A4" w14:paraId="29C8FAF0" w14:textId="77777777" w:rsidTr="006159E8">
        <w:trPr>
          <w:trHeight w:val="399"/>
        </w:trPr>
        <w:tc>
          <w:tcPr>
            <w:tcW w:w="1141" w:type="dxa"/>
          </w:tcPr>
          <w:p w14:paraId="6A1F0326" w14:textId="2ADEACFB" w:rsidR="00C11E61" w:rsidRPr="0097193F" w:rsidRDefault="00C11E61" w:rsidP="00E2267D">
            <w:pPr>
              <w:tabs>
                <w:tab w:val="left" w:pos="5347"/>
              </w:tabs>
              <w:rPr>
                <w:rFonts w:ascii="Arial" w:hAnsi="Arial" w:cs="Arial"/>
              </w:rPr>
            </w:pPr>
            <w:r>
              <w:rPr>
                <w:rFonts w:ascii="Arial" w:hAnsi="Arial" w:cs="Arial"/>
              </w:rPr>
              <w:t>4.4</w:t>
            </w:r>
          </w:p>
        </w:tc>
        <w:tc>
          <w:tcPr>
            <w:tcW w:w="7875" w:type="dxa"/>
          </w:tcPr>
          <w:p w14:paraId="448C940F" w14:textId="092E8832" w:rsidR="00C11E61" w:rsidRPr="00C11E61" w:rsidRDefault="00C11E61" w:rsidP="00C11E61">
            <w:pPr>
              <w:rPr>
                <w:rFonts w:asciiTheme="minorBidi" w:hAnsiTheme="minorBidi"/>
              </w:rPr>
            </w:pPr>
            <w:r w:rsidRPr="00C11E61">
              <w:rPr>
                <w:rFonts w:asciiTheme="minorBidi" w:hAnsiTheme="minorBidi"/>
              </w:rPr>
              <w:t xml:space="preserve">He updated the Board on the challenging of ONR’s SZC licensing decision. Government Legal Department costs up to and including a final hearing, would be between £45,000 and £50,000 per claim. </w:t>
            </w:r>
            <w:r w:rsidR="0018289F">
              <w:rPr>
                <w:rFonts w:asciiTheme="minorBidi" w:hAnsiTheme="minorBidi"/>
              </w:rPr>
              <w:t>He informed the Board that t</w:t>
            </w:r>
            <w:r w:rsidRPr="00C11E61">
              <w:rPr>
                <w:rFonts w:asciiTheme="minorBidi" w:hAnsiTheme="minorBidi"/>
              </w:rPr>
              <w:t>hese would be paid by D</w:t>
            </w:r>
            <w:r w:rsidR="00AB02F0">
              <w:rPr>
                <w:rFonts w:asciiTheme="minorBidi" w:hAnsiTheme="minorBidi"/>
              </w:rPr>
              <w:t xml:space="preserve">epartment for </w:t>
            </w:r>
            <w:r w:rsidRPr="00C11E61">
              <w:rPr>
                <w:rFonts w:asciiTheme="minorBidi" w:hAnsiTheme="minorBidi"/>
              </w:rPr>
              <w:t>W</w:t>
            </w:r>
            <w:r w:rsidR="00AB02F0">
              <w:rPr>
                <w:rFonts w:asciiTheme="minorBidi" w:hAnsiTheme="minorBidi"/>
              </w:rPr>
              <w:t xml:space="preserve">ork and </w:t>
            </w:r>
            <w:r w:rsidRPr="00C11E61">
              <w:rPr>
                <w:rFonts w:asciiTheme="minorBidi" w:hAnsiTheme="minorBidi"/>
              </w:rPr>
              <w:t>P</w:t>
            </w:r>
            <w:r w:rsidR="00AB02F0">
              <w:rPr>
                <w:rFonts w:asciiTheme="minorBidi" w:hAnsiTheme="minorBidi"/>
              </w:rPr>
              <w:t>ensions (DWP)</w:t>
            </w:r>
            <w:r w:rsidRPr="00C11E61">
              <w:rPr>
                <w:rFonts w:asciiTheme="minorBidi" w:hAnsiTheme="minorBidi"/>
              </w:rPr>
              <w:t xml:space="preserve"> as ONR’s sponsor body.</w:t>
            </w:r>
          </w:p>
          <w:p w14:paraId="42C8BB5F" w14:textId="77777777" w:rsidR="00C11E61" w:rsidRPr="00C11E61" w:rsidRDefault="00C11E61" w:rsidP="00C11E61">
            <w:pPr>
              <w:rPr>
                <w:rFonts w:asciiTheme="minorBidi" w:hAnsiTheme="minorBidi" w:cstheme="minorBidi"/>
              </w:rPr>
            </w:pPr>
          </w:p>
        </w:tc>
      </w:tr>
      <w:tr w:rsidR="00C11E61" w:rsidRPr="00D901A4" w14:paraId="6F080D57" w14:textId="77777777" w:rsidTr="006159E8">
        <w:trPr>
          <w:trHeight w:val="399"/>
        </w:trPr>
        <w:tc>
          <w:tcPr>
            <w:tcW w:w="1141" w:type="dxa"/>
          </w:tcPr>
          <w:p w14:paraId="494C094B" w14:textId="5AE65069" w:rsidR="00C11E61" w:rsidRPr="0097193F" w:rsidRDefault="00C11E61" w:rsidP="00E2267D">
            <w:pPr>
              <w:tabs>
                <w:tab w:val="left" w:pos="5347"/>
              </w:tabs>
              <w:rPr>
                <w:rFonts w:ascii="Arial" w:hAnsi="Arial" w:cs="Arial"/>
              </w:rPr>
            </w:pPr>
            <w:r>
              <w:rPr>
                <w:rFonts w:ascii="Arial" w:hAnsi="Arial" w:cs="Arial"/>
              </w:rPr>
              <w:t>4.5</w:t>
            </w:r>
          </w:p>
        </w:tc>
        <w:tc>
          <w:tcPr>
            <w:tcW w:w="7875" w:type="dxa"/>
          </w:tcPr>
          <w:p w14:paraId="170E4E06" w14:textId="0324B4D4" w:rsidR="00C11E61" w:rsidRDefault="00C11E61" w:rsidP="00C11E61">
            <w:pPr>
              <w:rPr>
                <w:rFonts w:asciiTheme="minorBidi" w:hAnsiTheme="minorBidi"/>
              </w:rPr>
            </w:pPr>
            <w:r>
              <w:rPr>
                <w:rFonts w:asciiTheme="minorBidi" w:hAnsiTheme="minorBidi"/>
              </w:rPr>
              <w:t xml:space="preserve">He updated the Board on work being done to understand the implications of the recent change in </w:t>
            </w:r>
            <w:r w:rsidR="004263A0">
              <w:rPr>
                <w:rFonts w:asciiTheme="minorBidi" w:hAnsiTheme="minorBidi"/>
              </w:rPr>
              <w:t>G</w:t>
            </w:r>
            <w:r>
              <w:rPr>
                <w:rFonts w:asciiTheme="minorBidi" w:hAnsiTheme="minorBidi"/>
              </w:rPr>
              <w:t>overnment</w:t>
            </w:r>
            <w:r w:rsidR="0018289F">
              <w:rPr>
                <w:rFonts w:asciiTheme="minorBidi" w:hAnsiTheme="minorBidi"/>
              </w:rPr>
              <w:t xml:space="preserve">. ONR </w:t>
            </w:r>
            <w:r>
              <w:rPr>
                <w:rFonts w:asciiTheme="minorBidi" w:hAnsiTheme="minorBidi"/>
              </w:rPr>
              <w:t>were pursuing early engagement with new ministers</w:t>
            </w:r>
            <w:r w:rsidR="0018289F">
              <w:rPr>
                <w:rFonts w:asciiTheme="minorBidi" w:hAnsiTheme="minorBidi"/>
              </w:rPr>
              <w:t xml:space="preserve"> and a</w:t>
            </w:r>
            <w:r>
              <w:rPr>
                <w:rFonts w:asciiTheme="minorBidi" w:hAnsiTheme="minorBidi"/>
              </w:rPr>
              <w:t xml:space="preserve">n introductory meeting had already taken place with </w:t>
            </w:r>
            <w:r w:rsidR="00143656" w:rsidRPr="00143656">
              <w:rPr>
                <w:rFonts w:asciiTheme="minorBidi" w:hAnsiTheme="minorBidi"/>
              </w:rPr>
              <w:t xml:space="preserve">The Rt Hon Lord Hunt of Kings Heath OBE, newly appointed Minister </w:t>
            </w:r>
            <w:r w:rsidR="0045185F">
              <w:rPr>
                <w:rFonts w:asciiTheme="minorBidi" w:hAnsiTheme="minorBidi"/>
              </w:rPr>
              <w:t>of State</w:t>
            </w:r>
            <w:r w:rsidR="004263A0">
              <w:rPr>
                <w:rFonts w:asciiTheme="minorBidi" w:hAnsiTheme="minorBidi"/>
              </w:rPr>
              <w:t xml:space="preserve"> </w:t>
            </w:r>
            <w:r w:rsidR="00143656" w:rsidRPr="00143656">
              <w:rPr>
                <w:rFonts w:asciiTheme="minorBidi" w:hAnsiTheme="minorBidi"/>
              </w:rPr>
              <w:t xml:space="preserve">for </w:t>
            </w:r>
            <w:r w:rsidR="00A80E11">
              <w:rPr>
                <w:rFonts w:asciiTheme="minorBidi" w:hAnsiTheme="minorBidi"/>
              </w:rPr>
              <w:t xml:space="preserve">Energy </w:t>
            </w:r>
            <w:r w:rsidR="006F7607">
              <w:rPr>
                <w:rFonts w:asciiTheme="minorBidi" w:hAnsiTheme="minorBidi"/>
              </w:rPr>
              <w:t xml:space="preserve">Security and Net Zero at the </w:t>
            </w:r>
            <w:r w:rsidR="00143656" w:rsidRPr="00143656">
              <w:rPr>
                <w:rFonts w:asciiTheme="minorBidi" w:hAnsiTheme="minorBidi"/>
              </w:rPr>
              <w:t>D</w:t>
            </w:r>
            <w:r w:rsidR="006F09B5">
              <w:rPr>
                <w:rFonts w:asciiTheme="minorBidi" w:hAnsiTheme="minorBidi"/>
              </w:rPr>
              <w:t xml:space="preserve">epartment for </w:t>
            </w:r>
            <w:r w:rsidR="00143656" w:rsidRPr="00143656">
              <w:rPr>
                <w:rFonts w:asciiTheme="minorBidi" w:hAnsiTheme="minorBidi"/>
              </w:rPr>
              <w:t>E</w:t>
            </w:r>
            <w:r w:rsidR="006F09B5">
              <w:rPr>
                <w:rFonts w:asciiTheme="minorBidi" w:hAnsiTheme="minorBidi"/>
              </w:rPr>
              <w:t xml:space="preserve">nergy </w:t>
            </w:r>
            <w:r w:rsidR="00143656" w:rsidRPr="00143656">
              <w:rPr>
                <w:rFonts w:asciiTheme="minorBidi" w:hAnsiTheme="minorBidi"/>
              </w:rPr>
              <w:t>S</w:t>
            </w:r>
            <w:r w:rsidR="006F09B5">
              <w:rPr>
                <w:rFonts w:asciiTheme="minorBidi" w:hAnsiTheme="minorBidi"/>
              </w:rPr>
              <w:t xml:space="preserve">ecurity and </w:t>
            </w:r>
            <w:r w:rsidR="00143656" w:rsidRPr="00143656">
              <w:rPr>
                <w:rFonts w:asciiTheme="minorBidi" w:hAnsiTheme="minorBidi"/>
              </w:rPr>
              <w:t>N</w:t>
            </w:r>
            <w:r w:rsidR="006F09B5">
              <w:rPr>
                <w:rFonts w:asciiTheme="minorBidi" w:hAnsiTheme="minorBidi"/>
              </w:rPr>
              <w:t xml:space="preserve">et </w:t>
            </w:r>
            <w:r w:rsidR="00143656" w:rsidRPr="00143656">
              <w:rPr>
                <w:rFonts w:asciiTheme="minorBidi" w:hAnsiTheme="minorBidi"/>
              </w:rPr>
              <w:t>Z</w:t>
            </w:r>
            <w:r w:rsidR="006F09B5">
              <w:rPr>
                <w:rFonts w:asciiTheme="minorBidi" w:hAnsiTheme="minorBidi"/>
              </w:rPr>
              <w:t>ero (DESNZ)</w:t>
            </w:r>
            <w:r w:rsidR="00143656" w:rsidRPr="00143656">
              <w:rPr>
                <w:rFonts w:asciiTheme="minorBidi" w:hAnsiTheme="minorBidi"/>
              </w:rPr>
              <w:t>.</w:t>
            </w:r>
          </w:p>
          <w:p w14:paraId="050D6C80" w14:textId="77777777" w:rsidR="00C11E61" w:rsidRPr="00C11E61" w:rsidRDefault="00C11E61" w:rsidP="00C11E61">
            <w:pPr>
              <w:rPr>
                <w:rFonts w:asciiTheme="minorBidi" w:hAnsiTheme="minorBidi"/>
              </w:rPr>
            </w:pPr>
          </w:p>
        </w:tc>
      </w:tr>
      <w:tr w:rsidR="00C11E61" w:rsidRPr="00D901A4" w14:paraId="69A19477" w14:textId="77777777" w:rsidTr="006159E8">
        <w:trPr>
          <w:trHeight w:val="399"/>
        </w:trPr>
        <w:tc>
          <w:tcPr>
            <w:tcW w:w="1141" w:type="dxa"/>
          </w:tcPr>
          <w:p w14:paraId="22F4AE34" w14:textId="724533BB" w:rsidR="00C11E61" w:rsidRPr="0097193F" w:rsidRDefault="00FD65D1" w:rsidP="00E2267D">
            <w:pPr>
              <w:tabs>
                <w:tab w:val="left" w:pos="5347"/>
              </w:tabs>
              <w:rPr>
                <w:rFonts w:ascii="Arial" w:hAnsi="Arial" w:cs="Arial"/>
              </w:rPr>
            </w:pPr>
            <w:r>
              <w:rPr>
                <w:rFonts w:ascii="Arial" w:hAnsi="Arial" w:cs="Arial"/>
              </w:rPr>
              <w:t>4.6</w:t>
            </w:r>
          </w:p>
        </w:tc>
        <w:tc>
          <w:tcPr>
            <w:tcW w:w="7875" w:type="dxa"/>
          </w:tcPr>
          <w:p w14:paraId="63DE7CE0" w14:textId="12FE4720" w:rsidR="00FD65D1" w:rsidRDefault="00FD65D1" w:rsidP="00FD65D1">
            <w:pPr>
              <w:autoSpaceDE w:val="0"/>
              <w:autoSpaceDN w:val="0"/>
              <w:adjustRightInd w:val="0"/>
              <w:rPr>
                <w:rFonts w:ascii="ArialMT" w:hAnsi="ArialMT" w:cs="ArialMT"/>
              </w:rPr>
            </w:pPr>
            <w:r>
              <w:rPr>
                <w:rFonts w:ascii="ArialMT" w:hAnsi="ArialMT" w:cs="ArialMT"/>
              </w:rPr>
              <w:t xml:space="preserve">He highlighted that ONR continued to engage </w:t>
            </w:r>
            <w:r w:rsidR="00B378F7">
              <w:rPr>
                <w:rFonts w:ascii="ArialMT" w:hAnsi="ArialMT" w:cs="ArialMT"/>
              </w:rPr>
              <w:t xml:space="preserve">with </w:t>
            </w:r>
            <w:r>
              <w:rPr>
                <w:rFonts w:ascii="ArialMT" w:hAnsi="ArialMT" w:cs="ArialMT"/>
              </w:rPr>
              <w:t xml:space="preserve">EDF </w:t>
            </w:r>
            <w:r w:rsidR="00CE02A5">
              <w:rPr>
                <w:rFonts w:ascii="ArialMT" w:hAnsi="ArialMT" w:cs="ArialMT"/>
              </w:rPr>
              <w:t>Nuclear Generation (</w:t>
            </w:r>
            <w:r>
              <w:rPr>
                <w:rFonts w:ascii="ArialMT" w:hAnsi="ArialMT" w:cs="ArialMT"/>
              </w:rPr>
              <w:t>NGL</w:t>
            </w:r>
            <w:r w:rsidR="00CE02A5">
              <w:rPr>
                <w:rFonts w:ascii="ArialMT" w:hAnsi="ArialMT" w:cs="ArialMT"/>
              </w:rPr>
              <w:t>)</w:t>
            </w:r>
            <w:r>
              <w:rPr>
                <w:rFonts w:ascii="ArialMT" w:hAnsi="ArialMT" w:cs="ArialMT"/>
              </w:rPr>
              <w:t xml:space="preserve"> in an enabling manner in respect of potential life extensions and Advanced Gas-</w:t>
            </w:r>
            <w:r w:rsidR="00182924">
              <w:rPr>
                <w:rFonts w:ascii="ArialMT" w:hAnsi="ArialMT" w:cs="ArialMT"/>
              </w:rPr>
              <w:t>c</w:t>
            </w:r>
            <w:r>
              <w:rPr>
                <w:rFonts w:ascii="ArialMT" w:hAnsi="ArialMT" w:cs="ArialMT"/>
              </w:rPr>
              <w:t xml:space="preserve">ooled Reactors (AGR) transfer to Nuclear Restoration Services. </w:t>
            </w:r>
          </w:p>
          <w:p w14:paraId="1FCBD470" w14:textId="77777777" w:rsidR="00C11E61" w:rsidRPr="00C11E61" w:rsidRDefault="00C11E61" w:rsidP="005A32FA">
            <w:pPr>
              <w:rPr>
                <w:rFonts w:asciiTheme="minorBidi" w:hAnsiTheme="minorBidi"/>
              </w:rPr>
            </w:pPr>
          </w:p>
        </w:tc>
      </w:tr>
      <w:tr w:rsidR="00C11E61" w:rsidRPr="00D901A4" w14:paraId="2CCB4789" w14:textId="77777777" w:rsidTr="006159E8">
        <w:trPr>
          <w:trHeight w:val="399"/>
        </w:trPr>
        <w:tc>
          <w:tcPr>
            <w:tcW w:w="1141" w:type="dxa"/>
          </w:tcPr>
          <w:p w14:paraId="2ADC735F" w14:textId="6C1CFF85" w:rsidR="00C11E61" w:rsidRPr="0097193F" w:rsidRDefault="00320E2D" w:rsidP="00E2267D">
            <w:pPr>
              <w:tabs>
                <w:tab w:val="left" w:pos="5347"/>
              </w:tabs>
              <w:rPr>
                <w:rFonts w:ascii="Arial" w:hAnsi="Arial" w:cs="Arial"/>
              </w:rPr>
            </w:pPr>
            <w:r>
              <w:rPr>
                <w:rFonts w:ascii="Arial" w:hAnsi="Arial" w:cs="Arial"/>
              </w:rPr>
              <w:t>4.7</w:t>
            </w:r>
          </w:p>
        </w:tc>
        <w:tc>
          <w:tcPr>
            <w:tcW w:w="7875" w:type="dxa"/>
          </w:tcPr>
          <w:p w14:paraId="6D9BA0AB" w14:textId="77777777" w:rsidR="00AC56AA" w:rsidRPr="00AC56AA" w:rsidRDefault="00AC56AA" w:rsidP="00AC56AA">
            <w:pPr>
              <w:rPr>
                <w:rFonts w:asciiTheme="minorBidi" w:hAnsiTheme="minorBidi"/>
              </w:rPr>
            </w:pPr>
            <w:r w:rsidRPr="00AC56AA">
              <w:rPr>
                <w:rFonts w:asciiTheme="minorBidi" w:hAnsiTheme="minorBidi"/>
              </w:rPr>
              <w:t>He highlighted that the Smarter Regulation Directorate, within the</w:t>
            </w:r>
          </w:p>
          <w:p w14:paraId="066FBA09" w14:textId="22D1473B" w:rsidR="00AC56AA" w:rsidRPr="00AC56AA" w:rsidRDefault="00AC56AA" w:rsidP="00AC56AA">
            <w:pPr>
              <w:rPr>
                <w:rFonts w:asciiTheme="minorBidi" w:hAnsiTheme="minorBidi"/>
              </w:rPr>
            </w:pPr>
            <w:r w:rsidRPr="00AC56AA">
              <w:rPr>
                <w:rFonts w:asciiTheme="minorBidi" w:hAnsiTheme="minorBidi"/>
              </w:rPr>
              <w:t>Department f</w:t>
            </w:r>
            <w:r w:rsidR="00C42BCE">
              <w:rPr>
                <w:rFonts w:asciiTheme="minorBidi" w:hAnsiTheme="minorBidi"/>
              </w:rPr>
              <w:t>or</w:t>
            </w:r>
            <w:r w:rsidRPr="00AC56AA">
              <w:rPr>
                <w:rFonts w:asciiTheme="minorBidi" w:hAnsiTheme="minorBidi"/>
              </w:rPr>
              <w:t xml:space="preserve"> Business and Trade, ha</w:t>
            </w:r>
            <w:r w:rsidR="00CE02A5">
              <w:rPr>
                <w:rFonts w:asciiTheme="minorBidi" w:hAnsiTheme="minorBidi"/>
              </w:rPr>
              <w:t>d</w:t>
            </w:r>
            <w:r w:rsidRPr="00AC56AA">
              <w:rPr>
                <w:rFonts w:asciiTheme="minorBidi" w:hAnsiTheme="minorBidi"/>
              </w:rPr>
              <w:t xml:space="preserve"> progressed proposals to</w:t>
            </w:r>
          </w:p>
          <w:p w14:paraId="6642D3FC" w14:textId="14A0E612" w:rsidR="00C11E61" w:rsidRPr="00C11E61" w:rsidRDefault="00AC56AA" w:rsidP="00AC56AA">
            <w:pPr>
              <w:rPr>
                <w:rFonts w:asciiTheme="minorBidi" w:hAnsiTheme="minorBidi"/>
              </w:rPr>
            </w:pPr>
            <w:r w:rsidRPr="00AC56AA">
              <w:rPr>
                <w:rFonts w:asciiTheme="minorBidi" w:hAnsiTheme="minorBidi"/>
              </w:rPr>
              <w:t>establish a Regulator Council. This was intended to provide a dialogue between</w:t>
            </w:r>
            <w:r>
              <w:rPr>
                <w:rFonts w:asciiTheme="minorBidi" w:hAnsiTheme="minorBidi"/>
              </w:rPr>
              <w:t xml:space="preserve"> </w:t>
            </w:r>
            <w:r w:rsidR="000F617B">
              <w:rPr>
                <w:rFonts w:asciiTheme="minorBidi" w:hAnsiTheme="minorBidi"/>
              </w:rPr>
              <w:t>G</w:t>
            </w:r>
            <w:r w:rsidRPr="00AC56AA">
              <w:rPr>
                <w:rFonts w:asciiTheme="minorBidi" w:hAnsiTheme="minorBidi"/>
              </w:rPr>
              <w:t xml:space="preserve">overnment and regulators to understand what </w:t>
            </w:r>
            <w:r w:rsidR="00CE02A5">
              <w:rPr>
                <w:rFonts w:asciiTheme="minorBidi" w:hAnsiTheme="minorBidi"/>
              </w:rPr>
              <w:t>wa</w:t>
            </w:r>
            <w:r w:rsidRPr="00AC56AA">
              <w:rPr>
                <w:rFonts w:asciiTheme="minorBidi" w:hAnsiTheme="minorBidi"/>
              </w:rPr>
              <w:t>s working well and what c</w:t>
            </w:r>
            <w:r w:rsidR="00CE02A5">
              <w:rPr>
                <w:rFonts w:asciiTheme="minorBidi" w:hAnsiTheme="minorBidi"/>
              </w:rPr>
              <w:t>ould</w:t>
            </w:r>
            <w:r>
              <w:rPr>
                <w:rFonts w:asciiTheme="minorBidi" w:hAnsiTheme="minorBidi"/>
              </w:rPr>
              <w:t xml:space="preserve"> </w:t>
            </w:r>
            <w:r w:rsidRPr="00AC56AA">
              <w:rPr>
                <w:rFonts w:asciiTheme="minorBidi" w:hAnsiTheme="minorBidi"/>
              </w:rPr>
              <w:t>be improved</w:t>
            </w:r>
            <w:r w:rsidR="00B25753">
              <w:rPr>
                <w:rFonts w:asciiTheme="minorBidi" w:hAnsiTheme="minorBidi"/>
              </w:rPr>
              <w:t xml:space="preserve">; </w:t>
            </w:r>
            <w:r w:rsidRPr="00AC56AA">
              <w:rPr>
                <w:rFonts w:asciiTheme="minorBidi" w:hAnsiTheme="minorBidi"/>
              </w:rPr>
              <w:t>share best practice and experience</w:t>
            </w:r>
            <w:r w:rsidR="00B25753">
              <w:rPr>
                <w:rFonts w:asciiTheme="minorBidi" w:hAnsiTheme="minorBidi"/>
              </w:rPr>
              <w:t>;</w:t>
            </w:r>
            <w:r w:rsidRPr="00AC56AA">
              <w:rPr>
                <w:rFonts w:asciiTheme="minorBidi" w:hAnsiTheme="minorBidi"/>
              </w:rPr>
              <w:t xml:space="preserve"> and to implement the</w:t>
            </w:r>
            <w:r>
              <w:rPr>
                <w:rFonts w:asciiTheme="minorBidi" w:hAnsiTheme="minorBidi"/>
              </w:rPr>
              <w:t xml:space="preserve"> </w:t>
            </w:r>
            <w:r w:rsidRPr="00AC56AA">
              <w:rPr>
                <w:rFonts w:asciiTheme="minorBidi" w:hAnsiTheme="minorBidi"/>
              </w:rPr>
              <w:t>reforms to improve the regulatory landscape.</w:t>
            </w:r>
          </w:p>
        </w:tc>
      </w:tr>
      <w:tr w:rsidR="00C11E61" w:rsidRPr="00D901A4" w14:paraId="0FB1120E" w14:textId="77777777" w:rsidTr="006159E8">
        <w:trPr>
          <w:trHeight w:val="399"/>
        </w:trPr>
        <w:tc>
          <w:tcPr>
            <w:tcW w:w="1141" w:type="dxa"/>
          </w:tcPr>
          <w:p w14:paraId="0D841635" w14:textId="77777777" w:rsidR="00C11E61" w:rsidRPr="0097193F" w:rsidRDefault="00C11E61" w:rsidP="00E2267D">
            <w:pPr>
              <w:tabs>
                <w:tab w:val="left" w:pos="5347"/>
              </w:tabs>
              <w:rPr>
                <w:rFonts w:ascii="Arial" w:hAnsi="Arial" w:cs="Arial"/>
              </w:rPr>
            </w:pPr>
          </w:p>
        </w:tc>
        <w:tc>
          <w:tcPr>
            <w:tcW w:w="7875" w:type="dxa"/>
          </w:tcPr>
          <w:p w14:paraId="1F54B504" w14:textId="77777777" w:rsidR="00C11E61" w:rsidRPr="00C11E61" w:rsidRDefault="00C11E61" w:rsidP="00C11E61">
            <w:pPr>
              <w:rPr>
                <w:rFonts w:asciiTheme="minorBidi" w:hAnsiTheme="minorBidi"/>
              </w:rPr>
            </w:pPr>
          </w:p>
        </w:tc>
      </w:tr>
      <w:tr w:rsidR="00320E2D" w:rsidRPr="00D901A4" w14:paraId="2DC2C69B" w14:textId="77777777" w:rsidTr="006159E8">
        <w:trPr>
          <w:trHeight w:val="399"/>
        </w:trPr>
        <w:tc>
          <w:tcPr>
            <w:tcW w:w="1141" w:type="dxa"/>
          </w:tcPr>
          <w:p w14:paraId="3CC139F3" w14:textId="14B1A43A" w:rsidR="00320E2D" w:rsidRDefault="00320E2D" w:rsidP="00E2267D">
            <w:pPr>
              <w:tabs>
                <w:tab w:val="left" w:pos="5347"/>
              </w:tabs>
              <w:rPr>
                <w:rFonts w:ascii="Arial" w:hAnsi="Arial" w:cs="Arial"/>
              </w:rPr>
            </w:pPr>
            <w:r>
              <w:rPr>
                <w:rFonts w:ascii="Arial" w:hAnsi="Arial" w:cs="Arial"/>
              </w:rPr>
              <w:lastRenderedPageBreak/>
              <w:t>4.8</w:t>
            </w:r>
          </w:p>
        </w:tc>
        <w:tc>
          <w:tcPr>
            <w:tcW w:w="7875" w:type="dxa"/>
          </w:tcPr>
          <w:p w14:paraId="340B27E9" w14:textId="02BAAD35" w:rsidR="00320E2D" w:rsidRDefault="00320E2D" w:rsidP="00BA0D73">
            <w:pPr>
              <w:tabs>
                <w:tab w:val="left" w:pos="5347"/>
              </w:tabs>
              <w:rPr>
                <w:rFonts w:ascii="Arial" w:hAnsi="Arial" w:cs="Arial"/>
                <w:bCs/>
              </w:rPr>
            </w:pPr>
            <w:r>
              <w:rPr>
                <w:rFonts w:ascii="Arial" w:hAnsi="Arial" w:cs="Arial"/>
                <w:bCs/>
              </w:rPr>
              <w:t>The Senior Director of Regulation</w:t>
            </w:r>
            <w:r w:rsidR="00827968">
              <w:rPr>
                <w:rFonts w:ascii="Arial" w:hAnsi="Arial" w:cs="Arial"/>
                <w:bCs/>
              </w:rPr>
              <w:t xml:space="preserve"> provided an update on key areas from the </w:t>
            </w:r>
            <w:r w:rsidR="00C61D3C">
              <w:rPr>
                <w:rFonts w:ascii="Arial" w:hAnsi="Arial" w:cs="Arial"/>
                <w:bCs/>
              </w:rPr>
              <w:t>R</w:t>
            </w:r>
            <w:r w:rsidR="00827968">
              <w:rPr>
                <w:rFonts w:ascii="Arial" w:hAnsi="Arial" w:cs="Arial"/>
                <w:bCs/>
              </w:rPr>
              <w:t xml:space="preserve">egulatory </w:t>
            </w:r>
            <w:r w:rsidR="00C61D3C">
              <w:rPr>
                <w:rFonts w:ascii="Arial" w:hAnsi="Arial" w:cs="Arial"/>
                <w:bCs/>
              </w:rPr>
              <w:t>D</w:t>
            </w:r>
            <w:r w:rsidR="00827968">
              <w:rPr>
                <w:rFonts w:ascii="Arial" w:hAnsi="Arial" w:cs="Arial"/>
                <w:bCs/>
              </w:rPr>
              <w:t>irectorate</w:t>
            </w:r>
            <w:r w:rsidR="008641BB">
              <w:rPr>
                <w:rFonts w:ascii="Arial" w:hAnsi="Arial" w:cs="Arial"/>
                <w:bCs/>
              </w:rPr>
              <w:t xml:space="preserve"> </w:t>
            </w:r>
            <w:r w:rsidR="007A0C67">
              <w:rPr>
                <w:rFonts w:ascii="Arial" w:hAnsi="Arial" w:cs="Arial"/>
                <w:bCs/>
              </w:rPr>
              <w:t>(</w:t>
            </w:r>
            <w:r w:rsidR="008641BB">
              <w:rPr>
                <w:rFonts w:ascii="Arial" w:hAnsi="Arial" w:cs="Arial"/>
                <w:bCs/>
              </w:rPr>
              <w:t>RD)</w:t>
            </w:r>
            <w:r w:rsidR="00827968">
              <w:rPr>
                <w:rFonts w:ascii="Arial" w:hAnsi="Arial" w:cs="Arial"/>
                <w:bCs/>
              </w:rPr>
              <w:t xml:space="preserve">. He </w:t>
            </w:r>
            <w:r w:rsidR="00012FF3">
              <w:rPr>
                <w:rFonts w:ascii="Arial" w:hAnsi="Arial" w:cs="Arial"/>
                <w:bCs/>
              </w:rPr>
              <w:t xml:space="preserve">noted </w:t>
            </w:r>
            <w:r w:rsidR="00012FF3" w:rsidRPr="00012FF3">
              <w:rPr>
                <w:rFonts w:ascii="Arial" w:hAnsi="Arial" w:cs="Arial"/>
                <w:bCs/>
              </w:rPr>
              <w:t>that on Nuclear Site Health and Safety (NSHS), following the adoption of a new</w:t>
            </w:r>
            <w:r w:rsidR="00012FF3">
              <w:rPr>
                <w:rFonts w:ascii="Arial" w:hAnsi="Arial" w:cs="Arial"/>
                <w:bCs/>
              </w:rPr>
              <w:t xml:space="preserve"> </w:t>
            </w:r>
            <w:r w:rsidR="00012FF3" w:rsidRPr="00012FF3">
              <w:rPr>
                <w:rFonts w:ascii="Arial" w:hAnsi="Arial" w:cs="Arial"/>
                <w:bCs/>
              </w:rPr>
              <w:t>approach to NSHS statistics which will be reflected in the annual CNI Report</w:t>
            </w:r>
            <w:r w:rsidR="00BA0D73">
              <w:rPr>
                <w:rFonts w:ascii="Arial" w:hAnsi="Arial" w:cs="Arial"/>
                <w:bCs/>
              </w:rPr>
              <w:t xml:space="preserve"> </w:t>
            </w:r>
            <w:r w:rsidR="00012FF3" w:rsidRPr="00012FF3">
              <w:rPr>
                <w:rFonts w:ascii="Arial" w:hAnsi="Arial" w:cs="Arial"/>
                <w:bCs/>
              </w:rPr>
              <w:t>2023/24, injury rates related to sector performance were comparable to the UK</w:t>
            </w:r>
            <w:r w:rsidR="00BA0D73">
              <w:rPr>
                <w:rFonts w:ascii="Arial" w:hAnsi="Arial" w:cs="Arial"/>
                <w:bCs/>
              </w:rPr>
              <w:t xml:space="preserve"> </w:t>
            </w:r>
            <w:r w:rsidR="00012FF3" w:rsidRPr="00012FF3">
              <w:rPr>
                <w:rFonts w:ascii="Arial" w:hAnsi="Arial" w:cs="Arial"/>
                <w:bCs/>
              </w:rPr>
              <w:t>average.</w:t>
            </w:r>
          </w:p>
          <w:p w14:paraId="5BD8F884" w14:textId="6B771DC8" w:rsidR="00012FF3" w:rsidRPr="00D901A4" w:rsidRDefault="00012FF3" w:rsidP="00012FF3">
            <w:pPr>
              <w:tabs>
                <w:tab w:val="left" w:pos="5347"/>
              </w:tabs>
              <w:rPr>
                <w:rFonts w:ascii="Arial" w:hAnsi="Arial" w:cs="Arial"/>
                <w:bCs/>
              </w:rPr>
            </w:pPr>
          </w:p>
        </w:tc>
      </w:tr>
      <w:tr w:rsidR="00012FF3" w:rsidRPr="00D901A4" w14:paraId="021906B8" w14:textId="77777777" w:rsidTr="006159E8">
        <w:trPr>
          <w:trHeight w:val="399"/>
        </w:trPr>
        <w:tc>
          <w:tcPr>
            <w:tcW w:w="1141" w:type="dxa"/>
          </w:tcPr>
          <w:p w14:paraId="2613F2C8" w14:textId="148A33AB" w:rsidR="00012FF3" w:rsidRDefault="006E5D4A" w:rsidP="00E2267D">
            <w:pPr>
              <w:tabs>
                <w:tab w:val="left" w:pos="5347"/>
              </w:tabs>
              <w:rPr>
                <w:rFonts w:ascii="Arial" w:hAnsi="Arial" w:cs="Arial"/>
              </w:rPr>
            </w:pPr>
            <w:r>
              <w:rPr>
                <w:rFonts w:ascii="Arial" w:hAnsi="Arial" w:cs="Arial"/>
              </w:rPr>
              <w:t>4.9</w:t>
            </w:r>
          </w:p>
        </w:tc>
        <w:tc>
          <w:tcPr>
            <w:tcW w:w="7875" w:type="dxa"/>
          </w:tcPr>
          <w:p w14:paraId="055895A0" w14:textId="5C9D2E59" w:rsidR="00012FF3" w:rsidRDefault="00451426" w:rsidP="00E2267D">
            <w:pPr>
              <w:tabs>
                <w:tab w:val="left" w:pos="5347"/>
              </w:tabs>
              <w:rPr>
                <w:rFonts w:ascii="Arial" w:hAnsi="Arial" w:cs="Arial"/>
                <w:bCs/>
              </w:rPr>
            </w:pPr>
            <w:r w:rsidRPr="00451426">
              <w:rPr>
                <w:rFonts w:ascii="Arial" w:hAnsi="Arial" w:cs="Arial"/>
                <w:bCs/>
              </w:rPr>
              <w:t xml:space="preserve">He highlighted actions being taken following the 2024 stakeholder survey which would include </w:t>
            </w:r>
            <w:r w:rsidR="00CC47A8">
              <w:rPr>
                <w:rFonts w:ascii="Arial" w:hAnsi="Arial" w:cs="Arial"/>
                <w:bCs/>
              </w:rPr>
              <w:t>plans for</w:t>
            </w:r>
            <w:r w:rsidR="009642ED">
              <w:rPr>
                <w:rFonts w:ascii="Arial" w:hAnsi="Arial" w:cs="Arial"/>
                <w:bCs/>
              </w:rPr>
              <w:t xml:space="preserve"> a series of</w:t>
            </w:r>
            <w:r w:rsidRPr="00451426">
              <w:rPr>
                <w:rFonts w:ascii="Arial" w:hAnsi="Arial" w:cs="Arial"/>
                <w:bCs/>
              </w:rPr>
              <w:t xml:space="preserve"> short two</w:t>
            </w:r>
            <w:r w:rsidR="00AC6645">
              <w:rPr>
                <w:rFonts w:ascii="Arial" w:hAnsi="Arial" w:cs="Arial"/>
                <w:bCs/>
              </w:rPr>
              <w:t xml:space="preserve"> to</w:t>
            </w:r>
            <w:r w:rsidR="00356A92">
              <w:rPr>
                <w:rFonts w:ascii="Arial" w:hAnsi="Arial" w:cs="Arial"/>
                <w:bCs/>
              </w:rPr>
              <w:t xml:space="preserve"> </w:t>
            </w:r>
            <w:r w:rsidRPr="00451426">
              <w:rPr>
                <w:rFonts w:ascii="Arial" w:hAnsi="Arial" w:cs="Arial"/>
                <w:bCs/>
              </w:rPr>
              <w:t>three minute videos on different areas of regulation, ensuring that they were targeting the right audiences.</w:t>
            </w:r>
          </w:p>
          <w:p w14:paraId="6655BBF8" w14:textId="19242AF1" w:rsidR="00451426" w:rsidRPr="00D901A4" w:rsidRDefault="00451426" w:rsidP="00E2267D">
            <w:pPr>
              <w:tabs>
                <w:tab w:val="left" w:pos="5347"/>
              </w:tabs>
              <w:rPr>
                <w:rFonts w:ascii="Arial" w:hAnsi="Arial" w:cs="Arial"/>
                <w:bCs/>
              </w:rPr>
            </w:pPr>
          </w:p>
        </w:tc>
      </w:tr>
      <w:tr w:rsidR="00451426" w:rsidRPr="00D901A4" w14:paraId="50D1CCC5" w14:textId="77777777" w:rsidTr="006159E8">
        <w:trPr>
          <w:trHeight w:val="399"/>
        </w:trPr>
        <w:tc>
          <w:tcPr>
            <w:tcW w:w="1141" w:type="dxa"/>
          </w:tcPr>
          <w:p w14:paraId="2C314034" w14:textId="0DBAEEB6" w:rsidR="00451426" w:rsidRDefault="006E5D4A" w:rsidP="00E2267D">
            <w:pPr>
              <w:tabs>
                <w:tab w:val="left" w:pos="5347"/>
              </w:tabs>
              <w:rPr>
                <w:rFonts w:ascii="Arial" w:hAnsi="Arial" w:cs="Arial"/>
              </w:rPr>
            </w:pPr>
            <w:r>
              <w:rPr>
                <w:rFonts w:ascii="Arial" w:hAnsi="Arial" w:cs="Arial"/>
              </w:rPr>
              <w:t>4.10</w:t>
            </w:r>
          </w:p>
        </w:tc>
        <w:tc>
          <w:tcPr>
            <w:tcW w:w="7875" w:type="dxa"/>
          </w:tcPr>
          <w:p w14:paraId="59C4ACDA" w14:textId="1BEC76CA" w:rsidR="00451426" w:rsidRDefault="006E5D4A" w:rsidP="006E5D4A">
            <w:pPr>
              <w:tabs>
                <w:tab w:val="left" w:pos="5347"/>
              </w:tabs>
              <w:rPr>
                <w:rFonts w:ascii="Arial" w:hAnsi="Arial" w:cs="Arial"/>
                <w:bCs/>
              </w:rPr>
            </w:pPr>
            <w:r w:rsidRPr="006E5D4A">
              <w:rPr>
                <w:rFonts w:ascii="Arial" w:hAnsi="Arial" w:cs="Arial"/>
                <w:bCs/>
              </w:rPr>
              <w:t>The CE/CNI informed the Board that a project mandate for SharePoint ha</w:t>
            </w:r>
            <w:r w:rsidR="00F218F6">
              <w:rPr>
                <w:rFonts w:ascii="Arial" w:hAnsi="Arial" w:cs="Arial"/>
                <w:bCs/>
              </w:rPr>
              <w:t>d</w:t>
            </w:r>
            <w:r w:rsidRPr="006E5D4A">
              <w:rPr>
                <w:rFonts w:ascii="Arial" w:hAnsi="Arial" w:cs="Arial"/>
                <w:bCs/>
              </w:rPr>
              <w:t xml:space="preserve"> been approved and initiation activities ha</w:t>
            </w:r>
            <w:r w:rsidR="009642ED">
              <w:rPr>
                <w:rFonts w:ascii="Arial" w:hAnsi="Arial" w:cs="Arial"/>
                <w:bCs/>
              </w:rPr>
              <w:t>d</w:t>
            </w:r>
            <w:r w:rsidRPr="006E5D4A">
              <w:rPr>
                <w:rFonts w:ascii="Arial" w:hAnsi="Arial" w:cs="Arial"/>
                <w:bCs/>
              </w:rPr>
              <w:t xml:space="preserve"> begun. The plan was to deliver SharePoint to replace ONR</w:t>
            </w:r>
            <w:r w:rsidR="00E86B51">
              <w:rPr>
                <w:rFonts w:ascii="Arial" w:hAnsi="Arial" w:cs="Arial"/>
                <w:bCs/>
              </w:rPr>
              <w:t>’</w:t>
            </w:r>
            <w:r w:rsidRPr="006E5D4A">
              <w:rPr>
                <w:rFonts w:ascii="Arial" w:hAnsi="Arial" w:cs="Arial"/>
                <w:bCs/>
              </w:rPr>
              <w:t>s intranet, management system and document storage platforms over 18-24 months. The intranet would be the first to prove the migration technology and</w:t>
            </w:r>
            <w:r>
              <w:rPr>
                <w:rFonts w:ascii="Arial" w:hAnsi="Arial" w:cs="Arial"/>
                <w:bCs/>
              </w:rPr>
              <w:t xml:space="preserve"> </w:t>
            </w:r>
            <w:r w:rsidRPr="006E5D4A">
              <w:rPr>
                <w:rFonts w:ascii="Arial" w:hAnsi="Arial" w:cs="Arial"/>
                <w:bCs/>
              </w:rPr>
              <w:t>process. Opportunities to speed up delivery would be balanced against risk and</w:t>
            </w:r>
            <w:r>
              <w:rPr>
                <w:rFonts w:ascii="Arial" w:hAnsi="Arial" w:cs="Arial"/>
                <w:bCs/>
              </w:rPr>
              <w:t xml:space="preserve"> </w:t>
            </w:r>
            <w:r w:rsidRPr="006E5D4A">
              <w:rPr>
                <w:rFonts w:ascii="Arial" w:hAnsi="Arial" w:cs="Arial"/>
                <w:bCs/>
              </w:rPr>
              <w:t>quality.</w:t>
            </w:r>
          </w:p>
          <w:p w14:paraId="7878E40D" w14:textId="32EB0B67" w:rsidR="006E5D4A" w:rsidRPr="00D901A4" w:rsidRDefault="006E5D4A" w:rsidP="006E5D4A">
            <w:pPr>
              <w:tabs>
                <w:tab w:val="left" w:pos="5347"/>
              </w:tabs>
              <w:rPr>
                <w:rFonts w:ascii="Arial" w:hAnsi="Arial" w:cs="Arial"/>
                <w:bCs/>
              </w:rPr>
            </w:pPr>
          </w:p>
        </w:tc>
      </w:tr>
      <w:tr w:rsidR="006E5D4A" w:rsidRPr="00D901A4" w14:paraId="52411074" w14:textId="77777777" w:rsidTr="006159E8">
        <w:trPr>
          <w:trHeight w:val="399"/>
        </w:trPr>
        <w:tc>
          <w:tcPr>
            <w:tcW w:w="1141" w:type="dxa"/>
          </w:tcPr>
          <w:p w14:paraId="3048F060" w14:textId="1DF60D82" w:rsidR="006E5D4A" w:rsidRDefault="00622126" w:rsidP="00E2267D">
            <w:pPr>
              <w:tabs>
                <w:tab w:val="left" w:pos="5347"/>
              </w:tabs>
              <w:rPr>
                <w:rFonts w:ascii="Arial" w:hAnsi="Arial" w:cs="Arial"/>
              </w:rPr>
            </w:pPr>
            <w:r>
              <w:rPr>
                <w:rFonts w:ascii="Arial" w:hAnsi="Arial" w:cs="Arial"/>
              </w:rPr>
              <w:t>4.12</w:t>
            </w:r>
          </w:p>
        </w:tc>
        <w:tc>
          <w:tcPr>
            <w:tcW w:w="7875" w:type="dxa"/>
          </w:tcPr>
          <w:p w14:paraId="5686E855" w14:textId="1A64B745" w:rsidR="006479F5" w:rsidRDefault="006479F5" w:rsidP="006479F5">
            <w:pPr>
              <w:rPr>
                <w:rFonts w:asciiTheme="minorBidi" w:hAnsiTheme="minorBidi"/>
              </w:rPr>
            </w:pPr>
            <w:r w:rsidRPr="00845D25">
              <w:rPr>
                <w:rFonts w:asciiTheme="minorBidi" w:hAnsiTheme="minorBidi"/>
              </w:rPr>
              <w:t>An overall moderate assurance for 2023/24 ha</w:t>
            </w:r>
            <w:r>
              <w:rPr>
                <w:rFonts w:asciiTheme="minorBidi" w:hAnsiTheme="minorBidi"/>
              </w:rPr>
              <w:t xml:space="preserve">d </w:t>
            </w:r>
            <w:r w:rsidRPr="00845D25">
              <w:rPr>
                <w:rFonts w:asciiTheme="minorBidi" w:hAnsiTheme="minorBidi"/>
              </w:rPr>
              <w:t xml:space="preserve">been provided by </w:t>
            </w:r>
            <w:r>
              <w:rPr>
                <w:rFonts w:asciiTheme="minorBidi" w:hAnsiTheme="minorBidi"/>
              </w:rPr>
              <w:t>regulatory assurance</w:t>
            </w:r>
            <w:r w:rsidRPr="00845D25">
              <w:rPr>
                <w:rFonts w:asciiTheme="minorBidi" w:hAnsiTheme="minorBidi"/>
              </w:rPr>
              <w:t xml:space="preserve"> activities. Key themes from reviews include</w:t>
            </w:r>
            <w:r w:rsidR="00EA2571">
              <w:rPr>
                <w:rFonts w:asciiTheme="minorBidi" w:hAnsiTheme="minorBidi"/>
              </w:rPr>
              <w:t>d</w:t>
            </w:r>
            <w:r w:rsidRPr="00845D25">
              <w:rPr>
                <w:rFonts w:asciiTheme="minorBidi" w:hAnsiTheme="minorBidi"/>
              </w:rPr>
              <w:t>: requirement</w:t>
            </w:r>
            <w:r>
              <w:rPr>
                <w:rFonts w:asciiTheme="minorBidi" w:hAnsiTheme="minorBidi"/>
              </w:rPr>
              <w:t xml:space="preserve"> </w:t>
            </w:r>
            <w:r w:rsidRPr="00845D25">
              <w:rPr>
                <w:rFonts w:asciiTheme="minorBidi" w:hAnsiTheme="minorBidi"/>
              </w:rPr>
              <w:t>for enhanced knowledge management; improved compliance and consistency</w:t>
            </w:r>
            <w:r>
              <w:rPr>
                <w:rFonts w:asciiTheme="minorBidi" w:hAnsiTheme="minorBidi"/>
              </w:rPr>
              <w:t xml:space="preserve"> </w:t>
            </w:r>
            <w:r w:rsidRPr="00845D25">
              <w:rPr>
                <w:rFonts w:asciiTheme="minorBidi" w:hAnsiTheme="minorBidi"/>
              </w:rPr>
              <w:t>with internal processes; reduction in siloed working including a consistent</w:t>
            </w:r>
            <w:r>
              <w:rPr>
                <w:rFonts w:asciiTheme="minorBidi" w:hAnsiTheme="minorBidi"/>
              </w:rPr>
              <w:t xml:space="preserve"> </w:t>
            </w:r>
            <w:r w:rsidRPr="00845D25">
              <w:rPr>
                <w:rFonts w:asciiTheme="minorBidi" w:hAnsiTheme="minorBidi"/>
              </w:rPr>
              <w:t>resourcing model; and improvements in data management.</w:t>
            </w:r>
          </w:p>
          <w:p w14:paraId="793A7255" w14:textId="77777777" w:rsidR="006E5D4A" w:rsidRPr="006E5D4A" w:rsidRDefault="006E5D4A" w:rsidP="006E5D4A">
            <w:pPr>
              <w:tabs>
                <w:tab w:val="left" w:pos="5347"/>
              </w:tabs>
              <w:rPr>
                <w:rFonts w:ascii="Arial" w:hAnsi="Arial" w:cs="Arial"/>
                <w:bCs/>
              </w:rPr>
            </w:pPr>
          </w:p>
        </w:tc>
      </w:tr>
      <w:tr w:rsidR="00F416E9" w:rsidRPr="00D901A4" w14:paraId="72733628" w14:textId="77777777" w:rsidTr="006159E8">
        <w:trPr>
          <w:trHeight w:val="399"/>
        </w:trPr>
        <w:tc>
          <w:tcPr>
            <w:tcW w:w="1141" w:type="dxa"/>
          </w:tcPr>
          <w:p w14:paraId="7E152B6A" w14:textId="319462E3" w:rsidR="00F416E9" w:rsidRDefault="00F416E9" w:rsidP="00E2267D">
            <w:pPr>
              <w:tabs>
                <w:tab w:val="left" w:pos="5347"/>
              </w:tabs>
              <w:rPr>
                <w:rFonts w:ascii="Arial" w:hAnsi="Arial" w:cs="Arial"/>
              </w:rPr>
            </w:pPr>
            <w:r>
              <w:rPr>
                <w:rFonts w:ascii="Arial" w:hAnsi="Arial" w:cs="Arial"/>
              </w:rPr>
              <w:t>4.13</w:t>
            </w:r>
          </w:p>
        </w:tc>
        <w:tc>
          <w:tcPr>
            <w:tcW w:w="7875" w:type="dxa"/>
          </w:tcPr>
          <w:p w14:paraId="48F17FBC" w14:textId="33C9DF27" w:rsidR="00F416E9" w:rsidRPr="00213E23" w:rsidRDefault="00F416E9" w:rsidP="00F416E9">
            <w:pPr>
              <w:rPr>
                <w:rFonts w:asciiTheme="minorBidi" w:hAnsiTheme="minorBidi"/>
              </w:rPr>
            </w:pPr>
            <w:r w:rsidRPr="00213E23">
              <w:rPr>
                <w:rFonts w:asciiTheme="minorBidi" w:hAnsiTheme="minorBidi"/>
              </w:rPr>
              <w:t xml:space="preserve">He noted that the remaining lease reviews for London and Bootle </w:t>
            </w:r>
            <w:r w:rsidR="00EA2571">
              <w:rPr>
                <w:rFonts w:asciiTheme="minorBidi" w:hAnsiTheme="minorBidi"/>
              </w:rPr>
              <w:t>we</w:t>
            </w:r>
            <w:r w:rsidRPr="00213E23">
              <w:rPr>
                <w:rFonts w:asciiTheme="minorBidi" w:hAnsiTheme="minorBidi"/>
              </w:rPr>
              <w:t>re progressing</w:t>
            </w:r>
            <w:r>
              <w:rPr>
                <w:rFonts w:asciiTheme="minorBidi" w:hAnsiTheme="minorBidi"/>
              </w:rPr>
              <w:t xml:space="preserve"> </w:t>
            </w:r>
            <w:r w:rsidRPr="00213E23">
              <w:rPr>
                <w:rFonts w:asciiTheme="minorBidi" w:hAnsiTheme="minorBidi"/>
              </w:rPr>
              <w:t xml:space="preserve">to plan. Design for the new London Office </w:t>
            </w:r>
            <w:r w:rsidR="00690A7B">
              <w:rPr>
                <w:rFonts w:asciiTheme="minorBidi" w:hAnsiTheme="minorBidi"/>
              </w:rPr>
              <w:t xml:space="preserve">had been </w:t>
            </w:r>
            <w:r w:rsidRPr="00213E23">
              <w:rPr>
                <w:rFonts w:asciiTheme="minorBidi" w:hAnsiTheme="minorBidi"/>
              </w:rPr>
              <w:t xml:space="preserve"> finalised</w:t>
            </w:r>
            <w:r w:rsidR="0085319A">
              <w:rPr>
                <w:rFonts w:asciiTheme="minorBidi" w:hAnsiTheme="minorBidi"/>
              </w:rPr>
              <w:t xml:space="preserve"> </w:t>
            </w:r>
            <w:r w:rsidR="00713C0F">
              <w:rPr>
                <w:rFonts w:asciiTheme="minorBidi" w:hAnsiTheme="minorBidi"/>
              </w:rPr>
              <w:t xml:space="preserve">with a likely opening date of </w:t>
            </w:r>
            <w:r w:rsidRPr="00213E23">
              <w:rPr>
                <w:rFonts w:asciiTheme="minorBidi" w:hAnsiTheme="minorBidi"/>
              </w:rPr>
              <w:t>6 August.</w:t>
            </w:r>
          </w:p>
          <w:p w14:paraId="0D2F80F7" w14:textId="77777777" w:rsidR="00F416E9" w:rsidRPr="00D901A4" w:rsidRDefault="00F416E9" w:rsidP="00E2267D">
            <w:pPr>
              <w:tabs>
                <w:tab w:val="left" w:pos="5347"/>
              </w:tabs>
              <w:rPr>
                <w:rFonts w:ascii="Arial" w:hAnsi="Arial" w:cs="Arial"/>
                <w:bCs/>
              </w:rPr>
            </w:pPr>
          </w:p>
        </w:tc>
      </w:tr>
      <w:tr w:rsidR="00D915B8" w:rsidRPr="00D901A4" w14:paraId="5E5F15E1" w14:textId="77777777" w:rsidTr="006159E8">
        <w:trPr>
          <w:trHeight w:val="399"/>
        </w:trPr>
        <w:tc>
          <w:tcPr>
            <w:tcW w:w="1141" w:type="dxa"/>
          </w:tcPr>
          <w:p w14:paraId="68C3B4DE" w14:textId="11CF94B5" w:rsidR="00D915B8" w:rsidRDefault="00D915B8" w:rsidP="00E2267D">
            <w:pPr>
              <w:tabs>
                <w:tab w:val="left" w:pos="5347"/>
              </w:tabs>
              <w:rPr>
                <w:rFonts w:ascii="Arial" w:hAnsi="Arial" w:cs="Arial"/>
              </w:rPr>
            </w:pPr>
            <w:r>
              <w:rPr>
                <w:rFonts w:ascii="Arial" w:hAnsi="Arial" w:cs="Arial"/>
              </w:rPr>
              <w:t>4.14</w:t>
            </w:r>
          </w:p>
        </w:tc>
        <w:tc>
          <w:tcPr>
            <w:tcW w:w="7875" w:type="dxa"/>
          </w:tcPr>
          <w:p w14:paraId="00D74D7B" w14:textId="78CD15A1" w:rsidR="00D915B8" w:rsidRDefault="00D915B8" w:rsidP="00D915B8">
            <w:pPr>
              <w:tabs>
                <w:tab w:val="left" w:pos="5347"/>
              </w:tabs>
              <w:rPr>
                <w:rFonts w:ascii="Arial" w:hAnsi="Arial" w:cs="Arial"/>
                <w:bCs/>
              </w:rPr>
            </w:pPr>
            <w:r>
              <w:rPr>
                <w:rFonts w:ascii="Arial" w:hAnsi="Arial" w:cs="Arial"/>
                <w:bCs/>
              </w:rPr>
              <w:t xml:space="preserve">The CE/CNI updated the Board on end of year performance. He highlighted updates on </w:t>
            </w:r>
            <w:r w:rsidR="00616336">
              <w:rPr>
                <w:rFonts w:ascii="Arial" w:hAnsi="Arial" w:cs="Arial"/>
                <w:bCs/>
              </w:rPr>
              <w:t xml:space="preserve">ONR’s corporate milestones and </w:t>
            </w:r>
            <w:r w:rsidR="00BC0D6A" w:rsidRPr="00BC0D6A">
              <w:rPr>
                <w:rFonts w:ascii="Arial" w:hAnsi="Arial" w:cs="Arial"/>
                <w:bCs/>
              </w:rPr>
              <w:t>Organisational Effectiveness Indicators</w:t>
            </w:r>
            <w:r w:rsidR="00BC0D6A">
              <w:rPr>
                <w:rFonts w:ascii="Arial" w:hAnsi="Arial" w:cs="Arial"/>
                <w:bCs/>
              </w:rPr>
              <w:t>.</w:t>
            </w:r>
          </w:p>
          <w:p w14:paraId="36FE8C74" w14:textId="77777777" w:rsidR="00D915B8" w:rsidRPr="00213E23" w:rsidRDefault="00D915B8" w:rsidP="00F416E9">
            <w:pPr>
              <w:rPr>
                <w:rFonts w:asciiTheme="minorBidi" w:hAnsiTheme="minorBidi"/>
              </w:rPr>
            </w:pPr>
          </w:p>
        </w:tc>
      </w:tr>
      <w:tr w:rsidR="0097193F" w:rsidRPr="00D901A4" w14:paraId="0C6A2227" w14:textId="77777777" w:rsidTr="006159E8">
        <w:trPr>
          <w:trHeight w:val="399"/>
        </w:trPr>
        <w:tc>
          <w:tcPr>
            <w:tcW w:w="1141" w:type="dxa"/>
          </w:tcPr>
          <w:p w14:paraId="05CE5B13" w14:textId="78E6B19B" w:rsidR="0097193F" w:rsidRPr="0097193F" w:rsidRDefault="0097193F" w:rsidP="00E2267D">
            <w:pPr>
              <w:tabs>
                <w:tab w:val="left" w:pos="5347"/>
              </w:tabs>
              <w:rPr>
                <w:rFonts w:ascii="Arial" w:hAnsi="Arial" w:cs="Arial"/>
              </w:rPr>
            </w:pPr>
            <w:r>
              <w:rPr>
                <w:rFonts w:ascii="Arial" w:hAnsi="Arial" w:cs="Arial"/>
              </w:rPr>
              <w:t>4.</w:t>
            </w:r>
            <w:r w:rsidR="00D915B8">
              <w:rPr>
                <w:rFonts w:ascii="Arial" w:hAnsi="Arial" w:cs="Arial"/>
              </w:rPr>
              <w:t>15</w:t>
            </w:r>
          </w:p>
        </w:tc>
        <w:tc>
          <w:tcPr>
            <w:tcW w:w="7875" w:type="dxa"/>
          </w:tcPr>
          <w:p w14:paraId="46A8FD07" w14:textId="4E37FCAB" w:rsidR="0097193F" w:rsidRDefault="0097193F" w:rsidP="00E2267D">
            <w:pPr>
              <w:tabs>
                <w:tab w:val="left" w:pos="5347"/>
              </w:tabs>
              <w:rPr>
                <w:rFonts w:ascii="Arial" w:hAnsi="Arial" w:cs="Arial"/>
                <w:bCs/>
              </w:rPr>
            </w:pPr>
            <w:r w:rsidRPr="00D901A4">
              <w:rPr>
                <w:rFonts w:ascii="Arial" w:hAnsi="Arial" w:cs="Arial"/>
                <w:bCs/>
              </w:rPr>
              <w:t>In discussion the Board:</w:t>
            </w:r>
          </w:p>
          <w:p w14:paraId="2E5D97C6" w14:textId="77777777" w:rsidR="00881CDD" w:rsidRDefault="00881CDD" w:rsidP="00E2267D">
            <w:pPr>
              <w:tabs>
                <w:tab w:val="left" w:pos="5347"/>
              </w:tabs>
              <w:rPr>
                <w:rFonts w:ascii="Arial" w:hAnsi="Arial" w:cs="Arial"/>
                <w:bCs/>
              </w:rPr>
            </w:pPr>
          </w:p>
          <w:p w14:paraId="363A3AE0" w14:textId="287C0D9E" w:rsidR="00927D32" w:rsidRPr="00232FB0" w:rsidRDefault="00927D32" w:rsidP="006C1D76">
            <w:pPr>
              <w:pStyle w:val="ListParagraph"/>
              <w:numPr>
                <w:ilvl w:val="0"/>
                <w:numId w:val="8"/>
              </w:numPr>
              <w:rPr>
                <w:rFonts w:asciiTheme="minorBidi" w:hAnsiTheme="minorBidi"/>
              </w:rPr>
            </w:pPr>
            <w:r w:rsidRPr="00927D32">
              <w:rPr>
                <w:rFonts w:asciiTheme="minorBidi" w:hAnsiTheme="minorBidi"/>
              </w:rPr>
              <w:t xml:space="preserve">Commended the Strategy and Corporate Affairs team for their organisation of the </w:t>
            </w:r>
            <w:r w:rsidR="007F6E99">
              <w:rPr>
                <w:rFonts w:asciiTheme="minorBidi" w:hAnsiTheme="minorBidi"/>
              </w:rPr>
              <w:t>A</w:t>
            </w:r>
            <w:r w:rsidRPr="00927D32">
              <w:rPr>
                <w:rFonts w:asciiTheme="minorBidi" w:hAnsiTheme="minorBidi"/>
              </w:rPr>
              <w:t>ll Staff Event</w:t>
            </w:r>
            <w:r w:rsidR="00232FB0">
              <w:rPr>
                <w:rFonts w:asciiTheme="minorBidi" w:hAnsiTheme="minorBidi"/>
              </w:rPr>
              <w:t>. The Board n</w:t>
            </w:r>
            <w:r w:rsidRPr="00232FB0">
              <w:rPr>
                <w:rFonts w:asciiTheme="minorBidi" w:hAnsiTheme="minorBidi"/>
              </w:rPr>
              <w:t xml:space="preserve">oted </w:t>
            </w:r>
            <w:r w:rsidR="00232FB0">
              <w:rPr>
                <w:rFonts w:asciiTheme="minorBidi" w:hAnsiTheme="minorBidi"/>
              </w:rPr>
              <w:t>feedback from</w:t>
            </w:r>
            <w:r w:rsidR="004E0662">
              <w:rPr>
                <w:rFonts w:asciiTheme="minorBidi" w:hAnsiTheme="minorBidi"/>
              </w:rPr>
              <w:t xml:space="preserve"> some</w:t>
            </w:r>
            <w:r w:rsidR="00232FB0">
              <w:rPr>
                <w:rFonts w:asciiTheme="minorBidi" w:hAnsiTheme="minorBidi"/>
              </w:rPr>
              <w:t xml:space="preserve"> staff </w:t>
            </w:r>
            <w:r w:rsidR="005730DD">
              <w:rPr>
                <w:rFonts w:asciiTheme="minorBidi" w:hAnsiTheme="minorBidi"/>
              </w:rPr>
              <w:t xml:space="preserve">to the effect </w:t>
            </w:r>
            <w:r w:rsidR="00232FB0">
              <w:rPr>
                <w:rFonts w:asciiTheme="minorBidi" w:hAnsiTheme="minorBidi"/>
              </w:rPr>
              <w:t xml:space="preserve">that they </w:t>
            </w:r>
            <w:r w:rsidR="005730DD">
              <w:rPr>
                <w:rFonts w:asciiTheme="minorBidi" w:hAnsiTheme="minorBidi"/>
              </w:rPr>
              <w:t>ha</w:t>
            </w:r>
            <w:r w:rsidR="002F3361">
              <w:rPr>
                <w:rFonts w:asciiTheme="minorBidi" w:hAnsiTheme="minorBidi"/>
              </w:rPr>
              <w:t>d</w:t>
            </w:r>
            <w:r w:rsidR="005730DD">
              <w:rPr>
                <w:rFonts w:asciiTheme="minorBidi" w:hAnsiTheme="minorBidi"/>
              </w:rPr>
              <w:t xml:space="preserve"> expected </w:t>
            </w:r>
            <w:r w:rsidR="00175A40">
              <w:rPr>
                <w:rFonts w:asciiTheme="minorBidi" w:hAnsiTheme="minorBidi"/>
              </w:rPr>
              <w:t>a</w:t>
            </w:r>
            <w:r w:rsidRPr="00232FB0">
              <w:rPr>
                <w:rFonts w:asciiTheme="minorBidi" w:hAnsiTheme="minorBidi"/>
              </w:rPr>
              <w:t xml:space="preserve"> more forward looking</w:t>
            </w:r>
            <w:r w:rsidR="00175A40">
              <w:rPr>
                <w:rFonts w:asciiTheme="minorBidi" w:hAnsiTheme="minorBidi"/>
              </w:rPr>
              <w:t xml:space="preserve"> event</w:t>
            </w:r>
            <w:r w:rsidRPr="00232FB0">
              <w:rPr>
                <w:rFonts w:asciiTheme="minorBidi" w:hAnsiTheme="minorBidi"/>
              </w:rPr>
              <w:t>. The Board commented that the ONR Board Strategy Day would be a</w:t>
            </w:r>
            <w:r w:rsidR="00143656">
              <w:rPr>
                <w:rFonts w:asciiTheme="minorBidi" w:hAnsiTheme="minorBidi"/>
              </w:rPr>
              <w:t xml:space="preserve"> forward looking event </w:t>
            </w:r>
            <w:r w:rsidR="004F5E71">
              <w:rPr>
                <w:rFonts w:asciiTheme="minorBidi" w:hAnsiTheme="minorBidi"/>
              </w:rPr>
              <w:t xml:space="preserve">which </w:t>
            </w:r>
            <w:r w:rsidR="00143656">
              <w:rPr>
                <w:rFonts w:asciiTheme="minorBidi" w:hAnsiTheme="minorBidi"/>
              </w:rPr>
              <w:t xml:space="preserve">would </w:t>
            </w:r>
            <w:r w:rsidR="005C5DF1">
              <w:rPr>
                <w:rFonts w:asciiTheme="minorBidi" w:hAnsiTheme="minorBidi"/>
              </w:rPr>
              <w:t xml:space="preserve">provide </w:t>
            </w:r>
            <w:r w:rsidR="00143656">
              <w:rPr>
                <w:rFonts w:asciiTheme="minorBidi" w:hAnsiTheme="minorBidi"/>
              </w:rPr>
              <w:t>a</w:t>
            </w:r>
            <w:r w:rsidRPr="00232FB0">
              <w:rPr>
                <w:rFonts w:asciiTheme="minorBidi" w:hAnsiTheme="minorBidi"/>
              </w:rPr>
              <w:t xml:space="preserve"> good </w:t>
            </w:r>
            <w:r w:rsidR="00143656">
              <w:rPr>
                <w:rFonts w:asciiTheme="minorBidi" w:hAnsiTheme="minorBidi"/>
              </w:rPr>
              <w:t xml:space="preserve">communications </w:t>
            </w:r>
            <w:r w:rsidRPr="00232FB0">
              <w:rPr>
                <w:rFonts w:asciiTheme="minorBidi" w:hAnsiTheme="minorBidi"/>
              </w:rPr>
              <w:t xml:space="preserve">opportunity </w:t>
            </w:r>
            <w:r w:rsidR="00A411EF">
              <w:rPr>
                <w:rFonts w:asciiTheme="minorBidi" w:hAnsiTheme="minorBidi"/>
              </w:rPr>
              <w:t>for</w:t>
            </w:r>
            <w:r w:rsidRPr="00232FB0">
              <w:rPr>
                <w:rFonts w:asciiTheme="minorBidi" w:hAnsiTheme="minorBidi"/>
              </w:rPr>
              <w:t xml:space="preserve"> shar</w:t>
            </w:r>
            <w:r w:rsidR="00A411EF">
              <w:rPr>
                <w:rFonts w:asciiTheme="minorBidi" w:hAnsiTheme="minorBidi"/>
              </w:rPr>
              <w:t>ing</w:t>
            </w:r>
            <w:r w:rsidRPr="00232FB0">
              <w:rPr>
                <w:rFonts w:asciiTheme="minorBidi" w:hAnsiTheme="minorBidi"/>
              </w:rPr>
              <w:t xml:space="preserve"> the outcomes of the discussions</w:t>
            </w:r>
            <w:r w:rsidR="004C6D24">
              <w:rPr>
                <w:rFonts w:asciiTheme="minorBidi" w:hAnsiTheme="minorBidi"/>
              </w:rPr>
              <w:t xml:space="preserve"> with staff</w:t>
            </w:r>
            <w:r w:rsidRPr="00232FB0">
              <w:rPr>
                <w:rFonts w:asciiTheme="minorBidi" w:hAnsiTheme="minorBidi"/>
              </w:rPr>
              <w:t>.</w:t>
            </w:r>
          </w:p>
          <w:p w14:paraId="72F17EEF" w14:textId="77777777" w:rsidR="00927D32" w:rsidRPr="00927D32" w:rsidRDefault="00927D32" w:rsidP="006C1D76">
            <w:pPr>
              <w:pStyle w:val="ListParagraph"/>
              <w:numPr>
                <w:ilvl w:val="0"/>
                <w:numId w:val="8"/>
              </w:numPr>
              <w:rPr>
                <w:rFonts w:asciiTheme="minorBidi" w:hAnsiTheme="minorBidi"/>
              </w:rPr>
            </w:pPr>
            <w:r w:rsidRPr="00927D32">
              <w:rPr>
                <w:rFonts w:asciiTheme="minorBidi" w:hAnsiTheme="minorBidi"/>
              </w:rPr>
              <w:t>Highlighted the need for clarity on the senior structure within ONR from CE/CNI to Band 1.</w:t>
            </w:r>
          </w:p>
          <w:p w14:paraId="359F95AE" w14:textId="028A84EB" w:rsidR="00927D32" w:rsidRPr="00927D32" w:rsidRDefault="007B43F2" w:rsidP="006C1D76">
            <w:pPr>
              <w:pStyle w:val="ListParagraph"/>
              <w:numPr>
                <w:ilvl w:val="0"/>
                <w:numId w:val="8"/>
              </w:numPr>
              <w:rPr>
                <w:rFonts w:asciiTheme="minorBidi" w:hAnsiTheme="minorBidi"/>
              </w:rPr>
            </w:pPr>
            <w:r>
              <w:rPr>
                <w:rFonts w:asciiTheme="minorBidi" w:hAnsiTheme="minorBidi"/>
              </w:rPr>
              <w:t xml:space="preserve">Reflected </w:t>
            </w:r>
            <w:r w:rsidR="00667675">
              <w:rPr>
                <w:rFonts w:asciiTheme="minorBidi" w:hAnsiTheme="minorBidi"/>
              </w:rPr>
              <w:t xml:space="preserve">on </w:t>
            </w:r>
            <w:r w:rsidR="00927D32" w:rsidRPr="00927D32">
              <w:rPr>
                <w:rFonts w:asciiTheme="minorBidi" w:hAnsiTheme="minorBidi"/>
              </w:rPr>
              <w:t>the insights f</w:t>
            </w:r>
            <w:r w:rsidR="00491804">
              <w:rPr>
                <w:rFonts w:asciiTheme="minorBidi" w:hAnsiTheme="minorBidi"/>
              </w:rPr>
              <w:t xml:space="preserve">rom the Chair’s and CE/CNI’s </w:t>
            </w:r>
            <w:r w:rsidR="00927D32" w:rsidRPr="00927D32">
              <w:rPr>
                <w:rFonts w:asciiTheme="minorBidi" w:hAnsiTheme="minorBidi"/>
              </w:rPr>
              <w:t xml:space="preserve">introductory meeting with The Rt Hon Lord Hunt of Kings Heath OBE, newly appointed Minister </w:t>
            </w:r>
            <w:r w:rsidR="002177EC">
              <w:rPr>
                <w:rFonts w:asciiTheme="minorBidi" w:hAnsiTheme="minorBidi"/>
              </w:rPr>
              <w:t>at</w:t>
            </w:r>
            <w:r w:rsidR="00927D32" w:rsidRPr="00927D32">
              <w:rPr>
                <w:rFonts w:asciiTheme="minorBidi" w:hAnsiTheme="minorBidi"/>
              </w:rPr>
              <w:t xml:space="preserve"> DESNZ.</w:t>
            </w:r>
          </w:p>
          <w:p w14:paraId="463DFB9E" w14:textId="77777777" w:rsidR="00927D32" w:rsidRPr="00927D32" w:rsidRDefault="00927D32" w:rsidP="006C1D76">
            <w:pPr>
              <w:pStyle w:val="ListParagraph"/>
              <w:numPr>
                <w:ilvl w:val="0"/>
                <w:numId w:val="8"/>
              </w:numPr>
              <w:rPr>
                <w:rFonts w:asciiTheme="minorBidi" w:hAnsiTheme="minorBidi"/>
              </w:rPr>
            </w:pPr>
            <w:r w:rsidRPr="00927D32">
              <w:rPr>
                <w:rFonts w:asciiTheme="minorBidi" w:hAnsiTheme="minorBidi"/>
              </w:rPr>
              <w:t>Noted that plans for the two special Independent Advisory Panel meetings were progressing well.</w:t>
            </w:r>
          </w:p>
          <w:p w14:paraId="52EABA35" w14:textId="2B2D1675" w:rsidR="00927D32" w:rsidRPr="00927D32" w:rsidRDefault="00927D32" w:rsidP="006C1D76">
            <w:pPr>
              <w:pStyle w:val="ListParagraph"/>
              <w:numPr>
                <w:ilvl w:val="0"/>
                <w:numId w:val="8"/>
              </w:numPr>
              <w:rPr>
                <w:rFonts w:asciiTheme="minorBidi" w:hAnsiTheme="minorBidi"/>
              </w:rPr>
            </w:pPr>
            <w:r w:rsidRPr="00927D32">
              <w:rPr>
                <w:rFonts w:asciiTheme="minorBidi" w:hAnsiTheme="minorBidi"/>
              </w:rPr>
              <w:lastRenderedPageBreak/>
              <w:t>Confirmed that responsibility for any decisions to prosecute a licen</w:t>
            </w:r>
            <w:r w:rsidR="000A2EBE">
              <w:rPr>
                <w:rFonts w:asciiTheme="minorBidi" w:hAnsiTheme="minorBidi"/>
              </w:rPr>
              <w:t>c</w:t>
            </w:r>
            <w:r w:rsidRPr="00927D32">
              <w:rPr>
                <w:rFonts w:asciiTheme="minorBidi" w:hAnsiTheme="minorBidi"/>
              </w:rPr>
              <w:t xml:space="preserve">e holder sat with the CE/CNI </w:t>
            </w:r>
            <w:r w:rsidR="00143656">
              <w:rPr>
                <w:rFonts w:asciiTheme="minorBidi" w:hAnsiTheme="minorBidi"/>
              </w:rPr>
              <w:t xml:space="preserve">as it was a regulatory decision, </w:t>
            </w:r>
            <w:r w:rsidR="00840E7C">
              <w:rPr>
                <w:rFonts w:asciiTheme="minorBidi" w:hAnsiTheme="minorBidi"/>
              </w:rPr>
              <w:t>whilst the</w:t>
            </w:r>
            <w:r w:rsidR="00CE38E2">
              <w:rPr>
                <w:rFonts w:asciiTheme="minorBidi" w:hAnsiTheme="minorBidi"/>
              </w:rPr>
              <w:t xml:space="preserve"> </w:t>
            </w:r>
            <w:r w:rsidRPr="00927D32">
              <w:rPr>
                <w:rFonts w:asciiTheme="minorBidi" w:hAnsiTheme="minorBidi"/>
              </w:rPr>
              <w:t>Board</w:t>
            </w:r>
            <w:r w:rsidR="00143656">
              <w:rPr>
                <w:rFonts w:asciiTheme="minorBidi" w:hAnsiTheme="minorBidi"/>
              </w:rPr>
              <w:t>’s</w:t>
            </w:r>
            <w:r w:rsidRPr="00927D32">
              <w:rPr>
                <w:rFonts w:asciiTheme="minorBidi" w:hAnsiTheme="minorBidi"/>
              </w:rPr>
              <w:t xml:space="preserve"> w</w:t>
            </w:r>
            <w:r w:rsidR="00CE38E2">
              <w:rPr>
                <w:rFonts w:asciiTheme="minorBidi" w:hAnsiTheme="minorBidi"/>
              </w:rPr>
              <w:t xml:space="preserve">as </w:t>
            </w:r>
            <w:r w:rsidR="00143656">
              <w:rPr>
                <w:rFonts w:asciiTheme="minorBidi" w:hAnsiTheme="minorBidi"/>
              </w:rPr>
              <w:t>to hold</w:t>
            </w:r>
            <w:r w:rsidRPr="00927D32">
              <w:rPr>
                <w:rFonts w:asciiTheme="minorBidi" w:hAnsiTheme="minorBidi"/>
              </w:rPr>
              <w:t xml:space="preserve"> </w:t>
            </w:r>
            <w:r w:rsidR="002C04DB">
              <w:rPr>
                <w:rFonts w:asciiTheme="minorBidi" w:hAnsiTheme="minorBidi"/>
              </w:rPr>
              <w:t>the CE/CNI</w:t>
            </w:r>
            <w:r w:rsidRPr="00927D32">
              <w:rPr>
                <w:rFonts w:asciiTheme="minorBidi" w:hAnsiTheme="minorBidi"/>
              </w:rPr>
              <w:t xml:space="preserve"> to account on any decisions made. </w:t>
            </w:r>
          </w:p>
          <w:p w14:paraId="11F66CFB" w14:textId="77777777" w:rsidR="00927D32" w:rsidRDefault="00927D32" w:rsidP="006C1D76">
            <w:pPr>
              <w:pStyle w:val="ListParagraph"/>
              <w:numPr>
                <w:ilvl w:val="0"/>
                <w:numId w:val="8"/>
              </w:numPr>
              <w:rPr>
                <w:rFonts w:asciiTheme="minorBidi" w:hAnsiTheme="minorBidi"/>
              </w:rPr>
            </w:pPr>
            <w:r w:rsidRPr="00927D32">
              <w:rPr>
                <w:rFonts w:asciiTheme="minorBidi" w:hAnsiTheme="minorBidi"/>
              </w:rPr>
              <w:t>Noted the updates on the Sizewell C Judicial Review.</w:t>
            </w:r>
          </w:p>
          <w:p w14:paraId="7E0355EA" w14:textId="22466FD1" w:rsidR="00017198" w:rsidRDefault="00017198" w:rsidP="006C1D76">
            <w:pPr>
              <w:pStyle w:val="ListParagraph"/>
              <w:numPr>
                <w:ilvl w:val="0"/>
                <w:numId w:val="8"/>
              </w:numPr>
              <w:spacing w:after="160" w:line="259" w:lineRule="auto"/>
              <w:rPr>
                <w:rFonts w:asciiTheme="minorBidi" w:hAnsiTheme="minorBidi"/>
              </w:rPr>
            </w:pPr>
            <w:r>
              <w:rPr>
                <w:rFonts w:asciiTheme="minorBidi" w:hAnsiTheme="minorBidi"/>
              </w:rPr>
              <w:t xml:space="preserve">Highlighted the need for a strategic ONR voice on the Regulator Council and a need for further thinking about who would represent the organisation, noting that </w:t>
            </w:r>
            <w:r w:rsidR="00143656">
              <w:rPr>
                <w:rFonts w:asciiTheme="minorBidi" w:hAnsiTheme="minorBidi"/>
              </w:rPr>
              <w:t>the</w:t>
            </w:r>
            <w:r>
              <w:rPr>
                <w:rFonts w:asciiTheme="minorBidi" w:hAnsiTheme="minorBidi"/>
              </w:rPr>
              <w:t xml:space="preserve"> for</w:t>
            </w:r>
            <w:r w:rsidR="00DA4E01">
              <w:rPr>
                <w:rFonts w:asciiTheme="minorBidi" w:hAnsiTheme="minorBidi"/>
              </w:rPr>
              <w:t>um</w:t>
            </w:r>
            <w:r>
              <w:rPr>
                <w:rFonts w:asciiTheme="minorBidi" w:hAnsiTheme="minorBidi"/>
              </w:rPr>
              <w:t xml:space="preserve"> would not be regulatory focused but </w:t>
            </w:r>
            <w:r w:rsidR="00143656">
              <w:rPr>
                <w:rFonts w:asciiTheme="minorBidi" w:hAnsiTheme="minorBidi"/>
              </w:rPr>
              <w:t xml:space="preserve">rather </w:t>
            </w:r>
            <w:r>
              <w:rPr>
                <w:rFonts w:asciiTheme="minorBidi" w:hAnsiTheme="minorBidi"/>
              </w:rPr>
              <w:t xml:space="preserve">looking </w:t>
            </w:r>
            <w:r w:rsidR="00143656">
              <w:rPr>
                <w:rFonts w:asciiTheme="minorBidi" w:hAnsiTheme="minorBidi"/>
              </w:rPr>
              <w:t xml:space="preserve">more strategically </w:t>
            </w:r>
            <w:r>
              <w:rPr>
                <w:rFonts w:asciiTheme="minorBidi" w:hAnsiTheme="minorBidi"/>
              </w:rPr>
              <w:t xml:space="preserve">at the role of regulators and </w:t>
            </w:r>
            <w:r w:rsidR="00995E41">
              <w:rPr>
                <w:rFonts w:asciiTheme="minorBidi" w:hAnsiTheme="minorBidi"/>
              </w:rPr>
              <w:t>G</w:t>
            </w:r>
            <w:r>
              <w:rPr>
                <w:rFonts w:asciiTheme="minorBidi" w:hAnsiTheme="minorBidi"/>
              </w:rPr>
              <w:t>overnment.</w:t>
            </w:r>
          </w:p>
          <w:p w14:paraId="6103F7C1" w14:textId="77777777" w:rsidR="00017198" w:rsidRDefault="00017198" w:rsidP="006C1D76">
            <w:pPr>
              <w:pStyle w:val="ListParagraph"/>
              <w:numPr>
                <w:ilvl w:val="0"/>
                <w:numId w:val="8"/>
              </w:numPr>
              <w:spacing w:after="160" w:line="259" w:lineRule="auto"/>
              <w:rPr>
                <w:rFonts w:asciiTheme="minorBidi" w:hAnsiTheme="minorBidi"/>
              </w:rPr>
            </w:pPr>
            <w:r>
              <w:rPr>
                <w:rFonts w:asciiTheme="minorBidi" w:hAnsiTheme="minorBidi"/>
              </w:rPr>
              <w:t>Noted the n</w:t>
            </w:r>
            <w:r w:rsidRPr="0078609B">
              <w:rPr>
                <w:rFonts w:asciiTheme="minorBidi" w:hAnsiTheme="minorBidi"/>
              </w:rPr>
              <w:t>umber of ministerial reportable events</w:t>
            </w:r>
            <w:r>
              <w:rPr>
                <w:rFonts w:asciiTheme="minorBidi" w:hAnsiTheme="minorBidi"/>
              </w:rPr>
              <w:t xml:space="preserve"> since 2021-22.</w:t>
            </w:r>
          </w:p>
          <w:p w14:paraId="0A1F40A0" w14:textId="36F218FE" w:rsidR="00980CD9" w:rsidRDefault="007C17B2" w:rsidP="006C1D76">
            <w:pPr>
              <w:pStyle w:val="ListParagraph"/>
              <w:numPr>
                <w:ilvl w:val="0"/>
                <w:numId w:val="8"/>
              </w:numPr>
              <w:spacing w:after="160" w:line="259" w:lineRule="auto"/>
              <w:rPr>
                <w:rFonts w:asciiTheme="minorBidi" w:hAnsiTheme="minorBidi"/>
              </w:rPr>
            </w:pPr>
            <w:r>
              <w:rPr>
                <w:rFonts w:asciiTheme="minorBidi" w:hAnsiTheme="minorBidi"/>
              </w:rPr>
              <w:t xml:space="preserve">Reflected </w:t>
            </w:r>
            <w:r w:rsidR="000E5BD2">
              <w:rPr>
                <w:rFonts w:asciiTheme="minorBidi" w:hAnsiTheme="minorBidi"/>
              </w:rPr>
              <w:t xml:space="preserve">on </w:t>
            </w:r>
            <w:r w:rsidR="00017198">
              <w:rPr>
                <w:rFonts w:asciiTheme="minorBidi" w:hAnsiTheme="minorBidi"/>
              </w:rPr>
              <w:t>the Chair</w:t>
            </w:r>
            <w:r w:rsidR="000E5BD2">
              <w:rPr>
                <w:rFonts w:asciiTheme="minorBidi" w:hAnsiTheme="minorBidi"/>
              </w:rPr>
              <w:t>’s</w:t>
            </w:r>
            <w:r w:rsidR="00017198">
              <w:rPr>
                <w:rFonts w:asciiTheme="minorBidi" w:hAnsiTheme="minorBidi"/>
              </w:rPr>
              <w:t xml:space="preserve"> and CE/CNI</w:t>
            </w:r>
            <w:r w:rsidR="000E5BD2">
              <w:rPr>
                <w:rFonts w:asciiTheme="minorBidi" w:hAnsiTheme="minorBidi"/>
              </w:rPr>
              <w:t>’</w:t>
            </w:r>
            <w:r w:rsidR="00017198">
              <w:rPr>
                <w:rFonts w:asciiTheme="minorBidi" w:hAnsiTheme="minorBidi"/>
              </w:rPr>
              <w:t>s recent visit to Dounr</w:t>
            </w:r>
            <w:r w:rsidR="000E5BD2">
              <w:rPr>
                <w:rFonts w:asciiTheme="minorBidi" w:hAnsiTheme="minorBidi"/>
              </w:rPr>
              <w:t>e</w:t>
            </w:r>
            <w:r w:rsidR="00017198">
              <w:rPr>
                <w:rFonts w:asciiTheme="minorBidi" w:hAnsiTheme="minorBidi"/>
              </w:rPr>
              <w:t>ay and the thinking it had prompted on</w:t>
            </w:r>
            <w:r w:rsidR="00E61FED">
              <w:rPr>
                <w:rFonts w:asciiTheme="minorBidi" w:hAnsiTheme="minorBidi"/>
              </w:rPr>
              <w:t xml:space="preserve"> </w:t>
            </w:r>
            <w:r w:rsidR="00017198">
              <w:rPr>
                <w:rFonts w:asciiTheme="minorBidi" w:hAnsiTheme="minorBidi"/>
              </w:rPr>
              <w:t xml:space="preserve">the </w:t>
            </w:r>
            <w:r w:rsidR="00BB45C6">
              <w:rPr>
                <w:rFonts w:asciiTheme="minorBidi" w:hAnsiTheme="minorBidi"/>
              </w:rPr>
              <w:t xml:space="preserve">importance of </w:t>
            </w:r>
            <w:r w:rsidR="00CC73F0">
              <w:rPr>
                <w:rFonts w:asciiTheme="minorBidi" w:hAnsiTheme="minorBidi"/>
              </w:rPr>
              <w:t xml:space="preserve">a </w:t>
            </w:r>
            <w:r w:rsidR="00017198">
              <w:rPr>
                <w:rFonts w:asciiTheme="minorBidi" w:hAnsiTheme="minorBidi"/>
              </w:rPr>
              <w:t>strategic approach to nuclear regulat</w:t>
            </w:r>
            <w:r w:rsidR="00FE4BDC">
              <w:rPr>
                <w:rFonts w:asciiTheme="minorBidi" w:hAnsiTheme="minorBidi"/>
              </w:rPr>
              <w:t>ion</w:t>
            </w:r>
            <w:r w:rsidR="00017198">
              <w:rPr>
                <w:rFonts w:asciiTheme="minorBidi" w:hAnsiTheme="minorBidi"/>
              </w:rPr>
              <w:t xml:space="preserve"> and </w:t>
            </w:r>
            <w:r w:rsidR="00741B13">
              <w:rPr>
                <w:rFonts w:asciiTheme="minorBidi" w:hAnsiTheme="minorBidi"/>
              </w:rPr>
              <w:t xml:space="preserve">whole </w:t>
            </w:r>
            <w:r w:rsidR="00017198">
              <w:rPr>
                <w:rFonts w:asciiTheme="minorBidi" w:hAnsiTheme="minorBidi"/>
              </w:rPr>
              <w:t xml:space="preserve">lifecycle </w:t>
            </w:r>
            <w:r w:rsidR="00741B13">
              <w:rPr>
                <w:rFonts w:asciiTheme="minorBidi" w:hAnsiTheme="minorBidi"/>
              </w:rPr>
              <w:t>planning from the outset of any nuclear project</w:t>
            </w:r>
            <w:r w:rsidR="00980CD9">
              <w:rPr>
                <w:rFonts w:asciiTheme="minorBidi" w:hAnsiTheme="minorBidi"/>
              </w:rPr>
              <w:t>.</w:t>
            </w:r>
          </w:p>
          <w:p w14:paraId="350354E9" w14:textId="77777777" w:rsidR="00980CD9" w:rsidRDefault="00980CD9" w:rsidP="006C1D76">
            <w:pPr>
              <w:pStyle w:val="ListParagraph"/>
              <w:numPr>
                <w:ilvl w:val="0"/>
                <w:numId w:val="8"/>
              </w:numPr>
              <w:spacing w:after="160" w:line="259" w:lineRule="auto"/>
              <w:rPr>
                <w:rFonts w:asciiTheme="minorBidi" w:hAnsiTheme="minorBidi"/>
              </w:rPr>
            </w:pPr>
            <w:r w:rsidRPr="00980CD9">
              <w:rPr>
                <w:rFonts w:asciiTheme="minorBidi" w:hAnsiTheme="minorBidi"/>
              </w:rPr>
              <w:t>Noted the position from Prospect and PCS trade unions on the 2024 pay offer.</w:t>
            </w:r>
          </w:p>
          <w:p w14:paraId="59CB7D7A" w14:textId="07612746" w:rsidR="00980CD9" w:rsidRPr="00980CD9" w:rsidRDefault="00980CD9" w:rsidP="006C1D76">
            <w:pPr>
              <w:pStyle w:val="ListParagraph"/>
              <w:numPr>
                <w:ilvl w:val="0"/>
                <w:numId w:val="8"/>
              </w:numPr>
              <w:spacing w:after="160" w:line="259" w:lineRule="auto"/>
              <w:rPr>
                <w:rFonts w:asciiTheme="minorBidi" w:hAnsiTheme="minorBidi"/>
              </w:rPr>
            </w:pPr>
            <w:r w:rsidRPr="00980CD9">
              <w:rPr>
                <w:rFonts w:asciiTheme="minorBidi" w:hAnsiTheme="minorBidi"/>
              </w:rPr>
              <w:t>Noted the current turnover position which remained</w:t>
            </w:r>
            <w:r w:rsidR="00BC0D6A">
              <w:rPr>
                <w:rFonts w:asciiTheme="minorBidi" w:hAnsiTheme="minorBidi"/>
              </w:rPr>
              <w:t xml:space="preserve"> </w:t>
            </w:r>
            <w:r w:rsidRPr="00980CD9">
              <w:rPr>
                <w:rFonts w:asciiTheme="minorBidi" w:hAnsiTheme="minorBidi"/>
              </w:rPr>
              <w:t xml:space="preserve">stable </w:t>
            </w:r>
            <w:r w:rsidR="00BC0D6A">
              <w:rPr>
                <w:rFonts w:asciiTheme="minorBidi" w:hAnsiTheme="minorBidi"/>
              </w:rPr>
              <w:t>.</w:t>
            </w:r>
          </w:p>
          <w:p w14:paraId="2B913DF9" w14:textId="77777777" w:rsidR="00017198" w:rsidRPr="00927D32" w:rsidRDefault="00017198" w:rsidP="00980CD9">
            <w:pPr>
              <w:pStyle w:val="ListParagraph"/>
              <w:rPr>
                <w:rFonts w:asciiTheme="minorBidi" w:hAnsiTheme="minorBidi"/>
              </w:rPr>
            </w:pPr>
          </w:p>
          <w:p w14:paraId="019F65BA" w14:textId="77777777" w:rsidR="00320E2D" w:rsidRDefault="00320E2D" w:rsidP="00320E2D">
            <w:pPr>
              <w:jc w:val="right"/>
              <w:rPr>
                <w:rFonts w:asciiTheme="minorBidi" w:hAnsiTheme="minorBidi"/>
                <w:b/>
                <w:bCs/>
              </w:rPr>
            </w:pPr>
            <w:r w:rsidRPr="00396AE1">
              <w:rPr>
                <w:rFonts w:asciiTheme="minorBidi" w:hAnsiTheme="minorBidi" w:cstheme="minorBidi"/>
                <w:b/>
                <w:bCs/>
              </w:rPr>
              <w:t>Action: Mark Foy to consider and report back to Board on ONR’s representation at the Regulato</w:t>
            </w:r>
            <w:r>
              <w:rPr>
                <w:rFonts w:asciiTheme="minorBidi" w:hAnsiTheme="minorBidi"/>
                <w:b/>
                <w:bCs/>
              </w:rPr>
              <w:t>ry</w:t>
            </w:r>
            <w:r w:rsidRPr="00396AE1">
              <w:rPr>
                <w:rFonts w:asciiTheme="minorBidi" w:hAnsiTheme="minorBidi" w:cstheme="minorBidi"/>
                <w:b/>
                <w:bCs/>
              </w:rPr>
              <w:t xml:space="preserve"> Council.</w:t>
            </w:r>
          </w:p>
          <w:p w14:paraId="5B0E4325" w14:textId="58F7C947" w:rsidR="00320E2D" w:rsidRDefault="00320E2D" w:rsidP="00320E2D">
            <w:pPr>
              <w:jc w:val="right"/>
              <w:rPr>
                <w:rFonts w:asciiTheme="minorBidi" w:hAnsiTheme="minorBidi"/>
                <w:b/>
                <w:bCs/>
              </w:rPr>
            </w:pPr>
            <w:r>
              <w:rPr>
                <w:rFonts w:asciiTheme="minorBidi" w:hAnsiTheme="minorBidi"/>
                <w:b/>
                <w:bCs/>
              </w:rPr>
              <w:t xml:space="preserve">Action: Director of Strategy and Corporate Affairs to share with Board the senior level </w:t>
            </w:r>
            <w:r w:rsidR="00B51E56">
              <w:rPr>
                <w:rFonts w:asciiTheme="minorBidi" w:hAnsiTheme="minorBidi"/>
                <w:b/>
                <w:bCs/>
              </w:rPr>
              <w:t>staff</w:t>
            </w:r>
            <w:r>
              <w:rPr>
                <w:rFonts w:asciiTheme="minorBidi" w:hAnsiTheme="minorBidi"/>
                <w:b/>
                <w:bCs/>
              </w:rPr>
              <w:t xml:space="preserve"> structure.</w:t>
            </w:r>
          </w:p>
          <w:p w14:paraId="58889FDF" w14:textId="5999C2D9" w:rsidR="0097193F" w:rsidRPr="00D3688E" w:rsidRDefault="0097193F" w:rsidP="00D3688E">
            <w:pPr>
              <w:rPr>
                <w:rFonts w:ascii="Arial" w:hAnsi="Arial" w:cs="Arial"/>
                <w:bCs/>
              </w:rPr>
            </w:pPr>
          </w:p>
        </w:tc>
      </w:tr>
      <w:tr w:rsidR="004057BA" w:rsidRPr="00D901A4" w14:paraId="6BEBB6AF" w14:textId="77777777" w:rsidTr="006159E8">
        <w:trPr>
          <w:trHeight w:val="399"/>
        </w:trPr>
        <w:tc>
          <w:tcPr>
            <w:tcW w:w="1141" w:type="dxa"/>
          </w:tcPr>
          <w:p w14:paraId="0DBBC9FE" w14:textId="0750E281" w:rsidR="004057BA" w:rsidRDefault="004057BA" w:rsidP="00E2267D">
            <w:pPr>
              <w:tabs>
                <w:tab w:val="left" w:pos="5347"/>
              </w:tabs>
              <w:rPr>
                <w:rFonts w:ascii="Arial" w:hAnsi="Arial" w:cs="Arial"/>
              </w:rPr>
            </w:pPr>
            <w:r w:rsidRPr="006D1A47">
              <w:rPr>
                <w:rFonts w:ascii="Arial" w:hAnsi="Arial" w:cs="Arial"/>
                <w:bCs/>
              </w:rPr>
              <w:lastRenderedPageBreak/>
              <w:t>4.</w:t>
            </w:r>
            <w:r w:rsidR="00D915B8">
              <w:rPr>
                <w:rFonts w:ascii="Arial" w:hAnsi="Arial" w:cs="Arial"/>
                <w:bCs/>
              </w:rPr>
              <w:t>16</w:t>
            </w:r>
          </w:p>
        </w:tc>
        <w:tc>
          <w:tcPr>
            <w:tcW w:w="7875" w:type="dxa"/>
          </w:tcPr>
          <w:p w14:paraId="210B4102" w14:textId="77777777" w:rsidR="004057BA" w:rsidRDefault="004057BA" w:rsidP="00387679">
            <w:pPr>
              <w:tabs>
                <w:tab w:val="left" w:pos="5347"/>
              </w:tabs>
              <w:rPr>
                <w:rFonts w:ascii="Arial" w:hAnsi="Arial" w:cs="Arial"/>
                <w:bCs/>
              </w:rPr>
            </w:pPr>
            <w:r w:rsidRPr="004057BA">
              <w:rPr>
                <w:rFonts w:ascii="Arial" w:hAnsi="Arial" w:cs="Arial"/>
                <w:bCs/>
              </w:rPr>
              <w:t xml:space="preserve">The Board noted the </w:t>
            </w:r>
            <w:r w:rsidR="00387679">
              <w:rPr>
                <w:rFonts w:ascii="Arial" w:hAnsi="Arial" w:cs="Arial"/>
                <w:bCs/>
              </w:rPr>
              <w:t>report.</w:t>
            </w:r>
          </w:p>
          <w:p w14:paraId="7840E059" w14:textId="785D0B6F" w:rsidR="00733156" w:rsidRPr="00D901A4" w:rsidRDefault="00733156" w:rsidP="00387679">
            <w:pPr>
              <w:tabs>
                <w:tab w:val="left" w:pos="5347"/>
              </w:tabs>
              <w:rPr>
                <w:rFonts w:ascii="Arial" w:hAnsi="Arial" w:cs="Arial"/>
                <w:bCs/>
              </w:rPr>
            </w:pPr>
          </w:p>
        </w:tc>
      </w:tr>
      <w:tr w:rsidR="004057BA" w:rsidRPr="00D901A4" w14:paraId="55783B4C" w14:textId="77777777" w:rsidTr="006159E8">
        <w:trPr>
          <w:trHeight w:val="399"/>
        </w:trPr>
        <w:tc>
          <w:tcPr>
            <w:tcW w:w="1141" w:type="dxa"/>
          </w:tcPr>
          <w:p w14:paraId="6C2FBE71" w14:textId="0F22CB40" w:rsidR="004057BA" w:rsidRPr="004057BA" w:rsidRDefault="004057BA" w:rsidP="00E2267D">
            <w:pPr>
              <w:tabs>
                <w:tab w:val="left" w:pos="5347"/>
              </w:tabs>
              <w:rPr>
                <w:rFonts w:ascii="Arial" w:hAnsi="Arial" w:cs="Arial"/>
                <w:b/>
                <w:bCs/>
              </w:rPr>
            </w:pPr>
            <w:r w:rsidRPr="004057BA">
              <w:rPr>
                <w:rFonts w:ascii="Arial" w:hAnsi="Arial" w:cs="Arial"/>
                <w:b/>
                <w:bCs/>
              </w:rPr>
              <w:t>5</w:t>
            </w:r>
          </w:p>
        </w:tc>
        <w:tc>
          <w:tcPr>
            <w:tcW w:w="7875" w:type="dxa"/>
          </w:tcPr>
          <w:p w14:paraId="7EA9DC60" w14:textId="544D01C0" w:rsidR="00797A2D" w:rsidRPr="00D901A4" w:rsidRDefault="00114A61" w:rsidP="00E2267D">
            <w:pPr>
              <w:tabs>
                <w:tab w:val="left" w:pos="5347"/>
              </w:tabs>
              <w:rPr>
                <w:rFonts w:ascii="Arial" w:hAnsi="Arial" w:cs="Arial"/>
                <w:bCs/>
              </w:rPr>
            </w:pPr>
            <w:r w:rsidRPr="00114A61">
              <w:rPr>
                <w:rFonts w:ascii="Arial" w:hAnsi="Arial" w:cs="Arial"/>
                <w:b/>
              </w:rPr>
              <w:t>ONR's International Regulatory Influence</w:t>
            </w:r>
          </w:p>
        </w:tc>
      </w:tr>
      <w:tr w:rsidR="004057BA" w:rsidRPr="00D901A4" w14:paraId="0A513E8C" w14:textId="77777777" w:rsidTr="006159E8">
        <w:trPr>
          <w:trHeight w:val="399"/>
        </w:trPr>
        <w:tc>
          <w:tcPr>
            <w:tcW w:w="1141" w:type="dxa"/>
          </w:tcPr>
          <w:p w14:paraId="245E1B5B" w14:textId="22700142" w:rsidR="004057BA" w:rsidRDefault="004057BA" w:rsidP="00E2267D">
            <w:pPr>
              <w:tabs>
                <w:tab w:val="left" w:pos="5347"/>
              </w:tabs>
              <w:rPr>
                <w:rFonts w:ascii="Arial" w:hAnsi="Arial" w:cs="Arial"/>
              </w:rPr>
            </w:pPr>
            <w:r>
              <w:rPr>
                <w:rFonts w:ascii="Arial" w:hAnsi="Arial" w:cs="Arial"/>
              </w:rPr>
              <w:t>5.1</w:t>
            </w:r>
          </w:p>
        </w:tc>
        <w:tc>
          <w:tcPr>
            <w:tcW w:w="7875" w:type="dxa"/>
          </w:tcPr>
          <w:p w14:paraId="4059EECC" w14:textId="034563AD" w:rsidR="00797A2D" w:rsidRDefault="00025377" w:rsidP="00114A61">
            <w:pPr>
              <w:tabs>
                <w:tab w:val="left" w:pos="5347"/>
              </w:tabs>
              <w:rPr>
                <w:rFonts w:ascii="Arial" w:hAnsi="Arial" w:cs="Arial"/>
                <w:bCs/>
              </w:rPr>
            </w:pPr>
            <w:r w:rsidRPr="00025377">
              <w:rPr>
                <w:rFonts w:ascii="Arial" w:hAnsi="Arial" w:cs="Arial"/>
                <w:bCs/>
              </w:rPr>
              <w:t>Mark Foy introduced the item which sought to update the Board on ONR’s international influence and benefits realisation. He set out the international standards and guidance which outlined the standards</w:t>
            </w:r>
            <w:r w:rsidR="00B759F7">
              <w:rPr>
                <w:rFonts w:ascii="Arial" w:hAnsi="Arial" w:cs="Arial"/>
                <w:bCs/>
              </w:rPr>
              <w:t xml:space="preserve"> </w:t>
            </w:r>
            <w:r w:rsidR="008278BD">
              <w:rPr>
                <w:rFonts w:ascii="Arial" w:hAnsi="Arial" w:cs="Arial"/>
                <w:bCs/>
              </w:rPr>
              <w:t xml:space="preserve">in nuclear safety, security </w:t>
            </w:r>
            <w:r w:rsidR="00D8334F">
              <w:rPr>
                <w:rFonts w:ascii="Arial" w:hAnsi="Arial" w:cs="Arial"/>
                <w:bCs/>
              </w:rPr>
              <w:t xml:space="preserve">and safeguards </w:t>
            </w:r>
            <w:r w:rsidR="00C145C7">
              <w:rPr>
                <w:rFonts w:ascii="Arial" w:hAnsi="Arial" w:cs="Arial"/>
                <w:bCs/>
              </w:rPr>
              <w:t xml:space="preserve">against </w:t>
            </w:r>
            <w:r w:rsidRPr="00025377">
              <w:rPr>
                <w:rFonts w:ascii="Arial" w:hAnsi="Arial" w:cs="Arial"/>
                <w:bCs/>
              </w:rPr>
              <w:t xml:space="preserve">which the whole international regulatory community aligned. </w:t>
            </w:r>
            <w:r w:rsidR="00467FB4">
              <w:rPr>
                <w:rFonts w:ascii="Arial" w:hAnsi="Arial" w:cs="Arial"/>
                <w:bCs/>
              </w:rPr>
              <w:t xml:space="preserve">It </w:t>
            </w:r>
            <w:r w:rsidRPr="00025377">
              <w:rPr>
                <w:rFonts w:ascii="Arial" w:hAnsi="Arial" w:cs="Arial"/>
                <w:bCs/>
              </w:rPr>
              <w:t xml:space="preserve">was important that ONR contributed to these forums, </w:t>
            </w:r>
            <w:r w:rsidR="008B39E9">
              <w:rPr>
                <w:rFonts w:ascii="Arial" w:hAnsi="Arial" w:cs="Arial"/>
                <w:bCs/>
              </w:rPr>
              <w:t>looked after</w:t>
            </w:r>
            <w:r w:rsidRPr="00025377">
              <w:rPr>
                <w:rFonts w:ascii="Arial" w:hAnsi="Arial" w:cs="Arial"/>
                <w:bCs/>
              </w:rPr>
              <w:t xml:space="preserve"> the UK</w:t>
            </w:r>
            <w:r w:rsidR="00701B26">
              <w:rPr>
                <w:rFonts w:ascii="Arial" w:hAnsi="Arial" w:cs="Arial"/>
                <w:bCs/>
              </w:rPr>
              <w:t>’s</w:t>
            </w:r>
            <w:r w:rsidRPr="00025377">
              <w:rPr>
                <w:rFonts w:ascii="Arial" w:hAnsi="Arial" w:cs="Arial"/>
                <w:bCs/>
              </w:rPr>
              <w:t xml:space="preserve"> interests and underst</w:t>
            </w:r>
            <w:r w:rsidR="00B51E56">
              <w:rPr>
                <w:rFonts w:ascii="Arial" w:hAnsi="Arial" w:cs="Arial"/>
                <w:bCs/>
              </w:rPr>
              <w:t>ood</w:t>
            </w:r>
            <w:r w:rsidRPr="00025377">
              <w:rPr>
                <w:rFonts w:ascii="Arial" w:hAnsi="Arial" w:cs="Arial"/>
                <w:bCs/>
              </w:rPr>
              <w:t xml:space="preserve"> international good practice.</w:t>
            </w:r>
          </w:p>
          <w:p w14:paraId="494C2C6D" w14:textId="05485E4E" w:rsidR="0015529A" w:rsidRPr="00D901A4" w:rsidRDefault="0015529A" w:rsidP="00114A61">
            <w:pPr>
              <w:tabs>
                <w:tab w:val="left" w:pos="5347"/>
              </w:tabs>
              <w:rPr>
                <w:rFonts w:ascii="Arial" w:hAnsi="Arial" w:cs="Arial"/>
                <w:bCs/>
              </w:rPr>
            </w:pPr>
          </w:p>
        </w:tc>
      </w:tr>
      <w:tr w:rsidR="00E95493" w:rsidRPr="00D901A4" w14:paraId="1D4CB1FE" w14:textId="77777777" w:rsidTr="006159E8">
        <w:trPr>
          <w:trHeight w:val="399"/>
        </w:trPr>
        <w:tc>
          <w:tcPr>
            <w:tcW w:w="1141" w:type="dxa"/>
          </w:tcPr>
          <w:p w14:paraId="64299EDF" w14:textId="314CC2DD" w:rsidR="00E95493" w:rsidRDefault="00AC6BB9" w:rsidP="00E2267D">
            <w:pPr>
              <w:tabs>
                <w:tab w:val="left" w:pos="5347"/>
              </w:tabs>
              <w:rPr>
                <w:rFonts w:ascii="Arial" w:hAnsi="Arial" w:cs="Arial"/>
              </w:rPr>
            </w:pPr>
            <w:r>
              <w:rPr>
                <w:rFonts w:ascii="Arial" w:hAnsi="Arial" w:cs="Arial"/>
              </w:rPr>
              <w:t>5.2</w:t>
            </w:r>
          </w:p>
        </w:tc>
        <w:tc>
          <w:tcPr>
            <w:tcW w:w="7875" w:type="dxa"/>
          </w:tcPr>
          <w:p w14:paraId="1A2187D2" w14:textId="066C549E" w:rsidR="00E95493" w:rsidRDefault="00AC6BB9" w:rsidP="009C3F95">
            <w:pPr>
              <w:rPr>
                <w:rFonts w:asciiTheme="minorBidi" w:hAnsiTheme="minorBidi"/>
              </w:rPr>
            </w:pPr>
            <w:r w:rsidRPr="00E04550">
              <w:rPr>
                <w:rFonts w:asciiTheme="minorBidi" w:hAnsiTheme="minorBidi" w:cstheme="minorBidi"/>
              </w:rPr>
              <w:t xml:space="preserve">He reported that the UK </w:t>
            </w:r>
            <w:r w:rsidR="00B51E56" w:rsidRPr="00E04550">
              <w:rPr>
                <w:rFonts w:asciiTheme="minorBidi" w:hAnsiTheme="minorBidi" w:cstheme="minorBidi"/>
              </w:rPr>
              <w:t>was</w:t>
            </w:r>
            <w:r w:rsidRPr="00E04550">
              <w:rPr>
                <w:rFonts w:asciiTheme="minorBidi" w:hAnsiTheme="minorBidi" w:cstheme="minorBidi"/>
              </w:rPr>
              <w:t xml:space="preserve"> a signator</w:t>
            </w:r>
            <w:r w:rsidR="00701B26" w:rsidRPr="00E04550">
              <w:rPr>
                <w:rFonts w:asciiTheme="minorBidi" w:hAnsiTheme="minorBidi" w:cstheme="minorBidi"/>
              </w:rPr>
              <w:t>y</w:t>
            </w:r>
            <w:r w:rsidRPr="00E04550">
              <w:rPr>
                <w:rFonts w:asciiTheme="minorBidi" w:hAnsiTheme="minorBidi" w:cstheme="minorBidi"/>
              </w:rPr>
              <w:t xml:space="preserve"> to </w:t>
            </w:r>
            <w:r w:rsidR="00E8772D" w:rsidRPr="00E04550">
              <w:rPr>
                <w:rFonts w:asciiTheme="minorBidi" w:hAnsiTheme="minorBidi" w:cstheme="minorBidi"/>
              </w:rPr>
              <w:t xml:space="preserve">international treaties and </w:t>
            </w:r>
            <w:r w:rsidRPr="00E04550">
              <w:rPr>
                <w:rFonts w:asciiTheme="minorBidi" w:hAnsiTheme="minorBidi" w:cstheme="minorBidi"/>
              </w:rPr>
              <w:t>conventions</w:t>
            </w:r>
            <w:r w:rsidR="000D3F37" w:rsidRPr="00E04550">
              <w:rPr>
                <w:rFonts w:asciiTheme="minorBidi" w:hAnsiTheme="minorBidi" w:cstheme="minorBidi"/>
              </w:rPr>
              <w:t xml:space="preserve"> which place legally binding obligations on the UK, as a Contracting Party</w:t>
            </w:r>
            <w:r w:rsidR="001A1D6F" w:rsidRPr="00DB39DE">
              <w:rPr>
                <w:rFonts w:asciiTheme="minorBidi" w:hAnsiTheme="minorBidi" w:cstheme="minorBidi"/>
              </w:rPr>
              <w:t xml:space="preserve">. </w:t>
            </w:r>
            <w:r w:rsidR="00243EB5">
              <w:rPr>
                <w:rFonts w:asciiTheme="minorBidi" w:hAnsiTheme="minorBidi" w:cstheme="minorBidi"/>
              </w:rPr>
              <w:t>On behalf of the UK Government</w:t>
            </w:r>
            <w:r w:rsidR="001B69FC">
              <w:rPr>
                <w:rFonts w:asciiTheme="minorBidi" w:hAnsiTheme="minorBidi" w:cstheme="minorBidi"/>
              </w:rPr>
              <w:t xml:space="preserve">, </w:t>
            </w:r>
            <w:r w:rsidR="00553A83">
              <w:rPr>
                <w:rFonts w:asciiTheme="minorBidi" w:hAnsiTheme="minorBidi" w:cstheme="minorBidi"/>
              </w:rPr>
              <w:t xml:space="preserve">in relation to </w:t>
            </w:r>
            <w:r w:rsidR="00817560">
              <w:rPr>
                <w:rFonts w:asciiTheme="minorBidi" w:hAnsiTheme="minorBidi" w:cstheme="minorBidi"/>
              </w:rPr>
              <w:t xml:space="preserve">Conventions, </w:t>
            </w:r>
            <w:r w:rsidR="00A41A09">
              <w:rPr>
                <w:rFonts w:asciiTheme="minorBidi" w:hAnsiTheme="minorBidi" w:cstheme="minorBidi"/>
              </w:rPr>
              <w:t>ONR de</w:t>
            </w:r>
            <w:r w:rsidR="00143AD6" w:rsidRPr="00E04550">
              <w:rPr>
                <w:rFonts w:asciiTheme="minorBidi" w:hAnsiTheme="minorBidi" w:cstheme="minorBidi"/>
              </w:rPr>
              <w:t>monstrate</w:t>
            </w:r>
            <w:r w:rsidR="00A41A09">
              <w:rPr>
                <w:rFonts w:asciiTheme="minorBidi" w:hAnsiTheme="minorBidi" w:cstheme="minorBidi"/>
              </w:rPr>
              <w:t>s</w:t>
            </w:r>
            <w:r w:rsidR="00143AD6" w:rsidRPr="00E04550">
              <w:rPr>
                <w:rFonts w:asciiTheme="minorBidi" w:hAnsiTheme="minorBidi" w:cstheme="minorBidi"/>
              </w:rPr>
              <w:t xml:space="preserve"> compliance with the Articles of each</w:t>
            </w:r>
            <w:r w:rsidR="009770DD">
              <w:rPr>
                <w:rFonts w:asciiTheme="minorBidi" w:hAnsiTheme="minorBidi" w:cstheme="minorBidi"/>
              </w:rPr>
              <w:t xml:space="preserve">, </w:t>
            </w:r>
            <w:r w:rsidR="00212FB5" w:rsidRPr="00F04200">
              <w:rPr>
                <w:rFonts w:asciiTheme="minorBidi" w:hAnsiTheme="minorBidi" w:cstheme="minorBidi"/>
              </w:rPr>
              <w:t>c</w:t>
            </w:r>
            <w:r w:rsidR="00143AD6" w:rsidRPr="00F04200">
              <w:rPr>
                <w:rFonts w:asciiTheme="minorBidi" w:hAnsiTheme="minorBidi" w:cstheme="minorBidi"/>
              </w:rPr>
              <w:t>oordinat</w:t>
            </w:r>
            <w:r w:rsidR="009770DD">
              <w:rPr>
                <w:rFonts w:asciiTheme="minorBidi" w:hAnsiTheme="minorBidi" w:cstheme="minorBidi"/>
              </w:rPr>
              <w:t xml:space="preserve">ing </w:t>
            </w:r>
            <w:r w:rsidR="00143AD6" w:rsidRPr="00F04200">
              <w:rPr>
                <w:rFonts w:asciiTheme="minorBidi" w:hAnsiTheme="minorBidi" w:cstheme="minorBidi"/>
              </w:rPr>
              <w:t>the production and act</w:t>
            </w:r>
            <w:r w:rsidR="009770DD">
              <w:rPr>
                <w:rFonts w:asciiTheme="minorBidi" w:hAnsiTheme="minorBidi" w:cstheme="minorBidi"/>
              </w:rPr>
              <w:t>ing</w:t>
            </w:r>
            <w:r w:rsidR="00143AD6" w:rsidRPr="00F04200">
              <w:rPr>
                <w:rFonts w:asciiTheme="minorBidi" w:hAnsiTheme="minorBidi" w:cstheme="minorBidi"/>
              </w:rPr>
              <w:t xml:space="preserve"> as lead author for the UK National Report</w:t>
            </w:r>
            <w:r w:rsidR="003E79B4">
              <w:rPr>
                <w:rFonts w:asciiTheme="minorBidi" w:hAnsiTheme="minorBidi" w:cstheme="minorBidi"/>
              </w:rPr>
              <w:t>s</w:t>
            </w:r>
            <w:r w:rsidR="00EC5662" w:rsidRPr="00F04200">
              <w:rPr>
                <w:rFonts w:asciiTheme="minorBidi" w:hAnsiTheme="minorBidi" w:cstheme="minorBidi"/>
              </w:rPr>
              <w:t>; a</w:t>
            </w:r>
            <w:r w:rsidR="00143AD6" w:rsidRPr="00F04200">
              <w:rPr>
                <w:rFonts w:asciiTheme="minorBidi" w:hAnsiTheme="minorBidi" w:cstheme="minorBidi"/>
              </w:rPr>
              <w:t>ctively support</w:t>
            </w:r>
            <w:r w:rsidR="00CB069F">
              <w:rPr>
                <w:rFonts w:asciiTheme="minorBidi" w:hAnsiTheme="minorBidi" w:cstheme="minorBidi"/>
              </w:rPr>
              <w:t>ing</w:t>
            </w:r>
            <w:r w:rsidR="00143AD6" w:rsidRPr="00F04200">
              <w:rPr>
                <w:rFonts w:asciiTheme="minorBidi" w:hAnsiTheme="minorBidi" w:cstheme="minorBidi"/>
              </w:rPr>
              <w:t xml:space="preserve"> and participat</w:t>
            </w:r>
            <w:r w:rsidR="00CB069F">
              <w:rPr>
                <w:rFonts w:asciiTheme="minorBidi" w:hAnsiTheme="minorBidi" w:cstheme="minorBidi"/>
              </w:rPr>
              <w:t>ing</w:t>
            </w:r>
            <w:r w:rsidR="00143AD6" w:rsidRPr="00F04200">
              <w:rPr>
                <w:rFonts w:asciiTheme="minorBidi" w:hAnsiTheme="minorBidi" w:cstheme="minorBidi"/>
              </w:rPr>
              <w:t xml:space="preserve"> in the peer review process for National Reports</w:t>
            </w:r>
            <w:r w:rsidR="00EC5662" w:rsidRPr="00F04200">
              <w:rPr>
                <w:rFonts w:asciiTheme="minorBidi" w:hAnsiTheme="minorBidi" w:cstheme="minorBidi"/>
              </w:rPr>
              <w:t>; and l</w:t>
            </w:r>
            <w:r w:rsidR="00143AD6" w:rsidRPr="00F04200">
              <w:rPr>
                <w:rFonts w:asciiTheme="minorBidi" w:hAnsiTheme="minorBidi" w:cstheme="minorBidi"/>
              </w:rPr>
              <w:t>ead</w:t>
            </w:r>
            <w:r w:rsidR="00CB069F">
              <w:rPr>
                <w:rFonts w:asciiTheme="minorBidi" w:hAnsiTheme="minorBidi" w:cstheme="minorBidi"/>
              </w:rPr>
              <w:t>ing</w:t>
            </w:r>
            <w:r w:rsidR="00143AD6" w:rsidRPr="00F04200">
              <w:rPr>
                <w:rFonts w:asciiTheme="minorBidi" w:hAnsiTheme="minorBidi" w:cstheme="minorBidi"/>
              </w:rPr>
              <w:t xml:space="preserve"> the UK delegation and present</w:t>
            </w:r>
            <w:r w:rsidR="00D00BBA">
              <w:rPr>
                <w:rFonts w:asciiTheme="minorBidi" w:hAnsiTheme="minorBidi" w:cstheme="minorBidi"/>
              </w:rPr>
              <w:t>ing</w:t>
            </w:r>
            <w:r w:rsidR="00143AD6" w:rsidRPr="00F04200">
              <w:rPr>
                <w:rFonts w:asciiTheme="minorBidi" w:hAnsiTheme="minorBidi" w:cstheme="minorBidi"/>
              </w:rPr>
              <w:t xml:space="preserve"> the UK National Report</w:t>
            </w:r>
            <w:r w:rsidR="003E79B4">
              <w:rPr>
                <w:rFonts w:asciiTheme="minorBidi" w:hAnsiTheme="minorBidi" w:cstheme="minorBidi"/>
              </w:rPr>
              <w:t>s</w:t>
            </w:r>
            <w:r w:rsidR="00EC5662" w:rsidRPr="00F04200">
              <w:rPr>
                <w:rFonts w:asciiTheme="minorBidi" w:hAnsiTheme="minorBidi" w:cstheme="minorBidi"/>
              </w:rPr>
              <w:t xml:space="preserve"> at the</w:t>
            </w:r>
            <w:r w:rsidR="00D00BBA">
              <w:rPr>
                <w:rFonts w:asciiTheme="minorBidi" w:hAnsiTheme="minorBidi" w:cstheme="minorBidi"/>
              </w:rPr>
              <w:t xml:space="preserve"> review meetings in Vienna</w:t>
            </w:r>
            <w:r w:rsidR="008F506E">
              <w:rPr>
                <w:rFonts w:asciiTheme="minorBidi" w:hAnsiTheme="minorBidi" w:cstheme="minorBidi"/>
              </w:rPr>
              <w:t>.</w:t>
            </w:r>
            <w:r>
              <w:rPr>
                <w:rFonts w:asciiTheme="minorBidi" w:hAnsiTheme="minorBidi"/>
              </w:rPr>
              <w:t xml:space="preserve"> </w:t>
            </w:r>
            <w:r w:rsidR="00305120">
              <w:rPr>
                <w:rFonts w:asciiTheme="minorBidi" w:hAnsiTheme="minorBidi"/>
              </w:rPr>
              <w:t xml:space="preserve">Producing the UK Reports, on a three-year cycle </w:t>
            </w:r>
            <w:r w:rsidR="00B83BC6">
              <w:rPr>
                <w:rFonts w:asciiTheme="minorBidi" w:hAnsiTheme="minorBidi"/>
              </w:rPr>
              <w:t xml:space="preserve">funded by DESNZ, </w:t>
            </w:r>
            <w:r w:rsidR="00CE6E42">
              <w:rPr>
                <w:rFonts w:asciiTheme="minorBidi" w:hAnsiTheme="minorBidi"/>
              </w:rPr>
              <w:t xml:space="preserve">is a </w:t>
            </w:r>
            <w:r w:rsidR="00CE0275">
              <w:rPr>
                <w:rFonts w:asciiTheme="minorBidi" w:hAnsiTheme="minorBidi"/>
              </w:rPr>
              <w:t xml:space="preserve">significant piece of work </w:t>
            </w:r>
            <w:r w:rsidR="003A7D2E">
              <w:rPr>
                <w:rFonts w:asciiTheme="minorBidi" w:hAnsiTheme="minorBidi"/>
              </w:rPr>
              <w:t xml:space="preserve">for ONR </w:t>
            </w:r>
            <w:r w:rsidR="00CE0275">
              <w:rPr>
                <w:rFonts w:asciiTheme="minorBidi" w:hAnsiTheme="minorBidi"/>
              </w:rPr>
              <w:t xml:space="preserve">involving a wide range of </w:t>
            </w:r>
            <w:r w:rsidR="00471819">
              <w:rPr>
                <w:rFonts w:asciiTheme="minorBidi" w:hAnsiTheme="minorBidi"/>
              </w:rPr>
              <w:t>organisations</w:t>
            </w:r>
            <w:r w:rsidR="001C5490">
              <w:rPr>
                <w:rFonts w:asciiTheme="minorBidi" w:hAnsiTheme="minorBidi"/>
              </w:rPr>
              <w:t xml:space="preserve">, </w:t>
            </w:r>
            <w:r w:rsidR="00723CE0">
              <w:rPr>
                <w:rFonts w:asciiTheme="minorBidi" w:hAnsiTheme="minorBidi"/>
              </w:rPr>
              <w:t xml:space="preserve">other </w:t>
            </w:r>
            <w:r w:rsidR="001C5490">
              <w:rPr>
                <w:rFonts w:asciiTheme="minorBidi" w:hAnsiTheme="minorBidi"/>
              </w:rPr>
              <w:t xml:space="preserve">regulators and </w:t>
            </w:r>
            <w:r w:rsidR="00723CE0">
              <w:rPr>
                <w:rFonts w:asciiTheme="minorBidi" w:hAnsiTheme="minorBidi"/>
              </w:rPr>
              <w:t>s</w:t>
            </w:r>
            <w:r w:rsidR="00CE0275">
              <w:rPr>
                <w:rFonts w:asciiTheme="minorBidi" w:hAnsiTheme="minorBidi"/>
              </w:rPr>
              <w:t>takeholders</w:t>
            </w:r>
            <w:r w:rsidR="006E0670">
              <w:rPr>
                <w:rFonts w:asciiTheme="minorBidi" w:hAnsiTheme="minorBidi"/>
              </w:rPr>
              <w:t xml:space="preserve">. </w:t>
            </w:r>
            <w:r w:rsidR="00723CE0">
              <w:rPr>
                <w:rFonts w:asciiTheme="minorBidi" w:hAnsiTheme="minorBidi"/>
              </w:rPr>
              <w:t xml:space="preserve"> </w:t>
            </w:r>
            <w:r w:rsidR="00392744">
              <w:rPr>
                <w:rFonts w:asciiTheme="minorBidi" w:hAnsiTheme="minorBidi"/>
              </w:rPr>
              <w:t xml:space="preserve">He highlighted that the draft UK Report for the Joint Convention on Spent Fuel and Radioactive Waste Management was currently under review by  DESNZ. It would subsequently be reviewed by the other Contracting </w:t>
            </w:r>
            <w:r w:rsidR="00392744">
              <w:rPr>
                <w:rFonts w:asciiTheme="minorBidi" w:hAnsiTheme="minorBidi"/>
              </w:rPr>
              <w:lastRenderedPageBreak/>
              <w:t>Parties with the opportunity to raise questions with the UK. ONR would coordinate responses, consulting as necessary with the UK Report contributors.</w:t>
            </w:r>
          </w:p>
          <w:p w14:paraId="2BC0C4DA" w14:textId="3B8FA508" w:rsidR="009C3F95" w:rsidRPr="00025377" w:rsidRDefault="009C3F95" w:rsidP="009C3F95">
            <w:pPr>
              <w:rPr>
                <w:rFonts w:ascii="Arial" w:hAnsi="Arial" w:cs="Arial"/>
                <w:bCs/>
              </w:rPr>
            </w:pPr>
          </w:p>
        </w:tc>
      </w:tr>
      <w:tr w:rsidR="00652170" w:rsidRPr="00D901A4" w14:paraId="71B1CC51" w14:textId="77777777" w:rsidTr="006159E8">
        <w:trPr>
          <w:trHeight w:val="399"/>
        </w:trPr>
        <w:tc>
          <w:tcPr>
            <w:tcW w:w="1141" w:type="dxa"/>
          </w:tcPr>
          <w:p w14:paraId="3223E4FB" w14:textId="11629BD1" w:rsidR="00652170" w:rsidRDefault="00E4271E" w:rsidP="00E2267D">
            <w:pPr>
              <w:tabs>
                <w:tab w:val="left" w:pos="5347"/>
              </w:tabs>
              <w:rPr>
                <w:rFonts w:ascii="Arial" w:hAnsi="Arial" w:cs="Arial"/>
              </w:rPr>
            </w:pPr>
            <w:r>
              <w:rPr>
                <w:rFonts w:ascii="Arial" w:hAnsi="Arial" w:cs="Arial"/>
              </w:rPr>
              <w:lastRenderedPageBreak/>
              <w:t>5.3</w:t>
            </w:r>
          </w:p>
        </w:tc>
        <w:tc>
          <w:tcPr>
            <w:tcW w:w="7875" w:type="dxa"/>
          </w:tcPr>
          <w:p w14:paraId="0548D8FC" w14:textId="284B9512" w:rsidR="00652170" w:rsidRDefault="00652170" w:rsidP="00D07DE5">
            <w:pPr>
              <w:rPr>
                <w:rFonts w:asciiTheme="minorBidi" w:hAnsiTheme="minorBidi"/>
              </w:rPr>
            </w:pPr>
            <w:r>
              <w:rPr>
                <w:rFonts w:asciiTheme="minorBidi" w:hAnsiTheme="minorBidi"/>
              </w:rPr>
              <w:t>He noted that there had been significantly improve</w:t>
            </w:r>
            <w:r w:rsidR="007C1497">
              <w:rPr>
                <w:rFonts w:asciiTheme="minorBidi" w:hAnsiTheme="minorBidi"/>
              </w:rPr>
              <w:t>d</w:t>
            </w:r>
            <w:r>
              <w:rPr>
                <w:rFonts w:asciiTheme="minorBidi" w:hAnsiTheme="minorBidi"/>
              </w:rPr>
              <w:t xml:space="preserve"> governance on international engagement with more challenge by the Strategy and Corporate Affairs Directorate on any requests for international engagements, in particular for those </w:t>
            </w:r>
            <w:r w:rsidR="007C1497">
              <w:rPr>
                <w:rFonts w:asciiTheme="minorBidi" w:hAnsiTheme="minorBidi"/>
              </w:rPr>
              <w:t xml:space="preserve">falling </w:t>
            </w:r>
            <w:r>
              <w:rPr>
                <w:rFonts w:asciiTheme="minorBidi" w:hAnsiTheme="minorBidi"/>
              </w:rPr>
              <w:t>with</w:t>
            </w:r>
            <w:r w:rsidR="007C1497">
              <w:rPr>
                <w:rFonts w:asciiTheme="minorBidi" w:hAnsiTheme="minorBidi"/>
              </w:rPr>
              <w:t>in</w:t>
            </w:r>
            <w:r>
              <w:rPr>
                <w:rFonts w:asciiTheme="minorBidi" w:hAnsiTheme="minorBidi"/>
              </w:rPr>
              <w:t xml:space="preserve"> Category C</w:t>
            </w:r>
            <w:r w:rsidR="00B32DC5">
              <w:rPr>
                <w:rFonts w:asciiTheme="minorBidi" w:hAnsiTheme="minorBidi"/>
              </w:rPr>
              <w:t xml:space="preserve"> (</w:t>
            </w:r>
            <w:r w:rsidR="00B32DC5" w:rsidRPr="00B32DC5">
              <w:rPr>
                <w:rFonts w:asciiTheme="minorBidi" w:hAnsiTheme="minorBidi"/>
              </w:rPr>
              <w:t>Other elective engagements that ONR could undertake to support technical and L&amp;D drivers</w:t>
            </w:r>
            <w:r w:rsidR="00B32DC5">
              <w:rPr>
                <w:rFonts w:asciiTheme="minorBidi" w:hAnsiTheme="minorBidi"/>
              </w:rPr>
              <w:t>)</w:t>
            </w:r>
            <w:r w:rsidR="00F369DE">
              <w:rPr>
                <w:rFonts w:asciiTheme="minorBidi" w:hAnsiTheme="minorBidi"/>
              </w:rPr>
              <w:t xml:space="preserve">. </w:t>
            </w:r>
          </w:p>
          <w:p w14:paraId="26143E96" w14:textId="77777777" w:rsidR="00652170" w:rsidRDefault="00652170" w:rsidP="00626635">
            <w:pPr>
              <w:rPr>
                <w:rFonts w:asciiTheme="minorBidi" w:hAnsiTheme="minorBidi"/>
              </w:rPr>
            </w:pPr>
          </w:p>
        </w:tc>
      </w:tr>
      <w:tr w:rsidR="00AC6BB9" w:rsidRPr="00D901A4" w14:paraId="444E1E8E" w14:textId="77777777" w:rsidTr="006159E8">
        <w:trPr>
          <w:trHeight w:val="399"/>
        </w:trPr>
        <w:tc>
          <w:tcPr>
            <w:tcW w:w="1141" w:type="dxa"/>
          </w:tcPr>
          <w:p w14:paraId="01D1EC15" w14:textId="67DDB4EE" w:rsidR="00AC6BB9" w:rsidRDefault="0015529A" w:rsidP="00E2267D">
            <w:pPr>
              <w:tabs>
                <w:tab w:val="left" w:pos="5347"/>
              </w:tabs>
              <w:rPr>
                <w:rFonts w:ascii="Arial" w:hAnsi="Arial" w:cs="Arial"/>
              </w:rPr>
            </w:pPr>
            <w:r>
              <w:rPr>
                <w:rFonts w:ascii="Arial" w:hAnsi="Arial" w:cs="Arial"/>
              </w:rPr>
              <w:t>5.</w:t>
            </w:r>
            <w:r w:rsidR="00D07DE5">
              <w:rPr>
                <w:rFonts w:ascii="Arial" w:hAnsi="Arial" w:cs="Arial"/>
              </w:rPr>
              <w:t>4</w:t>
            </w:r>
          </w:p>
        </w:tc>
        <w:tc>
          <w:tcPr>
            <w:tcW w:w="7875" w:type="dxa"/>
          </w:tcPr>
          <w:p w14:paraId="31CE96CE" w14:textId="3DB9B5D2" w:rsidR="00AC6BB9" w:rsidRDefault="0015529A" w:rsidP="00AE3982">
            <w:pPr>
              <w:rPr>
                <w:rFonts w:asciiTheme="minorBidi" w:hAnsiTheme="minorBidi"/>
              </w:rPr>
            </w:pPr>
            <w:r w:rsidRPr="00AE3982">
              <w:rPr>
                <w:rFonts w:asciiTheme="minorBidi" w:hAnsiTheme="minorBidi"/>
              </w:rPr>
              <w:t xml:space="preserve">There were a number of bi-lateral relations, some of which gave value to emerging or embarking nations. ONR also benefited from peer reviews. </w:t>
            </w:r>
            <w:r w:rsidR="00C85E30" w:rsidRPr="00AE3982">
              <w:rPr>
                <w:rFonts w:asciiTheme="minorBidi" w:hAnsiTheme="minorBidi"/>
              </w:rPr>
              <w:t>There were a number of international collaborations ongoing, led by different bodies</w:t>
            </w:r>
            <w:r w:rsidR="001D5A77" w:rsidRPr="00AE3982">
              <w:rPr>
                <w:rFonts w:asciiTheme="minorBidi" w:hAnsiTheme="minorBidi"/>
              </w:rPr>
              <w:t xml:space="preserve"> that</w:t>
            </w:r>
            <w:r w:rsidR="00AE3982" w:rsidRPr="00AE3982">
              <w:rPr>
                <w:rFonts w:asciiTheme="minorBidi" w:hAnsiTheme="minorBidi"/>
              </w:rPr>
              <w:t xml:space="preserve"> provided opportunities for learning</w:t>
            </w:r>
            <w:r w:rsidR="006703BC">
              <w:rPr>
                <w:rFonts w:asciiTheme="minorBidi" w:hAnsiTheme="minorBidi"/>
              </w:rPr>
              <w:t>,</w:t>
            </w:r>
            <w:r w:rsidR="001D5A77" w:rsidRPr="00AE3982">
              <w:rPr>
                <w:rFonts w:asciiTheme="minorBidi" w:hAnsiTheme="minorBidi"/>
              </w:rPr>
              <w:t xml:space="preserve"> to be efficient and effective,</w:t>
            </w:r>
            <w:r w:rsidR="00AE3982">
              <w:rPr>
                <w:rFonts w:asciiTheme="minorBidi" w:hAnsiTheme="minorBidi"/>
              </w:rPr>
              <w:t xml:space="preserve"> </w:t>
            </w:r>
            <w:r w:rsidR="001D5A77" w:rsidRPr="00AE3982">
              <w:rPr>
                <w:rFonts w:asciiTheme="minorBidi" w:hAnsiTheme="minorBidi"/>
              </w:rPr>
              <w:t>and current - assessment of new reactors</w:t>
            </w:r>
            <w:r w:rsidR="006703BC">
              <w:rPr>
                <w:rFonts w:asciiTheme="minorBidi" w:hAnsiTheme="minorBidi"/>
              </w:rPr>
              <w:t xml:space="preserve"> and </w:t>
            </w:r>
            <w:r w:rsidR="001D5A77" w:rsidRPr="00AE3982">
              <w:rPr>
                <w:rFonts w:asciiTheme="minorBidi" w:hAnsiTheme="minorBidi"/>
              </w:rPr>
              <w:t>other areas innovation</w:t>
            </w:r>
            <w:r w:rsidR="006703BC">
              <w:rPr>
                <w:rFonts w:asciiTheme="minorBidi" w:hAnsiTheme="minorBidi"/>
              </w:rPr>
              <w:t>.</w:t>
            </w:r>
            <w:r w:rsidR="006144BD">
              <w:rPr>
                <w:rFonts w:asciiTheme="minorBidi" w:hAnsiTheme="minorBidi"/>
              </w:rPr>
              <w:t xml:space="preserve"> </w:t>
            </w:r>
          </w:p>
          <w:p w14:paraId="6D5A8285" w14:textId="521F3044" w:rsidR="00471C1A" w:rsidRDefault="00471C1A" w:rsidP="006F09B5">
            <w:pPr>
              <w:rPr>
                <w:rFonts w:asciiTheme="minorBidi" w:hAnsiTheme="minorBidi"/>
              </w:rPr>
            </w:pPr>
          </w:p>
        </w:tc>
      </w:tr>
      <w:tr w:rsidR="006975E6" w:rsidRPr="00D901A4" w14:paraId="6AB714DB" w14:textId="77777777" w:rsidTr="006159E8">
        <w:trPr>
          <w:trHeight w:val="399"/>
        </w:trPr>
        <w:tc>
          <w:tcPr>
            <w:tcW w:w="1141" w:type="dxa"/>
          </w:tcPr>
          <w:p w14:paraId="61F8596B" w14:textId="3BF24256" w:rsidR="006975E6" w:rsidRDefault="006975E6" w:rsidP="00E2267D">
            <w:pPr>
              <w:tabs>
                <w:tab w:val="left" w:pos="5347"/>
              </w:tabs>
              <w:rPr>
                <w:rFonts w:ascii="Arial" w:hAnsi="Arial" w:cs="Arial"/>
              </w:rPr>
            </w:pPr>
            <w:r>
              <w:rPr>
                <w:rFonts w:ascii="Arial" w:hAnsi="Arial" w:cs="Arial"/>
              </w:rPr>
              <w:t>5.</w:t>
            </w:r>
            <w:r w:rsidR="00D07DE5">
              <w:rPr>
                <w:rFonts w:ascii="Arial" w:hAnsi="Arial" w:cs="Arial"/>
              </w:rPr>
              <w:t>5</w:t>
            </w:r>
          </w:p>
        </w:tc>
        <w:tc>
          <w:tcPr>
            <w:tcW w:w="7875" w:type="dxa"/>
          </w:tcPr>
          <w:p w14:paraId="3913AD85" w14:textId="77777777" w:rsidR="009430D0" w:rsidRDefault="001823AB" w:rsidP="00F369DE">
            <w:pPr>
              <w:rPr>
                <w:rFonts w:asciiTheme="minorBidi" w:hAnsiTheme="minorBidi"/>
              </w:rPr>
            </w:pPr>
            <w:r>
              <w:rPr>
                <w:rFonts w:asciiTheme="minorBidi" w:hAnsiTheme="minorBidi"/>
              </w:rPr>
              <w:t xml:space="preserve">He outlined the strengths of </w:t>
            </w:r>
            <w:r w:rsidR="00694A17">
              <w:rPr>
                <w:rFonts w:asciiTheme="minorBidi" w:hAnsiTheme="minorBidi"/>
              </w:rPr>
              <w:t xml:space="preserve">international bodies, including </w:t>
            </w:r>
            <w:r w:rsidR="00694F76" w:rsidRPr="00694F76">
              <w:rPr>
                <w:rFonts w:asciiTheme="minorBidi" w:hAnsiTheme="minorBidi"/>
              </w:rPr>
              <w:t>Western European Nuclear Regulators’ Association</w:t>
            </w:r>
            <w:r w:rsidR="00694F76">
              <w:rPr>
                <w:rFonts w:asciiTheme="minorBidi" w:hAnsiTheme="minorBidi"/>
              </w:rPr>
              <w:t xml:space="preserve"> (</w:t>
            </w:r>
            <w:r w:rsidR="006975E6">
              <w:rPr>
                <w:rFonts w:asciiTheme="minorBidi" w:hAnsiTheme="minorBidi"/>
              </w:rPr>
              <w:t>WENRA</w:t>
            </w:r>
            <w:r w:rsidR="00694F76">
              <w:rPr>
                <w:rFonts w:asciiTheme="minorBidi" w:hAnsiTheme="minorBidi"/>
              </w:rPr>
              <w:t>)</w:t>
            </w:r>
            <w:r w:rsidR="00694A17">
              <w:rPr>
                <w:rFonts w:asciiTheme="minorBidi" w:hAnsiTheme="minorBidi"/>
              </w:rPr>
              <w:t xml:space="preserve">, </w:t>
            </w:r>
            <w:r w:rsidR="00694A17" w:rsidRPr="00694A17">
              <w:rPr>
                <w:rFonts w:asciiTheme="minorBidi" w:hAnsiTheme="minorBidi"/>
              </w:rPr>
              <w:t>Committee on Nuclear Regulatory Activities (CNRA)</w:t>
            </w:r>
            <w:r w:rsidR="009430D0">
              <w:rPr>
                <w:rFonts w:asciiTheme="minorBidi" w:hAnsiTheme="minorBidi"/>
              </w:rPr>
              <w:t xml:space="preserve"> and the </w:t>
            </w:r>
            <w:r w:rsidR="009430D0" w:rsidRPr="009430D0">
              <w:rPr>
                <w:rFonts w:asciiTheme="minorBidi" w:hAnsiTheme="minorBidi"/>
              </w:rPr>
              <w:t>European Nuclear Safety Regulators’ Group</w:t>
            </w:r>
            <w:r w:rsidR="009430D0">
              <w:rPr>
                <w:rFonts w:asciiTheme="minorBidi" w:hAnsiTheme="minorBidi"/>
              </w:rPr>
              <w:t>.</w:t>
            </w:r>
            <w:r w:rsidR="00F23F1B">
              <w:rPr>
                <w:rFonts w:asciiTheme="minorBidi" w:hAnsiTheme="minorBidi"/>
              </w:rPr>
              <w:t xml:space="preserve"> </w:t>
            </w:r>
          </w:p>
          <w:p w14:paraId="0F8B3684" w14:textId="0CD5B857" w:rsidR="00F369DE" w:rsidRDefault="00F369DE" w:rsidP="00F369DE">
            <w:pPr>
              <w:rPr>
                <w:rFonts w:asciiTheme="minorBidi" w:hAnsiTheme="minorBidi"/>
              </w:rPr>
            </w:pPr>
          </w:p>
        </w:tc>
      </w:tr>
      <w:tr w:rsidR="004057BA" w:rsidRPr="00D35E65" w14:paraId="1A6410D6" w14:textId="77777777" w:rsidTr="006159E8">
        <w:trPr>
          <w:trHeight w:val="399"/>
        </w:trPr>
        <w:tc>
          <w:tcPr>
            <w:tcW w:w="1141" w:type="dxa"/>
          </w:tcPr>
          <w:p w14:paraId="4A06787E" w14:textId="6DE92380" w:rsidR="004057BA" w:rsidRDefault="004057BA" w:rsidP="00E2267D">
            <w:pPr>
              <w:tabs>
                <w:tab w:val="left" w:pos="5347"/>
              </w:tabs>
              <w:rPr>
                <w:rFonts w:ascii="Arial" w:hAnsi="Arial" w:cs="Arial"/>
              </w:rPr>
            </w:pPr>
            <w:r>
              <w:rPr>
                <w:rFonts w:ascii="Arial" w:hAnsi="Arial" w:cs="Arial"/>
              </w:rPr>
              <w:t>5.</w:t>
            </w:r>
            <w:r w:rsidR="00D07DE5">
              <w:rPr>
                <w:rFonts w:ascii="Arial" w:hAnsi="Arial" w:cs="Arial"/>
              </w:rPr>
              <w:t>6</w:t>
            </w:r>
          </w:p>
        </w:tc>
        <w:tc>
          <w:tcPr>
            <w:tcW w:w="7875" w:type="dxa"/>
          </w:tcPr>
          <w:p w14:paraId="7391516D" w14:textId="0C63C500" w:rsidR="004057BA" w:rsidRDefault="004057BA" w:rsidP="004057BA">
            <w:pPr>
              <w:tabs>
                <w:tab w:val="left" w:pos="5347"/>
              </w:tabs>
              <w:rPr>
                <w:rFonts w:ascii="Arial" w:hAnsi="Arial" w:cs="Arial"/>
                <w:bCs/>
              </w:rPr>
            </w:pPr>
            <w:r>
              <w:rPr>
                <w:rFonts w:ascii="Arial" w:hAnsi="Arial" w:cs="Arial"/>
                <w:bCs/>
              </w:rPr>
              <w:t>Board</w:t>
            </w:r>
            <w:r w:rsidR="00AD7449">
              <w:rPr>
                <w:rFonts w:ascii="Arial" w:hAnsi="Arial" w:cs="Arial"/>
                <w:bCs/>
              </w:rPr>
              <w:t xml:space="preserve"> discussion focused on a number of areas</w:t>
            </w:r>
            <w:r>
              <w:rPr>
                <w:rFonts w:ascii="Arial" w:hAnsi="Arial" w:cs="Arial"/>
                <w:bCs/>
              </w:rPr>
              <w:t>:</w:t>
            </w:r>
          </w:p>
          <w:p w14:paraId="28EDAB59" w14:textId="77777777" w:rsidR="004057BA" w:rsidRDefault="004057BA" w:rsidP="004057BA">
            <w:pPr>
              <w:tabs>
                <w:tab w:val="left" w:pos="5347"/>
              </w:tabs>
              <w:rPr>
                <w:rFonts w:ascii="Arial" w:hAnsi="Arial" w:cs="Arial"/>
                <w:bCs/>
              </w:rPr>
            </w:pPr>
          </w:p>
          <w:p w14:paraId="6FAE5374" w14:textId="7C2419C3" w:rsidR="00656697" w:rsidRDefault="00C85E30" w:rsidP="006C1D76">
            <w:pPr>
              <w:pStyle w:val="ListParagraph"/>
              <w:numPr>
                <w:ilvl w:val="0"/>
                <w:numId w:val="1"/>
              </w:numPr>
              <w:tabs>
                <w:tab w:val="left" w:pos="5347"/>
              </w:tabs>
              <w:rPr>
                <w:rFonts w:ascii="Arial" w:hAnsi="Arial" w:cs="Arial"/>
                <w:bCs/>
              </w:rPr>
            </w:pPr>
            <w:r>
              <w:rPr>
                <w:rFonts w:ascii="Arial" w:hAnsi="Arial" w:cs="Arial"/>
                <w:bCs/>
              </w:rPr>
              <w:t>For the areas that were charged back to in</w:t>
            </w:r>
            <w:r w:rsidR="007435E6">
              <w:rPr>
                <w:rFonts w:ascii="Arial" w:hAnsi="Arial" w:cs="Arial"/>
                <w:bCs/>
              </w:rPr>
              <w:t xml:space="preserve">dustry, the Board questioned whether the </w:t>
            </w:r>
            <w:proofErr w:type="spellStart"/>
            <w:r w:rsidR="007435E6">
              <w:rPr>
                <w:rFonts w:ascii="Arial" w:hAnsi="Arial" w:cs="Arial"/>
                <w:bCs/>
              </w:rPr>
              <w:t>dutyholder</w:t>
            </w:r>
            <w:proofErr w:type="spellEnd"/>
            <w:r w:rsidR="007435E6">
              <w:rPr>
                <w:rFonts w:ascii="Arial" w:hAnsi="Arial" w:cs="Arial"/>
                <w:bCs/>
              </w:rPr>
              <w:t xml:space="preserve"> who paid</w:t>
            </w:r>
            <w:r w:rsidR="006F09B5">
              <w:rPr>
                <w:rFonts w:ascii="Arial" w:hAnsi="Arial" w:cs="Arial"/>
                <w:bCs/>
              </w:rPr>
              <w:t xml:space="preserve"> would</w:t>
            </w:r>
            <w:r w:rsidR="007435E6">
              <w:rPr>
                <w:rFonts w:ascii="Arial" w:hAnsi="Arial" w:cs="Arial"/>
                <w:bCs/>
              </w:rPr>
              <w:t xml:space="preserve"> </w:t>
            </w:r>
            <w:r w:rsidR="008C2AC8">
              <w:rPr>
                <w:rFonts w:ascii="Arial" w:hAnsi="Arial" w:cs="Arial"/>
                <w:bCs/>
              </w:rPr>
              <w:t xml:space="preserve">be able to see the benefit of the collaboration. </w:t>
            </w:r>
            <w:r w:rsidR="00F10E53">
              <w:rPr>
                <w:rFonts w:ascii="Arial" w:hAnsi="Arial" w:cs="Arial"/>
                <w:bCs/>
              </w:rPr>
              <w:t xml:space="preserve">Charging was broken down by direct and indirect charging. </w:t>
            </w:r>
            <w:r w:rsidR="00993AC3">
              <w:rPr>
                <w:rFonts w:ascii="Arial" w:hAnsi="Arial" w:cs="Arial"/>
                <w:bCs/>
              </w:rPr>
              <w:t>Standards was treated as an indirect charge to the industry</w:t>
            </w:r>
            <w:r w:rsidR="001D6DE7">
              <w:rPr>
                <w:rFonts w:ascii="Arial" w:hAnsi="Arial" w:cs="Arial"/>
                <w:bCs/>
              </w:rPr>
              <w:t xml:space="preserve">, so </w:t>
            </w:r>
            <w:r w:rsidR="00471C1A">
              <w:rPr>
                <w:rFonts w:ascii="Arial" w:hAnsi="Arial" w:cs="Arial"/>
                <w:bCs/>
              </w:rPr>
              <w:t xml:space="preserve">a </w:t>
            </w:r>
            <w:r w:rsidR="001D6DE7">
              <w:rPr>
                <w:rFonts w:ascii="Arial" w:hAnsi="Arial" w:cs="Arial"/>
                <w:bCs/>
              </w:rPr>
              <w:t xml:space="preserve">benefit to the whole UK and not to a specific </w:t>
            </w:r>
            <w:proofErr w:type="spellStart"/>
            <w:r w:rsidR="001D6DE7">
              <w:rPr>
                <w:rFonts w:ascii="Arial" w:hAnsi="Arial" w:cs="Arial"/>
                <w:bCs/>
              </w:rPr>
              <w:t>dutyholder</w:t>
            </w:r>
            <w:proofErr w:type="spellEnd"/>
            <w:r w:rsidR="001D6DE7">
              <w:rPr>
                <w:rFonts w:ascii="Arial" w:hAnsi="Arial" w:cs="Arial"/>
                <w:bCs/>
              </w:rPr>
              <w:t xml:space="preserve">. Specific benefits to individual </w:t>
            </w:r>
            <w:r w:rsidR="00084D63">
              <w:rPr>
                <w:rFonts w:ascii="Arial" w:hAnsi="Arial" w:cs="Arial"/>
                <w:bCs/>
              </w:rPr>
              <w:t xml:space="preserve">duty holders was not </w:t>
            </w:r>
            <w:r w:rsidR="00727487">
              <w:rPr>
                <w:rFonts w:ascii="Arial" w:hAnsi="Arial" w:cs="Arial"/>
                <w:bCs/>
              </w:rPr>
              <w:t xml:space="preserve">articulated and had not been </w:t>
            </w:r>
            <w:r w:rsidR="00E8757D">
              <w:rPr>
                <w:rFonts w:ascii="Arial" w:hAnsi="Arial" w:cs="Arial"/>
                <w:bCs/>
              </w:rPr>
              <w:t>sought</w:t>
            </w:r>
            <w:r w:rsidR="00727487">
              <w:rPr>
                <w:rFonts w:ascii="Arial" w:hAnsi="Arial" w:cs="Arial"/>
                <w:bCs/>
              </w:rPr>
              <w:t>.</w:t>
            </w:r>
          </w:p>
          <w:p w14:paraId="7B15C20B" w14:textId="0FFD432E" w:rsidR="00AB4B6A" w:rsidRDefault="004544C2" w:rsidP="006C1D76">
            <w:pPr>
              <w:pStyle w:val="ListParagraph"/>
              <w:numPr>
                <w:ilvl w:val="0"/>
                <w:numId w:val="1"/>
              </w:numPr>
              <w:tabs>
                <w:tab w:val="left" w:pos="5347"/>
              </w:tabs>
              <w:rPr>
                <w:rFonts w:ascii="Arial" w:hAnsi="Arial" w:cs="Arial"/>
                <w:bCs/>
              </w:rPr>
            </w:pPr>
            <w:r w:rsidRPr="004544C2">
              <w:rPr>
                <w:rFonts w:ascii="Arial" w:hAnsi="Arial" w:cs="Arial"/>
                <w:bCs/>
              </w:rPr>
              <w:t>On costs, there was clarity on funding allocations but it would be important to internally analyse</w:t>
            </w:r>
            <w:r w:rsidR="00031F93">
              <w:rPr>
                <w:rFonts w:ascii="Arial" w:hAnsi="Arial" w:cs="Arial"/>
                <w:bCs/>
              </w:rPr>
              <w:t xml:space="preserve"> and document to</w:t>
            </w:r>
            <w:r w:rsidRPr="004544C2">
              <w:rPr>
                <w:rFonts w:ascii="Arial" w:hAnsi="Arial" w:cs="Arial"/>
                <w:bCs/>
              </w:rPr>
              <w:t xml:space="preserve"> show; the benefits to duty holders (directly or indirectly)</w:t>
            </w:r>
            <w:r w:rsidR="006E335F">
              <w:rPr>
                <w:rFonts w:ascii="Arial" w:hAnsi="Arial" w:cs="Arial"/>
                <w:bCs/>
              </w:rPr>
              <w:t>,</w:t>
            </w:r>
            <w:r w:rsidRPr="004544C2">
              <w:rPr>
                <w:rFonts w:ascii="Arial" w:hAnsi="Arial" w:cs="Arial"/>
                <w:bCs/>
              </w:rPr>
              <w:t xml:space="preserve"> and benefits to government policy and standards. How these benefits were measured would be key, and </w:t>
            </w:r>
            <w:r w:rsidR="00575C04">
              <w:rPr>
                <w:rFonts w:ascii="Arial" w:hAnsi="Arial" w:cs="Arial"/>
                <w:bCs/>
              </w:rPr>
              <w:t>doing so annually</w:t>
            </w:r>
            <w:r w:rsidR="004552EA">
              <w:rPr>
                <w:rFonts w:ascii="Arial" w:hAnsi="Arial" w:cs="Arial"/>
                <w:bCs/>
              </w:rPr>
              <w:t xml:space="preserve"> </w:t>
            </w:r>
            <w:r w:rsidR="00C20D7F">
              <w:rPr>
                <w:rFonts w:ascii="Arial" w:hAnsi="Arial" w:cs="Arial"/>
                <w:bCs/>
              </w:rPr>
              <w:t xml:space="preserve">against outcomes from </w:t>
            </w:r>
            <w:r w:rsidRPr="004544C2">
              <w:rPr>
                <w:rFonts w:ascii="Arial" w:hAnsi="Arial" w:cs="Arial"/>
                <w:bCs/>
              </w:rPr>
              <w:t>each international engagement</w:t>
            </w:r>
            <w:r w:rsidR="00031F93">
              <w:rPr>
                <w:rFonts w:ascii="Arial" w:hAnsi="Arial" w:cs="Arial"/>
                <w:bCs/>
              </w:rPr>
              <w:t xml:space="preserve">, in terms of </w:t>
            </w:r>
            <w:r w:rsidRPr="004544C2">
              <w:rPr>
                <w:rFonts w:ascii="Arial" w:hAnsi="Arial" w:cs="Arial"/>
                <w:bCs/>
              </w:rPr>
              <w:t xml:space="preserve">changes in-year for ONR, the UK, other regulators or other dutyholders would be </w:t>
            </w:r>
            <w:r w:rsidR="00006A47">
              <w:rPr>
                <w:rFonts w:ascii="Arial" w:hAnsi="Arial" w:cs="Arial"/>
                <w:bCs/>
              </w:rPr>
              <w:t xml:space="preserve">a useful </w:t>
            </w:r>
            <w:r w:rsidRPr="004544C2">
              <w:rPr>
                <w:rFonts w:ascii="Arial" w:hAnsi="Arial" w:cs="Arial"/>
                <w:bCs/>
              </w:rPr>
              <w:t>data point to track. This could be done in the CE/CNI annual report of regulation.</w:t>
            </w:r>
            <w:r w:rsidR="00D64A20">
              <w:rPr>
                <w:rFonts w:ascii="Arial" w:hAnsi="Arial" w:cs="Arial"/>
                <w:bCs/>
              </w:rPr>
              <w:t xml:space="preserve"> It could also be </w:t>
            </w:r>
            <w:r w:rsidR="00006A47">
              <w:rPr>
                <w:rFonts w:ascii="Arial" w:hAnsi="Arial" w:cs="Arial"/>
                <w:bCs/>
              </w:rPr>
              <w:t>weaved into</w:t>
            </w:r>
            <w:r w:rsidR="00D64A20">
              <w:rPr>
                <w:rFonts w:ascii="Arial" w:hAnsi="Arial" w:cs="Arial"/>
                <w:bCs/>
              </w:rPr>
              <w:t xml:space="preserve"> the narrative on any social media reports on international engagements.</w:t>
            </w:r>
          </w:p>
          <w:p w14:paraId="5F1F1D18" w14:textId="0BACF0A9" w:rsidR="00A57F46" w:rsidRDefault="00AB4B6A" w:rsidP="006C1D76">
            <w:pPr>
              <w:pStyle w:val="ListParagraph"/>
              <w:numPr>
                <w:ilvl w:val="0"/>
                <w:numId w:val="1"/>
              </w:numPr>
              <w:tabs>
                <w:tab w:val="left" w:pos="5347"/>
              </w:tabs>
              <w:rPr>
                <w:rFonts w:ascii="Arial" w:hAnsi="Arial" w:cs="Arial"/>
                <w:bCs/>
              </w:rPr>
            </w:pPr>
            <w:r w:rsidRPr="00AB4B6A">
              <w:rPr>
                <w:rFonts w:ascii="Arial" w:hAnsi="Arial" w:cs="Arial"/>
                <w:bCs/>
              </w:rPr>
              <w:t xml:space="preserve">There was a strategic framework in place, </w:t>
            </w:r>
            <w:r w:rsidR="00F92DA4">
              <w:rPr>
                <w:rFonts w:ascii="Arial" w:hAnsi="Arial" w:cs="Arial"/>
                <w:bCs/>
              </w:rPr>
              <w:t xml:space="preserve">with </w:t>
            </w:r>
            <w:r w:rsidRPr="00AB4B6A">
              <w:rPr>
                <w:rFonts w:ascii="Arial" w:hAnsi="Arial" w:cs="Arial"/>
                <w:bCs/>
              </w:rPr>
              <w:t xml:space="preserve">every </w:t>
            </w:r>
            <w:r w:rsidRPr="00D9668D">
              <w:rPr>
                <w:rFonts w:ascii="Arial" w:hAnsi="Arial" w:cs="Arial"/>
                <w:bCs/>
              </w:rPr>
              <w:t>international engagement ha</w:t>
            </w:r>
            <w:r w:rsidR="00F92DA4" w:rsidRPr="00D9668D">
              <w:rPr>
                <w:rFonts w:ascii="Arial" w:hAnsi="Arial" w:cs="Arial"/>
                <w:bCs/>
              </w:rPr>
              <w:t>ving</w:t>
            </w:r>
            <w:r w:rsidRPr="00D9668D">
              <w:rPr>
                <w:rFonts w:ascii="Arial" w:hAnsi="Arial" w:cs="Arial"/>
                <w:bCs/>
              </w:rPr>
              <w:t xml:space="preserve"> a clear alignment with </w:t>
            </w:r>
            <w:r w:rsidR="00D9668D" w:rsidRPr="00D9668D">
              <w:rPr>
                <w:rFonts w:ascii="Arial" w:hAnsi="Arial" w:cs="Arial"/>
                <w:bCs/>
              </w:rPr>
              <w:t xml:space="preserve">ONR’s </w:t>
            </w:r>
            <w:r w:rsidRPr="00D9668D">
              <w:rPr>
                <w:rFonts w:ascii="Arial" w:hAnsi="Arial" w:cs="Arial"/>
                <w:bCs/>
              </w:rPr>
              <w:t>international workplan.</w:t>
            </w:r>
            <w:r w:rsidRPr="00AB4B6A">
              <w:rPr>
                <w:rFonts w:ascii="Arial" w:hAnsi="Arial" w:cs="Arial"/>
                <w:bCs/>
              </w:rPr>
              <w:t xml:space="preserve"> As part of the business plan commission, each directorate within ONR complete</w:t>
            </w:r>
            <w:r w:rsidR="00006A47">
              <w:rPr>
                <w:rFonts w:ascii="Arial" w:hAnsi="Arial" w:cs="Arial"/>
                <w:bCs/>
              </w:rPr>
              <w:t>d</w:t>
            </w:r>
            <w:r w:rsidRPr="00AB4B6A">
              <w:rPr>
                <w:rFonts w:ascii="Arial" w:hAnsi="Arial" w:cs="Arial"/>
                <w:bCs/>
              </w:rPr>
              <w:t xml:space="preserve"> an individual workplan that shows the totality and benefits back to ONR to the industry and UK. </w:t>
            </w:r>
          </w:p>
          <w:p w14:paraId="7D493A71" w14:textId="36A60298" w:rsidR="00626635" w:rsidRDefault="00464834" w:rsidP="006C1D76">
            <w:pPr>
              <w:pStyle w:val="ListParagraph"/>
              <w:numPr>
                <w:ilvl w:val="0"/>
                <w:numId w:val="1"/>
              </w:numPr>
              <w:tabs>
                <w:tab w:val="left" w:pos="5347"/>
              </w:tabs>
              <w:rPr>
                <w:rFonts w:ascii="Arial" w:hAnsi="Arial" w:cs="Arial"/>
                <w:bCs/>
              </w:rPr>
            </w:pPr>
            <w:r>
              <w:rPr>
                <w:rFonts w:ascii="Arial" w:hAnsi="Arial" w:cs="Arial"/>
                <w:bCs/>
              </w:rPr>
              <w:lastRenderedPageBreak/>
              <w:t>It was important that there be d</w:t>
            </w:r>
            <w:r w:rsidR="00A57F46" w:rsidRPr="00A57F46">
              <w:rPr>
                <w:rFonts w:ascii="Arial" w:hAnsi="Arial" w:cs="Arial"/>
                <w:bCs/>
              </w:rPr>
              <w:t xml:space="preserve">issemination of learning following attending an international engagement. </w:t>
            </w:r>
          </w:p>
          <w:p w14:paraId="39CB36A7" w14:textId="776072BE" w:rsidR="00626635" w:rsidRPr="00D35E65" w:rsidRDefault="002250FA" w:rsidP="006C1D76">
            <w:pPr>
              <w:pStyle w:val="ListParagraph"/>
              <w:numPr>
                <w:ilvl w:val="0"/>
                <w:numId w:val="1"/>
              </w:numPr>
              <w:tabs>
                <w:tab w:val="left" w:pos="5347"/>
              </w:tabs>
              <w:rPr>
                <w:rFonts w:ascii="Arial" w:hAnsi="Arial" w:cs="Arial"/>
                <w:bCs/>
              </w:rPr>
            </w:pPr>
            <w:r>
              <w:rPr>
                <w:rFonts w:asciiTheme="minorBidi" w:hAnsiTheme="minorBidi"/>
              </w:rPr>
              <w:t>W</w:t>
            </w:r>
            <w:r w:rsidR="00626635" w:rsidRPr="00626635">
              <w:rPr>
                <w:rFonts w:asciiTheme="minorBidi" w:hAnsiTheme="minorBidi"/>
              </w:rPr>
              <w:t>hether ONR was sat at the right tables</w:t>
            </w:r>
            <w:r w:rsidR="0059664F">
              <w:rPr>
                <w:rFonts w:asciiTheme="minorBidi" w:hAnsiTheme="minorBidi"/>
              </w:rPr>
              <w:t xml:space="preserve">. </w:t>
            </w:r>
            <w:r w:rsidR="00626635" w:rsidRPr="00626635">
              <w:rPr>
                <w:rFonts w:asciiTheme="minorBidi" w:hAnsiTheme="minorBidi"/>
              </w:rPr>
              <w:t>There would be benefits in exploring more broadly than the nuclear sector; within health and safety regulation as well as key topic areas such as innovation and artificial intelligence.</w:t>
            </w:r>
            <w:r w:rsidR="00AD3567">
              <w:rPr>
                <w:rFonts w:asciiTheme="minorBidi" w:hAnsiTheme="minorBidi"/>
              </w:rPr>
              <w:t xml:space="preserve"> The </w:t>
            </w:r>
            <w:r w:rsidR="00973BDF">
              <w:rPr>
                <w:rFonts w:asciiTheme="minorBidi" w:hAnsiTheme="minorBidi"/>
              </w:rPr>
              <w:t xml:space="preserve">CE/CNI Special Adviser </w:t>
            </w:r>
            <w:r w:rsidR="0059664F">
              <w:rPr>
                <w:rFonts w:asciiTheme="minorBidi" w:hAnsiTheme="minorBidi"/>
              </w:rPr>
              <w:t>was</w:t>
            </w:r>
            <w:r w:rsidR="008705DF">
              <w:rPr>
                <w:rFonts w:asciiTheme="minorBidi" w:hAnsiTheme="minorBidi"/>
              </w:rPr>
              <w:t xml:space="preserve"> currently</w:t>
            </w:r>
            <w:r w:rsidR="00973BDF">
              <w:rPr>
                <w:rFonts w:asciiTheme="minorBidi" w:hAnsiTheme="minorBidi"/>
              </w:rPr>
              <w:t xml:space="preserve"> fact finding</w:t>
            </w:r>
            <w:r w:rsidR="00464834">
              <w:rPr>
                <w:rFonts w:asciiTheme="minorBidi" w:hAnsiTheme="minorBidi"/>
              </w:rPr>
              <w:t xml:space="preserve"> on this area</w:t>
            </w:r>
            <w:r w:rsidR="00CB7EDD">
              <w:rPr>
                <w:rFonts w:asciiTheme="minorBidi" w:hAnsiTheme="minorBidi"/>
              </w:rPr>
              <w:t xml:space="preserve">, and </w:t>
            </w:r>
            <w:r w:rsidR="0059664F">
              <w:rPr>
                <w:rFonts w:asciiTheme="minorBidi" w:hAnsiTheme="minorBidi"/>
              </w:rPr>
              <w:t xml:space="preserve">his work </w:t>
            </w:r>
            <w:r w:rsidR="00CB7EDD">
              <w:rPr>
                <w:rFonts w:asciiTheme="minorBidi" w:hAnsiTheme="minorBidi"/>
              </w:rPr>
              <w:t>would play into the thinking of the long term strategy for the organisation.</w:t>
            </w:r>
          </w:p>
          <w:p w14:paraId="789D9A87" w14:textId="02070093" w:rsidR="00D35E65" w:rsidRPr="00D35E65" w:rsidRDefault="00D35E65" w:rsidP="00D35E65">
            <w:pPr>
              <w:pStyle w:val="ListParagraph"/>
              <w:tabs>
                <w:tab w:val="left" w:pos="5347"/>
              </w:tabs>
              <w:jc w:val="right"/>
              <w:rPr>
                <w:rFonts w:ascii="Arial" w:hAnsi="Arial" w:cs="Arial"/>
                <w:b/>
              </w:rPr>
            </w:pPr>
            <w:r w:rsidRPr="00D35E65">
              <w:rPr>
                <w:rFonts w:ascii="Arial" w:hAnsi="Arial"/>
                <w:b/>
              </w:rPr>
              <w:t>Action: Mark Foy/Lorraine Medcalf to consider how best to articulate on a page the benefits to dutyholders (directly or indirectly), and benefits to government policy and standards from international engagements.</w:t>
            </w:r>
          </w:p>
          <w:p w14:paraId="75495C3A" w14:textId="630A157C" w:rsidR="004544C2" w:rsidRPr="00D35E65" w:rsidRDefault="004544C2" w:rsidP="00652170">
            <w:pPr>
              <w:pStyle w:val="ListParagraph"/>
              <w:tabs>
                <w:tab w:val="left" w:pos="5347"/>
              </w:tabs>
              <w:rPr>
                <w:rFonts w:ascii="Arial" w:hAnsi="Arial" w:cs="Arial"/>
                <w:bCs/>
              </w:rPr>
            </w:pPr>
          </w:p>
        </w:tc>
      </w:tr>
      <w:tr w:rsidR="004057BA" w:rsidRPr="00D901A4" w14:paraId="116FEBB6" w14:textId="77777777" w:rsidTr="006159E8">
        <w:trPr>
          <w:trHeight w:val="399"/>
        </w:trPr>
        <w:tc>
          <w:tcPr>
            <w:tcW w:w="1141" w:type="dxa"/>
          </w:tcPr>
          <w:p w14:paraId="447CE633" w14:textId="40658C0B" w:rsidR="004057BA" w:rsidRDefault="004057BA" w:rsidP="00E2267D">
            <w:pPr>
              <w:tabs>
                <w:tab w:val="left" w:pos="5347"/>
              </w:tabs>
              <w:rPr>
                <w:rFonts w:ascii="Arial" w:hAnsi="Arial" w:cs="Arial"/>
              </w:rPr>
            </w:pPr>
            <w:r>
              <w:rPr>
                <w:rFonts w:ascii="Arial" w:hAnsi="Arial" w:cs="Arial"/>
              </w:rPr>
              <w:lastRenderedPageBreak/>
              <w:t>5.</w:t>
            </w:r>
            <w:r w:rsidR="00D07DE5">
              <w:rPr>
                <w:rFonts w:ascii="Arial" w:hAnsi="Arial" w:cs="Arial"/>
              </w:rPr>
              <w:t>7</w:t>
            </w:r>
          </w:p>
        </w:tc>
        <w:tc>
          <w:tcPr>
            <w:tcW w:w="7875" w:type="dxa"/>
          </w:tcPr>
          <w:p w14:paraId="7432563E" w14:textId="0DF2D5A2" w:rsidR="005124A9" w:rsidRDefault="005124A9" w:rsidP="00114A61">
            <w:pPr>
              <w:tabs>
                <w:tab w:val="left" w:pos="5347"/>
              </w:tabs>
              <w:rPr>
                <w:rFonts w:ascii="Arial" w:hAnsi="Arial" w:cs="Arial"/>
                <w:bCs/>
              </w:rPr>
            </w:pPr>
            <w:r>
              <w:rPr>
                <w:rFonts w:ascii="Arial" w:hAnsi="Arial" w:cs="Arial"/>
                <w:bCs/>
              </w:rPr>
              <w:t xml:space="preserve">The </w:t>
            </w:r>
            <w:r w:rsidR="00A003A3">
              <w:rPr>
                <w:rFonts w:ascii="Arial" w:hAnsi="Arial" w:cs="Arial"/>
                <w:bCs/>
              </w:rPr>
              <w:t>Board noted the update and the improvements</w:t>
            </w:r>
            <w:r w:rsidR="00937DC4">
              <w:rPr>
                <w:rFonts w:ascii="Arial" w:hAnsi="Arial" w:cs="Arial"/>
                <w:bCs/>
              </w:rPr>
              <w:t xml:space="preserve"> on the focus and control around international engagements. The Board </w:t>
            </w:r>
            <w:r w:rsidR="00415DF3">
              <w:rPr>
                <w:rFonts w:ascii="Arial" w:hAnsi="Arial" w:cs="Arial"/>
                <w:bCs/>
              </w:rPr>
              <w:t>noted the points raised on broadening ONR’s horizons beyond just the nuclear forums highlighted</w:t>
            </w:r>
            <w:r w:rsidR="00B35B8A">
              <w:rPr>
                <w:rFonts w:ascii="Arial" w:hAnsi="Arial" w:cs="Arial"/>
                <w:bCs/>
              </w:rPr>
              <w:t>.</w:t>
            </w:r>
          </w:p>
          <w:p w14:paraId="069807CD" w14:textId="73902EF9" w:rsidR="00937DC4" w:rsidRPr="00114A61" w:rsidRDefault="00937DC4" w:rsidP="00114A61">
            <w:pPr>
              <w:tabs>
                <w:tab w:val="left" w:pos="5347"/>
              </w:tabs>
              <w:rPr>
                <w:rFonts w:ascii="Arial" w:hAnsi="Arial" w:cs="Arial"/>
                <w:bCs/>
              </w:rPr>
            </w:pPr>
          </w:p>
        </w:tc>
      </w:tr>
      <w:tr w:rsidR="004057BA" w:rsidRPr="00D901A4" w14:paraId="282A1696" w14:textId="77777777" w:rsidTr="006159E8">
        <w:trPr>
          <w:trHeight w:val="399"/>
        </w:trPr>
        <w:tc>
          <w:tcPr>
            <w:tcW w:w="1141" w:type="dxa"/>
          </w:tcPr>
          <w:p w14:paraId="5EDE7593" w14:textId="44D2A485" w:rsidR="004057BA" w:rsidRPr="004057BA" w:rsidRDefault="004057BA" w:rsidP="00E2267D">
            <w:pPr>
              <w:tabs>
                <w:tab w:val="left" w:pos="5347"/>
              </w:tabs>
              <w:rPr>
                <w:rFonts w:ascii="Arial" w:hAnsi="Arial" w:cs="Arial"/>
                <w:b/>
                <w:bCs/>
              </w:rPr>
            </w:pPr>
            <w:r w:rsidRPr="004057BA">
              <w:rPr>
                <w:rFonts w:ascii="Arial" w:hAnsi="Arial" w:cs="Arial"/>
                <w:b/>
                <w:bCs/>
              </w:rPr>
              <w:t>6</w:t>
            </w:r>
          </w:p>
        </w:tc>
        <w:tc>
          <w:tcPr>
            <w:tcW w:w="7875" w:type="dxa"/>
          </w:tcPr>
          <w:p w14:paraId="1C34D64E" w14:textId="3034E799" w:rsidR="004057BA" w:rsidRDefault="00A15B33" w:rsidP="00135844">
            <w:pPr>
              <w:tabs>
                <w:tab w:val="left" w:pos="5347"/>
              </w:tabs>
              <w:rPr>
                <w:rFonts w:ascii="Arial" w:hAnsi="Arial" w:cs="Arial"/>
                <w:b/>
              </w:rPr>
            </w:pPr>
            <w:r w:rsidRPr="00A15B33">
              <w:rPr>
                <w:rFonts w:ascii="Arial" w:hAnsi="Arial" w:cs="Arial"/>
                <w:b/>
              </w:rPr>
              <w:t>Q1 Finance Update</w:t>
            </w:r>
          </w:p>
          <w:p w14:paraId="17516205" w14:textId="142D8E13" w:rsidR="00FC5463" w:rsidRPr="00D901A4" w:rsidRDefault="00FC5463" w:rsidP="00FC5463">
            <w:pPr>
              <w:tabs>
                <w:tab w:val="left" w:pos="5347"/>
              </w:tabs>
              <w:rPr>
                <w:rFonts w:ascii="Arial" w:hAnsi="Arial" w:cs="Arial"/>
                <w:bCs/>
              </w:rPr>
            </w:pPr>
          </w:p>
        </w:tc>
      </w:tr>
      <w:tr w:rsidR="004057BA" w:rsidRPr="00D901A4" w14:paraId="01D629BB" w14:textId="77777777" w:rsidTr="006159E8">
        <w:trPr>
          <w:trHeight w:val="399"/>
        </w:trPr>
        <w:tc>
          <w:tcPr>
            <w:tcW w:w="1141" w:type="dxa"/>
          </w:tcPr>
          <w:p w14:paraId="0B29EF49" w14:textId="260BD334" w:rsidR="004057BA" w:rsidRDefault="004057BA" w:rsidP="00E2267D">
            <w:pPr>
              <w:tabs>
                <w:tab w:val="left" w:pos="5347"/>
              </w:tabs>
              <w:rPr>
                <w:rFonts w:ascii="Arial" w:hAnsi="Arial" w:cs="Arial"/>
              </w:rPr>
            </w:pPr>
            <w:r>
              <w:rPr>
                <w:rFonts w:ascii="Arial" w:hAnsi="Arial" w:cs="Arial"/>
              </w:rPr>
              <w:t>6.1</w:t>
            </w:r>
          </w:p>
        </w:tc>
        <w:tc>
          <w:tcPr>
            <w:tcW w:w="7875" w:type="dxa"/>
          </w:tcPr>
          <w:p w14:paraId="0A2F722C" w14:textId="5B7FEDA6" w:rsidR="00DA67CD" w:rsidRDefault="00D939BD" w:rsidP="00DA67CD">
            <w:pPr>
              <w:rPr>
                <w:rFonts w:asciiTheme="minorBidi" w:hAnsiTheme="minorBidi"/>
              </w:rPr>
            </w:pPr>
            <w:r>
              <w:rPr>
                <w:rFonts w:asciiTheme="minorBidi" w:hAnsiTheme="minorBidi"/>
              </w:rPr>
              <w:t xml:space="preserve">The </w:t>
            </w:r>
            <w:r w:rsidRPr="00D939BD">
              <w:rPr>
                <w:rFonts w:asciiTheme="minorBidi" w:hAnsiTheme="minorBidi"/>
              </w:rPr>
              <w:t xml:space="preserve">Senior Finance Business Partner </w:t>
            </w:r>
            <w:r w:rsidR="00DA67CD">
              <w:rPr>
                <w:rFonts w:asciiTheme="minorBidi" w:hAnsiTheme="minorBidi"/>
              </w:rPr>
              <w:t>introduced the item to Board which provided an update on the Q1 Financial position. Q1 showed a revised forecasting</w:t>
            </w:r>
            <w:r w:rsidR="0060283C">
              <w:rPr>
                <w:rFonts w:asciiTheme="minorBidi" w:hAnsiTheme="minorBidi"/>
              </w:rPr>
              <w:t>,</w:t>
            </w:r>
            <w:r w:rsidR="00DA67CD">
              <w:rPr>
                <w:rFonts w:asciiTheme="minorBidi" w:hAnsiTheme="minorBidi"/>
              </w:rPr>
              <w:t xml:space="preserve"> following a thorough review</w:t>
            </w:r>
            <w:r w:rsidR="0060283C">
              <w:rPr>
                <w:rFonts w:asciiTheme="minorBidi" w:hAnsiTheme="minorBidi"/>
              </w:rPr>
              <w:t>,</w:t>
            </w:r>
            <w:r w:rsidR="00DA67CD">
              <w:rPr>
                <w:rFonts w:asciiTheme="minorBidi" w:hAnsiTheme="minorBidi"/>
              </w:rPr>
              <w:t xml:space="preserve"> of £111m compared to the £114m forecasted position. There had been positive engagement with the business during the quarter which suggested a shift in mindset across ONR. There was a more holistic approach being taken to free up underspend across </w:t>
            </w:r>
            <w:r w:rsidR="007C50FD">
              <w:rPr>
                <w:rFonts w:asciiTheme="minorBidi" w:hAnsiTheme="minorBidi"/>
              </w:rPr>
              <w:t xml:space="preserve">the organisation </w:t>
            </w:r>
            <w:r w:rsidR="00DA67CD">
              <w:rPr>
                <w:rFonts w:asciiTheme="minorBidi" w:hAnsiTheme="minorBidi"/>
              </w:rPr>
              <w:t xml:space="preserve">and to re-prioritise in other areas and bring projects forward from 2025-26 where capacity allows. </w:t>
            </w:r>
          </w:p>
          <w:p w14:paraId="62CD878D" w14:textId="4CBFB785" w:rsidR="00797A2D" w:rsidRPr="00D901A4" w:rsidRDefault="00797A2D" w:rsidP="00A15B33">
            <w:pPr>
              <w:tabs>
                <w:tab w:val="left" w:pos="5347"/>
              </w:tabs>
              <w:rPr>
                <w:rFonts w:ascii="Arial" w:hAnsi="Arial" w:cs="Arial"/>
                <w:bCs/>
              </w:rPr>
            </w:pPr>
          </w:p>
        </w:tc>
      </w:tr>
      <w:tr w:rsidR="00CD5D97" w:rsidRPr="00D901A4" w14:paraId="0DE9A19C" w14:textId="77777777" w:rsidTr="006159E8">
        <w:trPr>
          <w:trHeight w:val="399"/>
        </w:trPr>
        <w:tc>
          <w:tcPr>
            <w:tcW w:w="1141" w:type="dxa"/>
          </w:tcPr>
          <w:p w14:paraId="7D919C8F" w14:textId="2C459B01" w:rsidR="00CD5D97" w:rsidRPr="00631579" w:rsidRDefault="00420DA9" w:rsidP="00E2267D">
            <w:pPr>
              <w:tabs>
                <w:tab w:val="left" w:pos="5347"/>
              </w:tabs>
              <w:rPr>
                <w:rFonts w:ascii="Arial" w:hAnsi="Arial" w:cs="Arial"/>
                <w:color w:val="000000" w:themeColor="text1"/>
              </w:rPr>
            </w:pPr>
            <w:r w:rsidRPr="00631579">
              <w:rPr>
                <w:rFonts w:ascii="Arial" w:hAnsi="Arial" w:cs="Arial"/>
                <w:color w:val="000000" w:themeColor="text1"/>
              </w:rPr>
              <w:t>6.2</w:t>
            </w:r>
          </w:p>
        </w:tc>
        <w:tc>
          <w:tcPr>
            <w:tcW w:w="7875" w:type="dxa"/>
          </w:tcPr>
          <w:p w14:paraId="605472EF" w14:textId="627102F6" w:rsidR="0019321C" w:rsidRPr="00631579" w:rsidRDefault="0019321C" w:rsidP="0019321C">
            <w:pPr>
              <w:rPr>
                <w:rFonts w:ascii="Arial" w:hAnsi="Arial" w:cs="Arial"/>
                <w:color w:val="000000" w:themeColor="text1"/>
              </w:rPr>
            </w:pPr>
            <w:r w:rsidRPr="00631579">
              <w:rPr>
                <w:rFonts w:ascii="Arial" w:hAnsi="Arial" w:cs="Arial"/>
                <w:color w:val="000000" w:themeColor="text1"/>
              </w:rPr>
              <w:t>The £3.3m underspend was driven by</w:t>
            </w:r>
            <w:r w:rsidR="00266FBF">
              <w:rPr>
                <w:rFonts w:ascii="Arial" w:hAnsi="Arial" w:cs="Arial"/>
                <w:color w:val="000000" w:themeColor="text1"/>
              </w:rPr>
              <w:t xml:space="preserve"> the</w:t>
            </w:r>
            <w:r w:rsidRPr="00631579">
              <w:rPr>
                <w:rFonts w:ascii="Arial" w:hAnsi="Arial" w:cs="Arial"/>
                <w:color w:val="000000" w:themeColor="text1"/>
              </w:rPr>
              <w:t xml:space="preserve"> difference in pay award compared to budget assumptions, recruitment and other project slippage, and cost savings. In terms of the recruitment profile there was a revised forecast position of 682 FTE, against a budget of 685 FTE.</w:t>
            </w:r>
          </w:p>
          <w:p w14:paraId="563016DB" w14:textId="286FB967" w:rsidR="00914866" w:rsidRPr="00631579" w:rsidRDefault="00914866" w:rsidP="00914866">
            <w:pPr>
              <w:tabs>
                <w:tab w:val="left" w:pos="5347"/>
              </w:tabs>
              <w:rPr>
                <w:rFonts w:ascii="Arial" w:hAnsi="Arial" w:cs="Arial"/>
                <w:bCs/>
                <w:color w:val="000000" w:themeColor="text1"/>
              </w:rPr>
            </w:pPr>
          </w:p>
        </w:tc>
      </w:tr>
      <w:tr w:rsidR="004B02FF" w:rsidRPr="00D901A4" w14:paraId="718312F6" w14:textId="77777777" w:rsidTr="006159E8">
        <w:trPr>
          <w:trHeight w:val="399"/>
        </w:trPr>
        <w:tc>
          <w:tcPr>
            <w:tcW w:w="1141" w:type="dxa"/>
          </w:tcPr>
          <w:p w14:paraId="125392A0" w14:textId="539A3032" w:rsidR="004B02FF" w:rsidRPr="00631579" w:rsidRDefault="004B02FF" w:rsidP="00E2267D">
            <w:pPr>
              <w:tabs>
                <w:tab w:val="left" w:pos="5347"/>
              </w:tabs>
              <w:rPr>
                <w:rFonts w:ascii="Arial" w:hAnsi="Arial" w:cs="Arial"/>
                <w:color w:val="000000" w:themeColor="text1"/>
              </w:rPr>
            </w:pPr>
            <w:r w:rsidRPr="00631579">
              <w:rPr>
                <w:rFonts w:ascii="Arial" w:hAnsi="Arial" w:cs="Arial"/>
                <w:color w:val="000000" w:themeColor="text1"/>
              </w:rPr>
              <w:t>6.3</w:t>
            </w:r>
          </w:p>
        </w:tc>
        <w:tc>
          <w:tcPr>
            <w:tcW w:w="7875" w:type="dxa"/>
          </w:tcPr>
          <w:p w14:paraId="5C90B9B3" w14:textId="02A8BCC1" w:rsidR="004B02FF" w:rsidRPr="00E160C1" w:rsidRDefault="00E160C1" w:rsidP="00914866">
            <w:pPr>
              <w:tabs>
                <w:tab w:val="left" w:pos="5347"/>
              </w:tabs>
              <w:rPr>
                <w:rFonts w:ascii="Arial" w:hAnsi="Arial" w:cs="Arial"/>
                <w:color w:val="000000" w:themeColor="text1"/>
              </w:rPr>
            </w:pPr>
            <w:r w:rsidRPr="00E160C1">
              <w:rPr>
                <w:rFonts w:ascii="Arial" w:hAnsi="Arial" w:cs="Arial"/>
                <w:color w:val="000000" w:themeColor="text1"/>
              </w:rPr>
              <w:t xml:space="preserve">There was £0.7m of expenditure awaiting active decisions to be made in RD, relating to Research, Technical Support Contracts (TSCs). There were also some known risks and pressure around </w:t>
            </w:r>
            <w:r w:rsidR="00464C5B">
              <w:rPr>
                <w:rFonts w:ascii="Arial" w:hAnsi="Arial" w:cs="Arial"/>
                <w:color w:val="000000" w:themeColor="text1"/>
              </w:rPr>
              <w:t>n</w:t>
            </w:r>
            <w:r w:rsidRPr="00E160C1">
              <w:rPr>
                <w:rFonts w:ascii="Arial" w:hAnsi="Arial" w:cs="Arial"/>
                <w:color w:val="000000" w:themeColor="text1"/>
              </w:rPr>
              <w:t xml:space="preserve">ew </w:t>
            </w:r>
            <w:r w:rsidR="00464C5B">
              <w:rPr>
                <w:rFonts w:ascii="Arial" w:hAnsi="Arial" w:cs="Arial"/>
                <w:color w:val="000000" w:themeColor="text1"/>
              </w:rPr>
              <w:t>n</w:t>
            </w:r>
            <w:r w:rsidRPr="00E160C1">
              <w:rPr>
                <w:rFonts w:ascii="Arial" w:hAnsi="Arial" w:cs="Arial"/>
                <w:color w:val="000000" w:themeColor="text1"/>
              </w:rPr>
              <w:t>uclear activity if required, and further potential opportunities around recruitment and Generic Design Assessment (GDA) slippage</w:t>
            </w:r>
          </w:p>
          <w:p w14:paraId="2B2CD20D" w14:textId="179D2181" w:rsidR="00E160C1" w:rsidRPr="00631579" w:rsidRDefault="00E160C1" w:rsidP="00914866">
            <w:pPr>
              <w:tabs>
                <w:tab w:val="left" w:pos="5347"/>
              </w:tabs>
              <w:rPr>
                <w:rFonts w:ascii="Arial" w:hAnsi="Arial" w:cs="Arial"/>
                <w:bCs/>
                <w:color w:val="000000" w:themeColor="text1"/>
              </w:rPr>
            </w:pPr>
          </w:p>
        </w:tc>
      </w:tr>
      <w:tr w:rsidR="00B81E13" w:rsidRPr="00D901A4" w14:paraId="27F7F16B" w14:textId="77777777" w:rsidTr="006159E8">
        <w:trPr>
          <w:trHeight w:val="399"/>
        </w:trPr>
        <w:tc>
          <w:tcPr>
            <w:tcW w:w="1141" w:type="dxa"/>
          </w:tcPr>
          <w:p w14:paraId="7243436D" w14:textId="2480079F" w:rsidR="00B81E13" w:rsidRDefault="00B81E13" w:rsidP="00E2267D">
            <w:pPr>
              <w:tabs>
                <w:tab w:val="left" w:pos="5347"/>
              </w:tabs>
              <w:rPr>
                <w:rFonts w:ascii="Arial" w:hAnsi="Arial" w:cs="Arial"/>
              </w:rPr>
            </w:pPr>
            <w:r>
              <w:rPr>
                <w:rFonts w:ascii="Arial" w:hAnsi="Arial" w:cs="Arial"/>
              </w:rPr>
              <w:t>6.4</w:t>
            </w:r>
          </w:p>
        </w:tc>
        <w:tc>
          <w:tcPr>
            <w:tcW w:w="7875" w:type="dxa"/>
          </w:tcPr>
          <w:p w14:paraId="765389C5" w14:textId="28CBBC40" w:rsidR="00B81E13" w:rsidRDefault="00B81E13" w:rsidP="00B81E13">
            <w:pPr>
              <w:rPr>
                <w:rFonts w:asciiTheme="minorBidi" w:hAnsiTheme="minorBidi"/>
              </w:rPr>
            </w:pPr>
            <w:r>
              <w:rPr>
                <w:rFonts w:asciiTheme="minorBidi" w:hAnsiTheme="minorBidi"/>
              </w:rPr>
              <w:t xml:space="preserve">She highlighted the movements and cost savings within the quarter which included cost savings from projects, cost increases due to the acceleration of the SharePoint project and </w:t>
            </w:r>
            <w:r w:rsidR="00DD6733" w:rsidRPr="00DD6733">
              <w:rPr>
                <w:rFonts w:asciiTheme="minorBidi" w:hAnsiTheme="minorBidi"/>
              </w:rPr>
              <w:t>Information, Technology and Delivery (ITD) directorate</w:t>
            </w:r>
            <w:r w:rsidR="00DD6733">
              <w:rPr>
                <w:rFonts w:asciiTheme="minorBidi" w:hAnsiTheme="minorBidi"/>
              </w:rPr>
              <w:t xml:space="preserve"> </w:t>
            </w:r>
            <w:r>
              <w:rPr>
                <w:rFonts w:asciiTheme="minorBidi" w:hAnsiTheme="minorBidi"/>
              </w:rPr>
              <w:t xml:space="preserve">efficiencies </w:t>
            </w:r>
            <w:r w:rsidRPr="00CB545F">
              <w:rPr>
                <w:rFonts w:asciiTheme="minorBidi" w:hAnsiTheme="minorBidi"/>
              </w:rPr>
              <w:t>relating to</w:t>
            </w:r>
            <w:r>
              <w:rPr>
                <w:rFonts w:asciiTheme="minorBidi" w:hAnsiTheme="minorBidi"/>
              </w:rPr>
              <w:t xml:space="preserve"> </w:t>
            </w:r>
            <w:r w:rsidRPr="00CB545F">
              <w:rPr>
                <w:rFonts w:asciiTheme="minorBidi" w:hAnsiTheme="minorBidi"/>
              </w:rPr>
              <w:t>new licences agreements</w:t>
            </w:r>
            <w:r>
              <w:rPr>
                <w:rFonts w:asciiTheme="minorBidi" w:hAnsiTheme="minorBidi"/>
              </w:rPr>
              <w:t xml:space="preserve"> </w:t>
            </w:r>
            <w:r w:rsidRPr="00CB545F">
              <w:rPr>
                <w:rFonts w:asciiTheme="minorBidi" w:hAnsiTheme="minorBidi"/>
              </w:rPr>
              <w:t>and two posts not being</w:t>
            </w:r>
            <w:r>
              <w:rPr>
                <w:rFonts w:asciiTheme="minorBidi" w:hAnsiTheme="minorBidi"/>
              </w:rPr>
              <w:t xml:space="preserve"> </w:t>
            </w:r>
            <w:r w:rsidRPr="00CB545F">
              <w:rPr>
                <w:rFonts w:asciiTheme="minorBidi" w:hAnsiTheme="minorBidi"/>
              </w:rPr>
              <w:t>recruited to.</w:t>
            </w:r>
          </w:p>
          <w:p w14:paraId="197E93C7" w14:textId="77777777" w:rsidR="00B81E13" w:rsidRDefault="00B81E13" w:rsidP="004B02FF">
            <w:pPr>
              <w:rPr>
                <w:rFonts w:asciiTheme="minorBidi" w:hAnsiTheme="minorBidi"/>
              </w:rPr>
            </w:pPr>
          </w:p>
        </w:tc>
      </w:tr>
      <w:tr w:rsidR="004057BA" w:rsidRPr="00D901A4" w14:paraId="4868B5DE" w14:textId="77777777" w:rsidTr="006159E8">
        <w:trPr>
          <w:trHeight w:val="399"/>
        </w:trPr>
        <w:tc>
          <w:tcPr>
            <w:tcW w:w="1141" w:type="dxa"/>
          </w:tcPr>
          <w:p w14:paraId="752D116E" w14:textId="4F0C06AB" w:rsidR="004057BA" w:rsidRDefault="004057BA" w:rsidP="00E2267D">
            <w:pPr>
              <w:tabs>
                <w:tab w:val="left" w:pos="5347"/>
              </w:tabs>
              <w:rPr>
                <w:rFonts w:ascii="Arial" w:hAnsi="Arial" w:cs="Arial"/>
              </w:rPr>
            </w:pPr>
            <w:r>
              <w:rPr>
                <w:rFonts w:ascii="Arial" w:hAnsi="Arial" w:cs="Arial"/>
              </w:rPr>
              <w:t>6.</w:t>
            </w:r>
            <w:r w:rsidR="00B81E13">
              <w:rPr>
                <w:rFonts w:ascii="Arial" w:hAnsi="Arial" w:cs="Arial"/>
              </w:rPr>
              <w:t>5</w:t>
            </w:r>
          </w:p>
        </w:tc>
        <w:tc>
          <w:tcPr>
            <w:tcW w:w="7875" w:type="dxa"/>
          </w:tcPr>
          <w:p w14:paraId="10D11B64" w14:textId="77777777" w:rsidR="004057BA" w:rsidRDefault="004057BA" w:rsidP="00E663DD">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58C4EB4A" w14:textId="77777777" w:rsidR="00E663DD" w:rsidRPr="00E663DD" w:rsidRDefault="00E663DD" w:rsidP="00E663DD">
            <w:pPr>
              <w:tabs>
                <w:tab w:val="left" w:pos="5347"/>
              </w:tabs>
              <w:ind w:left="714" w:hanging="357"/>
              <w:rPr>
                <w:rFonts w:ascii="Arial" w:hAnsi="Arial" w:cs="Arial"/>
                <w:bCs/>
              </w:rPr>
            </w:pPr>
          </w:p>
          <w:p w14:paraId="1476E3E0" w14:textId="3C9F19A7" w:rsidR="00E663DD" w:rsidRPr="00DD6733" w:rsidRDefault="00E663DD" w:rsidP="006C1D76">
            <w:pPr>
              <w:pStyle w:val="ListParagraph"/>
              <w:numPr>
                <w:ilvl w:val="0"/>
                <w:numId w:val="3"/>
              </w:numPr>
              <w:tabs>
                <w:tab w:val="left" w:pos="5347"/>
              </w:tabs>
              <w:ind w:left="714" w:hanging="357"/>
              <w:rPr>
                <w:rFonts w:ascii="Arial" w:hAnsi="Arial" w:cs="Arial"/>
                <w:bCs/>
              </w:rPr>
            </w:pPr>
            <w:r w:rsidRPr="00DD6733">
              <w:rPr>
                <w:rFonts w:ascii="Arial" w:hAnsi="Arial" w:cs="Arial"/>
                <w:bCs/>
              </w:rPr>
              <w:t xml:space="preserve">Queried whether the lower FTE was driven by efficiencies and had been previously reported as positive outcomes from the </w:t>
            </w:r>
            <w:r w:rsidRPr="00DD6733">
              <w:rPr>
                <w:rFonts w:ascii="Arial" w:hAnsi="Arial" w:cs="Arial"/>
                <w:bCs/>
              </w:rPr>
              <w:lastRenderedPageBreak/>
              <w:t>efficiency review. At the start of the year, an FTE figure</w:t>
            </w:r>
            <w:r w:rsidR="00802BC8" w:rsidRPr="00DD6733">
              <w:rPr>
                <w:rFonts w:ascii="Arial" w:hAnsi="Arial" w:cs="Arial"/>
                <w:bCs/>
              </w:rPr>
              <w:t xml:space="preserve"> of 685</w:t>
            </w:r>
            <w:r w:rsidRPr="00DD6733">
              <w:rPr>
                <w:rFonts w:ascii="Arial" w:hAnsi="Arial" w:cs="Arial"/>
                <w:bCs/>
              </w:rPr>
              <w:t xml:space="preserve"> had been agreed that ONR would drive to, maintaining the level of resourcing. There had been a consolidation of productivity improvements in 2023-24 financial year and </w:t>
            </w:r>
            <w:r w:rsidR="00FB0F87" w:rsidRPr="00DD6733">
              <w:rPr>
                <w:rFonts w:ascii="Arial" w:hAnsi="Arial" w:cs="Arial"/>
                <w:bCs/>
              </w:rPr>
              <w:t>commitm</w:t>
            </w:r>
            <w:r w:rsidR="00FB0F87">
              <w:rPr>
                <w:rFonts w:ascii="Arial" w:hAnsi="Arial" w:cs="Arial"/>
                <w:bCs/>
              </w:rPr>
              <w:t>ent</w:t>
            </w:r>
            <w:r w:rsidRPr="00DD6733">
              <w:rPr>
                <w:rFonts w:ascii="Arial" w:hAnsi="Arial" w:cs="Arial"/>
                <w:bCs/>
              </w:rPr>
              <w:t xml:space="preserve"> to finding further productivity improvements this year. </w:t>
            </w:r>
          </w:p>
          <w:p w14:paraId="0D5962DB" w14:textId="60F8135B" w:rsidR="00C018C4" w:rsidRDefault="00A40729" w:rsidP="006C1D76">
            <w:pPr>
              <w:pStyle w:val="ListParagraph"/>
              <w:numPr>
                <w:ilvl w:val="0"/>
                <w:numId w:val="3"/>
              </w:numPr>
              <w:tabs>
                <w:tab w:val="left" w:pos="5347"/>
              </w:tabs>
              <w:ind w:left="714" w:hanging="357"/>
              <w:rPr>
                <w:rFonts w:ascii="Arial" w:hAnsi="Arial" w:cs="Arial"/>
                <w:bCs/>
              </w:rPr>
            </w:pPr>
            <w:r w:rsidRPr="00A40729">
              <w:rPr>
                <w:rFonts w:ascii="Arial" w:hAnsi="Arial" w:cs="Arial"/>
                <w:bCs/>
              </w:rPr>
              <w:t xml:space="preserve">Requested clarity </w:t>
            </w:r>
            <w:r w:rsidR="002B2D31">
              <w:rPr>
                <w:rFonts w:ascii="Arial" w:hAnsi="Arial" w:cs="Arial"/>
                <w:bCs/>
              </w:rPr>
              <w:t xml:space="preserve">in relation to </w:t>
            </w:r>
            <w:r w:rsidRPr="00A40729">
              <w:rPr>
                <w:rFonts w:ascii="Arial" w:hAnsi="Arial" w:cs="Arial"/>
                <w:bCs/>
              </w:rPr>
              <w:t>what had been achieved on efficiencies, how that had been sustained and what the expected FTE workload was beyond those banked efficiencies.</w:t>
            </w:r>
          </w:p>
          <w:p w14:paraId="33B66F8F" w14:textId="77777777" w:rsidR="00A40729" w:rsidRDefault="0069516E" w:rsidP="006C1D76">
            <w:pPr>
              <w:pStyle w:val="ListParagraph"/>
              <w:numPr>
                <w:ilvl w:val="0"/>
                <w:numId w:val="3"/>
              </w:numPr>
              <w:tabs>
                <w:tab w:val="left" w:pos="5347"/>
              </w:tabs>
              <w:ind w:left="714" w:hanging="357"/>
              <w:rPr>
                <w:rFonts w:ascii="Arial" w:hAnsi="Arial" w:cs="Arial"/>
                <w:bCs/>
              </w:rPr>
            </w:pPr>
            <w:r w:rsidRPr="0069516E">
              <w:rPr>
                <w:rFonts w:ascii="Arial" w:hAnsi="Arial" w:cs="Arial"/>
                <w:bCs/>
              </w:rPr>
              <w:t>Noted that the recruitment profile was to deal with attrition</w:t>
            </w:r>
            <w:r>
              <w:rPr>
                <w:rFonts w:ascii="Arial" w:hAnsi="Arial" w:cs="Arial"/>
                <w:bCs/>
              </w:rPr>
              <w:t xml:space="preserve"> but the graph </w:t>
            </w:r>
            <w:r w:rsidR="00F773CB">
              <w:rPr>
                <w:rFonts w:ascii="Arial" w:hAnsi="Arial" w:cs="Arial"/>
                <w:bCs/>
              </w:rPr>
              <w:t>included in the papers did not reflect this narrative.</w:t>
            </w:r>
          </w:p>
          <w:p w14:paraId="41D8D7F6" w14:textId="77CEF699" w:rsidR="00B84112" w:rsidRDefault="000D3985" w:rsidP="006C1D76">
            <w:pPr>
              <w:pStyle w:val="ListParagraph"/>
              <w:numPr>
                <w:ilvl w:val="0"/>
                <w:numId w:val="3"/>
              </w:numPr>
              <w:tabs>
                <w:tab w:val="left" w:pos="5347"/>
              </w:tabs>
              <w:ind w:left="714" w:hanging="357"/>
              <w:rPr>
                <w:rFonts w:ascii="Arial" w:hAnsi="Arial" w:cs="Arial"/>
                <w:bCs/>
              </w:rPr>
            </w:pPr>
            <w:r>
              <w:rPr>
                <w:rFonts w:ascii="Arial" w:hAnsi="Arial" w:cs="Arial"/>
                <w:bCs/>
              </w:rPr>
              <w:t>Asked f</w:t>
            </w:r>
            <w:r w:rsidR="00891EF9">
              <w:rPr>
                <w:rFonts w:ascii="Arial" w:hAnsi="Arial" w:cs="Arial"/>
                <w:bCs/>
              </w:rPr>
              <w:t xml:space="preserve">or the Q2 report to the Board, </w:t>
            </w:r>
            <w:r w:rsidR="00ED73A8">
              <w:rPr>
                <w:rFonts w:ascii="Arial" w:hAnsi="Arial" w:cs="Arial"/>
                <w:bCs/>
              </w:rPr>
              <w:t xml:space="preserve">to </w:t>
            </w:r>
            <w:r w:rsidR="00684D57">
              <w:rPr>
                <w:rFonts w:ascii="Arial" w:hAnsi="Arial" w:cs="Arial"/>
                <w:bCs/>
              </w:rPr>
              <w:t>outline</w:t>
            </w:r>
            <w:r w:rsidR="00ED73A8">
              <w:rPr>
                <w:rFonts w:ascii="Arial" w:hAnsi="Arial" w:cs="Arial"/>
                <w:bCs/>
              </w:rPr>
              <w:t xml:space="preserve"> </w:t>
            </w:r>
            <w:r w:rsidR="0059664F" w:rsidRPr="0059664F">
              <w:rPr>
                <w:rFonts w:ascii="Arial" w:hAnsi="Arial" w:cs="Arial"/>
                <w:bCs/>
              </w:rPr>
              <w:t>what the impact of these slippages and savings would have on the budget for next year (2025/26)</w:t>
            </w:r>
            <w:r w:rsidR="006F0A11">
              <w:rPr>
                <w:rFonts w:ascii="Arial" w:hAnsi="Arial" w:cs="Arial"/>
                <w:bCs/>
              </w:rPr>
              <w:t xml:space="preserve"> and for a</w:t>
            </w:r>
            <w:r w:rsidR="00A90EB4">
              <w:rPr>
                <w:rFonts w:ascii="Arial" w:hAnsi="Arial" w:cs="Arial"/>
                <w:bCs/>
              </w:rPr>
              <w:t xml:space="preserve"> re</w:t>
            </w:r>
            <w:r w:rsidR="00286448">
              <w:rPr>
                <w:rFonts w:ascii="Arial" w:hAnsi="Arial" w:cs="Arial"/>
                <w:bCs/>
              </w:rPr>
              <w:t>vised forecast for the year</w:t>
            </w:r>
            <w:r w:rsidR="006F0A11">
              <w:rPr>
                <w:rFonts w:ascii="Arial" w:hAnsi="Arial" w:cs="Arial"/>
                <w:bCs/>
              </w:rPr>
              <w:t xml:space="preserve"> to be provided</w:t>
            </w:r>
            <w:r w:rsidR="00286448">
              <w:rPr>
                <w:rFonts w:ascii="Arial" w:hAnsi="Arial" w:cs="Arial"/>
                <w:bCs/>
              </w:rPr>
              <w:t>.</w:t>
            </w:r>
          </w:p>
          <w:p w14:paraId="5D47F906" w14:textId="621B05AE" w:rsidR="00F01FAA" w:rsidRDefault="00FB0F87" w:rsidP="006C1D76">
            <w:pPr>
              <w:pStyle w:val="ListParagraph"/>
              <w:numPr>
                <w:ilvl w:val="0"/>
                <w:numId w:val="3"/>
              </w:numPr>
              <w:tabs>
                <w:tab w:val="left" w:pos="5347"/>
              </w:tabs>
              <w:ind w:left="714" w:hanging="357"/>
              <w:rPr>
                <w:rFonts w:ascii="Arial" w:hAnsi="Arial" w:cs="Arial"/>
                <w:bCs/>
              </w:rPr>
            </w:pPr>
            <w:r>
              <w:rPr>
                <w:rFonts w:ascii="Arial" w:hAnsi="Arial" w:cs="Arial"/>
                <w:bCs/>
              </w:rPr>
              <w:t>Noted that t</w:t>
            </w:r>
            <w:r w:rsidR="00F01FAA">
              <w:rPr>
                <w:rFonts w:ascii="Arial" w:hAnsi="Arial" w:cs="Arial"/>
                <w:bCs/>
              </w:rPr>
              <w:t>he Senior Leadership Team</w:t>
            </w:r>
            <w:r w:rsidR="00C56C94">
              <w:rPr>
                <w:rFonts w:ascii="Arial" w:hAnsi="Arial" w:cs="Arial"/>
                <w:bCs/>
              </w:rPr>
              <w:t xml:space="preserve"> (SLT)</w:t>
            </w:r>
            <w:r w:rsidR="00F01FAA">
              <w:rPr>
                <w:rFonts w:ascii="Arial" w:hAnsi="Arial" w:cs="Arial"/>
                <w:bCs/>
              </w:rPr>
              <w:t xml:space="preserve"> had discussed the slippage on </w:t>
            </w:r>
            <w:r w:rsidR="00E04A16">
              <w:rPr>
                <w:rFonts w:ascii="Arial" w:hAnsi="Arial" w:cs="Arial"/>
                <w:bCs/>
              </w:rPr>
              <w:t>T&amp;S</w:t>
            </w:r>
            <w:r w:rsidR="00781B70">
              <w:rPr>
                <w:rFonts w:ascii="Arial" w:hAnsi="Arial" w:cs="Arial"/>
                <w:bCs/>
              </w:rPr>
              <w:t xml:space="preserve"> and research and</w:t>
            </w:r>
            <w:r>
              <w:rPr>
                <w:rFonts w:ascii="Arial" w:hAnsi="Arial" w:cs="Arial"/>
                <w:bCs/>
              </w:rPr>
              <w:t xml:space="preserve"> had</w:t>
            </w:r>
            <w:r w:rsidR="00781B70">
              <w:rPr>
                <w:rFonts w:ascii="Arial" w:hAnsi="Arial" w:cs="Arial"/>
                <w:bCs/>
              </w:rPr>
              <w:t xml:space="preserve"> requested analysis on </w:t>
            </w:r>
            <w:r w:rsidR="00EB5F51">
              <w:rPr>
                <w:rFonts w:ascii="Arial" w:hAnsi="Arial" w:cs="Arial"/>
                <w:bCs/>
              </w:rPr>
              <w:t>the cu</w:t>
            </w:r>
            <w:r w:rsidR="00CA276C">
              <w:rPr>
                <w:rFonts w:ascii="Arial" w:hAnsi="Arial" w:cs="Arial"/>
                <w:bCs/>
              </w:rPr>
              <w:t>mulative</w:t>
            </w:r>
            <w:r w:rsidR="00EB5F51">
              <w:rPr>
                <w:rFonts w:ascii="Arial" w:hAnsi="Arial" w:cs="Arial"/>
                <w:bCs/>
              </w:rPr>
              <w:t xml:space="preserve"> impact to the organisation if underspend continued in </w:t>
            </w:r>
            <w:r w:rsidR="00CA276C">
              <w:rPr>
                <w:rFonts w:ascii="Arial" w:hAnsi="Arial" w:cs="Arial"/>
                <w:bCs/>
              </w:rPr>
              <w:t>the areas of science and research.</w:t>
            </w:r>
          </w:p>
          <w:p w14:paraId="5C48B7FD" w14:textId="2EEF68D2" w:rsidR="00F773CB" w:rsidRDefault="00F773CB" w:rsidP="00F773CB">
            <w:pPr>
              <w:pStyle w:val="ListParagraph"/>
              <w:tabs>
                <w:tab w:val="left" w:pos="5347"/>
              </w:tabs>
              <w:ind w:left="714"/>
              <w:jc w:val="right"/>
              <w:rPr>
                <w:rFonts w:ascii="Arial" w:hAnsi="Arial" w:cs="Arial"/>
                <w:b/>
              </w:rPr>
            </w:pPr>
            <w:r w:rsidRPr="00F773CB">
              <w:rPr>
                <w:rFonts w:ascii="Arial" w:hAnsi="Arial" w:cs="Arial"/>
                <w:b/>
              </w:rPr>
              <w:t>Action: Mark Foy</w:t>
            </w:r>
            <w:r w:rsidR="00617571">
              <w:rPr>
                <w:rFonts w:ascii="Arial" w:hAnsi="Arial" w:cs="Arial"/>
                <w:b/>
              </w:rPr>
              <w:t xml:space="preserve"> to share with Board members an updated </w:t>
            </w:r>
            <w:r w:rsidR="00617571" w:rsidRPr="00617571">
              <w:rPr>
                <w:rFonts w:ascii="Arial" w:hAnsi="Arial" w:cs="Arial"/>
                <w:b/>
              </w:rPr>
              <w:t>ONR FY FTE Movement</w:t>
            </w:r>
            <w:r w:rsidR="00617571">
              <w:rPr>
                <w:rFonts w:ascii="Arial" w:hAnsi="Arial" w:cs="Arial"/>
                <w:b/>
              </w:rPr>
              <w:t xml:space="preserve"> graph that provides better clarity</w:t>
            </w:r>
            <w:r w:rsidR="00062586">
              <w:rPr>
                <w:rFonts w:ascii="Arial" w:hAnsi="Arial" w:cs="Arial"/>
                <w:b/>
              </w:rPr>
              <w:t xml:space="preserve"> to Board members</w:t>
            </w:r>
            <w:r w:rsidR="00B437C2">
              <w:rPr>
                <w:rFonts w:ascii="Arial" w:hAnsi="Arial" w:cs="Arial"/>
                <w:b/>
              </w:rPr>
              <w:t>.</w:t>
            </w:r>
          </w:p>
          <w:p w14:paraId="5D029DB3" w14:textId="496230A4" w:rsidR="00286448" w:rsidRPr="00F773CB" w:rsidRDefault="00286448" w:rsidP="00F773CB">
            <w:pPr>
              <w:pStyle w:val="ListParagraph"/>
              <w:tabs>
                <w:tab w:val="left" w:pos="5347"/>
              </w:tabs>
              <w:ind w:left="714"/>
              <w:jc w:val="right"/>
              <w:rPr>
                <w:rFonts w:ascii="Arial" w:hAnsi="Arial" w:cs="Arial"/>
                <w:b/>
              </w:rPr>
            </w:pPr>
          </w:p>
        </w:tc>
      </w:tr>
      <w:tr w:rsidR="00386D06" w:rsidRPr="00D901A4" w14:paraId="59066760" w14:textId="77777777" w:rsidTr="006159E8">
        <w:trPr>
          <w:trHeight w:val="399"/>
        </w:trPr>
        <w:tc>
          <w:tcPr>
            <w:tcW w:w="1141" w:type="dxa"/>
          </w:tcPr>
          <w:p w14:paraId="1344643A" w14:textId="45ADCAE0" w:rsidR="00386D06" w:rsidRPr="00386D06" w:rsidRDefault="00386D06" w:rsidP="00E2267D">
            <w:pPr>
              <w:tabs>
                <w:tab w:val="left" w:pos="5347"/>
              </w:tabs>
              <w:rPr>
                <w:rFonts w:ascii="Arial" w:hAnsi="Arial" w:cs="Arial"/>
              </w:rPr>
            </w:pPr>
            <w:r w:rsidRPr="00386D06">
              <w:rPr>
                <w:rFonts w:ascii="Arial" w:hAnsi="Arial" w:cs="Arial"/>
              </w:rPr>
              <w:lastRenderedPageBreak/>
              <w:t>6.6</w:t>
            </w:r>
          </w:p>
        </w:tc>
        <w:tc>
          <w:tcPr>
            <w:tcW w:w="7875" w:type="dxa"/>
          </w:tcPr>
          <w:p w14:paraId="41C5B6E6" w14:textId="6A5411E3" w:rsidR="00386D06" w:rsidRPr="00386D06" w:rsidRDefault="00386D06" w:rsidP="00B76C97">
            <w:pPr>
              <w:tabs>
                <w:tab w:val="left" w:pos="5347"/>
              </w:tabs>
              <w:rPr>
                <w:rFonts w:ascii="Arial" w:hAnsi="Arial" w:cs="Arial"/>
                <w:bCs/>
              </w:rPr>
            </w:pPr>
            <w:r>
              <w:rPr>
                <w:rFonts w:ascii="Arial" w:hAnsi="Arial" w:cs="Arial"/>
                <w:bCs/>
              </w:rPr>
              <w:t xml:space="preserve">The </w:t>
            </w:r>
            <w:r w:rsidR="00E97D34">
              <w:rPr>
                <w:rFonts w:ascii="Arial" w:hAnsi="Arial" w:cs="Arial"/>
                <w:bCs/>
              </w:rPr>
              <w:t>Board thanked Kat</w:t>
            </w:r>
            <w:r w:rsidR="00062586">
              <w:rPr>
                <w:rFonts w:ascii="Arial" w:hAnsi="Arial" w:cs="Arial"/>
                <w:bCs/>
              </w:rPr>
              <w:t>ie</w:t>
            </w:r>
            <w:r w:rsidR="00E97D34">
              <w:rPr>
                <w:rFonts w:ascii="Arial" w:hAnsi="Arial" w:cs="Arial"/>
                <w:bCs/>
              </w:rPr>
              <w:t xml:space="preserve"> for the update and noted the report.</w:t>
            </w:r>
          </w:p>
        </w:tc>
      </w:tr>
      <w:tr w:rsidR="004057BA" w:rsidRPr="00D901A4" w14:paraId="0246ABD7" w14:textId="77777777" w:rsidTr="006159E8">
        <w:trPr>
          <w:trHeight w:val="399"/>
        </w:trPr>
        <w:tc>
          <w:tcPr>
            <w:tcW w:w="1141" w:type="dxa"/>
          </w:tcPr>
          <w:p w14:paraId="1C854729" w14:textId="609D411C" w:rsidR="004057BA" w:rsidRPr="004057BA" w:rsidRDefault="004057BA" w:rsidP="00E2267D">
            <w:pPr>
              <w:tabs>
                <w:tab w:val="left" w:pos="5347"/>
              </w:tabs>
              <w:rPr>
                <w:rFonts w:ascii="Arial" w:hAnsi="Arial" w:cs="Arial"/>
                <w:b/>
                <w:bCs/>
              </w:rPr>
            </w:pPr>
            <w:r w:rsidRPr="004057BA">
              <w:rPr>
                <w:rFonts w:ascii="Arial" w:hAnsi="Arial" w:cs="Arial"/>
                <w:b/>
                <w:bCs/>
              </w:rPr>
              <w:t>7</w:t>
            </w:r>
          </w:p>
        </w:tc>
        <w:tc>
          <w:tcPr>
            <w:tcW w:w="7875" w:type="dxa"/>
          </w:tcPr>
          <w:p w14:paraId="1803FA88" w14:textId="77777777" w:rsidR="00B76C97" w:rsidRPr="00B76C97" w:rsidRDefault="00B76C97" w:rsidP="00B76C97">
            <w:pPr>
              <w:tabs>
                <w:tab w:val="left" w:pos="5347"/>
              </w:tabs>
              <w:rPr>
                <w:rFonts w:ascii="Arial" w:hAnsi="Arial" w:cs="Arial"/>
                <w:b/>
              </w:rPr>
            </w:pPr>
            <w:r w:rsidRPr="00B76C97">
              <w:rPr>
                <w:rFonts w:ascii="Arial" w:hAnsi="Arial" w:cs="Arial"/>
                <w:b/>
              </w:rPr>
              <w:t>Risk Management and Annual Review of Strategic Risk</w:t>
            </w:r>
          </w:p>
          <w:p w14:paraId="3340779A" w14:textId="77777777" w:rsidR="004057BA" w:rsidRDefault="00B76C97" w:rsidP="00B76C97">
            <w:pPr>
              <w:tabs>
                <w:tab w:val="left" w:pos="5347"/>
              </w:tabs>
              <w:rPr>
                <w:rFonts w:ascii="Arial" w:hAnsi="Arial" w:cs="Arial"/>
                <w:b/>
              </w:rPr>
            </w:pPr>
            <w:r w:rsidRPr="00B76C97">
              <w:rPr>
                <w:rFonts w:ascii="Arial" w:hAnsi="Arial" w:cs="Arial"/>
                <w:b/>
              </w:rPr>
              <w:t>Register</w:t>
            </w:r>
          </w:p>
          <w:p w14:paraId="4007B20E" w14:textId="6BAEE202" w:rsidR="00286448" w:rsidRPr="00D901A4" w:rsidRDefault="00286448" w:rsidP="00B76C97">
            <w:pPr>
              <w:tabs>
                <w:tab w:val="left" w:pos="5347"/>
              </w:tabs>
              <w:rPr>
                <w:rFonts w:ascii="Arial" w:hAnsi="Arial" w:cs="Arial"/>
                <w:bCs/>
              </w:rPr>
            </w:pPr>
          </w:p>
        </w:tc>
      </w:tr>
      <w:tr w:rsidR="004057BA" w:rsidRPr="00D901A4" w14:paraId="1E44B120" w14:textId="77777777" w:rsidTr="006159E8">
        <w:trPr>
          <w:trHeight w:val="399"/>
        </w:trPr>
        <w:tc>
          <w:tcPr>
            <w:tcW w:w="1141" w:type="dxa"/>
          </w:tcPr>
          <w:p w14:paraId="0FD0E3A9" w14:textId="3BC35640" w:rsidR="004057BA" w:rsidRDefault="004057BA" w:rsidP="00E2267D">
            <w:pPr>
              <w:tabs>
                <w:tab w:val="left" w:pos="5347"/>
              </w:tabs>
              <w:rPr>
                <w:rFonts w:ascii="Arial" w:hAnsi="Arial" w:cs="Arial"/>
              </w:rPr>
            </w:pPr>
            <w:r>
              <w:rPr>
                <w:rFonts w:ascii="Arial" w:hAnsi="Arial" w:cs="Arial"/>
              </w:rPr>
              <w:t>7.1</w:t>
            </w:r>
          </w:p>
        </w:tc>
        <w:tc>
          <w:tcPr>
            <w:tcW w:w="7875" w:type="dxa"/>
          </w:tcPr>
          <w:p w14:paraId="2E25640A" w14:textId="77777777" w:rsidR="00797A2D" w:rsidRDefault="005A32FA" w:rsidP="007B52E5">
            <w:pPr>
              <w:rPr>
                <w:rFonts w:ascii="Arial" w:hAnsi="Arial" w:cs="Arial"/>
                <w:bCs/>
              </w:rPr>
            </w:pPr>
            <w:r>
              <w:rPr>
                <w:rFonts w:ascii="Arial" w:hAnsi="Arial" w:cs="Arial"/>
                <w:bCs/>
              </w:rPr>
              <w:t xml:space="preserve">The Head of Risk and Assurance </w:t>
            </w:r>
            <w:r w:rsidR="001F29C7">
              <w:rPr>
                <w:rFonts w:ascii="Arial" w:hAnsi="Arial" w:cs="Arial"/>
                <w:bCs/>
              </w:rPr>
              <w:t>introduced the item which</w:t>
            </w:r>
            <w:r w:rsidR="007B52E5">
              <w:rPr>
                <w:rFonts w:ascii="Arial" w:hAnsi="Arial" w:cs="Arial"/>
                <w:bCs/>
              </w:rPr>
              <w:t xml:space="preserve"> provided an update on</w:t>
            </w:r>
            <w:r w:rsidR="001F29C7">
              <w:rPr>
                <w:rFonts w:ascii="Arial" w:hAnsi="Arial" w:cs="Arial"/>
                <w:bCs/>
              </w:rPr>
              <w:t xml:space="preserve"> </w:t>
            </w:r>
            <w:r w:rsidR="007B52E5" w:rsidRPr="007B52E5">
              <w:rPr>
                <w:rFonts w:ascii="Arial" w:hAnsi="Arial" w:cs="Arial"/>
                <w:bCs/>
              </w:rPr>
              <w:t>the current</w:t>
            </w:r>
            <w:r w:rsidR="007B52E5">
              <w:rPr>
                <w:rFonts w:ascii="Arial" w:hAnsi="Arial" w:cs="Arial"/>
                <w:bCs/>
              </w:rPr>
              <w:t xml:space="preserve"> </w:t>
            </w:r>
            <w:r w:rsidR="007B52E5" w:rsidRPr="007B52E5">
              <w:rPr>
                <w:rFonts w:ascii="Arial" w:hAnsi="Arial" w:cs="Arial"/>
                <w:bCs/>
              </w:rPr>
              <w:t>status of risk management within ONR.</w:t>
            </w:r>
          </w:p>
          <w:p w14:paraId="5BBA89C8" w14:textId="19901E55" w:rsidR="00062586" w:rsidRPr="00D901A4" w:rsidRDefault="00062586" w:rsidP="007B52E5">
            <w:pPr>
              <w:rPr>
                <w:rFonts w:ascii="Arial" w:hAnsi="Arial" w:cs="Arial"/>
                <w:bCs/>
              </w:rPr>
            </w:pPr>
          </w:p>
        </w:tc>
      </w:tr>
      <w:tr w:rsidR="009B3F65" w:rsidRPr="00D901A4" w14:paraId="512BF43B" w14:textId="77777777" w:rsidTr="006159E8">
        <w:trPr>
          <w:trHeight w:val="399"/>
        </w:trPr>
        <w:tc>
          <w:tcPr>
            <w:tcW w:w="1141" w:type="dxa"/>
          </w:tcPr>
          <w:p w14:paraId="1C2AF369" w14:textId="2AA660C5" w:rsidR="009B3F65" w:rsidRDefault="006833FD" w:rsidP="00E2267D">
            <w:pPr>
              <w:tabs>
                <w:tab w:val="left" w:pos="5347"/>
              </w:tabs>
              <w:rPr>
                <w:rFonts w:ascii="Arial" w:hAnsi="Arial" w:cs="Arial"/>
              </w:rPr>
            </w:pPr>
            <w:r>
              <w:rPr>
                <w:rFonts w:ascii="Arial" w:hAnsi="Arial" w:cs="Arial"/>
              </w:rPr>
              <w:t>7.2</w:t>
            </w:r>
          </w:p>
        </w:tc>
        <w:tc>
          <w:tcPr>
            <w:tcW w:w="7875" w:type="dxa"/>
          </w:tcPr>
          <w:p w14:paraId="3C6D7D8C" w14:textId="40EE7C9D" w:rsidR="00797A2D" w:rsidRDefault="005910CF" w:rsidP="00B76C97">
            <w:pPr>
              <w:rPr>
                <w:rFonts w:asciiTheme="minorBidi" w:hAnsiTheme="minorBidi"/>
              </w:rPr>
            </w:pPr>
            <w:r w:rsidRPr="005910CF">
              <w:rPr>
                <w:rFonts w:asciiTheme="minorBidi" w:hAnsiTheme="minorBidi"/>
              </w:rPr>
              <w:t xml:space="preserve">The Chair </w:t>
            </w:r>
            <w:r w:rsidR="00062586">
              <w:rPr>
                <w:rFonts w:asciiTheme="minorBidi" w:hAnsiTheme="minorBidi"/>
              </w:rPr>
              <w:t xml:space="preserve">highlighted that it was important for the Board to </w:t>
            </w:r>
            <w:r w:rsidRPr="005910CF">
              <w:rPr>
                <w:rFonts w:asciiTheme="minorBidi" w:hAnsiTheme="minorBidi"/>
              </w:rPr>
              <w:t>consider the profile that they wanted the subject to have at Board. Although a lot of the oversight of risk management was delegated to the Audit, Risk and Assurance Committee (ARAC), it was important that the Board had an active role in considering what the risks and controls are.</w:t>
            </w:r>
          </w:p>
          <w:p w14:paraId="36C8D1F8" w14:textId="4913F21D" w:rsidR="005910CF" w:rsidRDefault="005910CF" w:rsidP="00B76C97">
            <w:pPr>
              <w:rPr>
                <w:rFonts w:asciiTheme="minorBidi" w:hAnsiTheme="minorBidi"/>
              </w:rPr>
            </w:pPr>
          </w:p>
        </w:tc>
      </w:tr>
      <w:tr w:rsidR="00A6618A" w:rsidRPr="00D901A4" w14:paraId="72C9A7E2" w14:textId="77777777" w:rsidTr="006159E8">
        <w:trPr>
          <w:trHeight w:val="399"/>
        </w:trPr>
        <w:tc>
          <w:tcPr>
            <w:tcW w:w="1141" w:type="dxa"/>
          </w:tcPr>
          <w:p w14:paraId="3C9D54D1" w14:textId="0C249A32" w:rsidR="00A6618A" w:rsidRDefault="0039145B" w:rsidP="00E2267D">
            <w:pPr>
              <w:tabs>
                <w:tab w:val="left" w:pos="5347"/>
              </w:tabs>
              <w:rPr>
                <w:rFonts w:ascii="Arial" w:hAnsi="Arial" w:cs="Arial"/>
              </w:rPr>
            </w:pPr>
            <w:r>
              <w:rPr>
                <w:rFonts w:ascii="Arial" w:hAnsi="Arial" w:cs="Arial"/>
              </w:rPr>
              <w:t>7.3</w:t>
            </w:r>
          </w:p>
        </w:tc>
        <w:tc>
          <w:tcPr>
            <w:tcW w:w="7875" w:type="dxa"/>
          </w:tcPr>
          <w:p w14:paraId="3D3A6F3B" w14:textId="5787C853" w:rsidR="00A6618A" w:rsidRDefault="0039145B" w:rsidP="00A6618A">
            <w:pPr>
              <w:rPr>
                <w:rFonts w:asciiTheme="minorBidi" w:hAnsiTheme="minorBidi"/>
              </w:rPr>
            </w:pPr>
            <w:r>
              <w:rPr>
                <w:rFonts w:ascii="Arial" w:hAnsi="Arial" w:cs="Arial"/>
                <w:bCs/>
              </w:rPr>
              <w:t>The Head of Risk and Assurance</w:t>
            </w:r>
            <w:r w:rsidR="00A6618A">
              <w:rPr>
                <w:rFonts w:asciiTheme="minorBidi" w:hAnsiTheme="minorBidi"/>
              </w:rPr>
              <w:t xml:space="preserve"> reported that there had been substantial improvements in risk management within ONR over the last 12 months but there was more to do to embed it within the organisation. Over the last year, risk processes had reduced internally and the risk profile across ONR had increased, particularly at an operational level. Training had been increased across the organisation and the team had implemented </w:t>
            </w:r>
            <w:r w:rsidR="00A6618A" w:rsidRPr="00692B29">
              <w:rPr>
                <w:rFonts w:asciiTheme="minorBidi" w:hAnsiTheme="minorBidi"/>
              </w:rPr>
              <w:t>critical control testing</w:t>
            </w:r>
            <w:r w:rsidR="00A6618A">
              <w:rPr>
                <w:rFonts w:asciiTheme="minorBidi" w:hAnsiTheme="minorBidi"/>
              </w:rPr>
              <w:t xml:space="preserve"> in line with the Orange Book.</w:t>
            </w:r>
          </w:p>
          <w:p w14:paraId="7ACBAD70" w14:textId="77777777" w:rsidR="00A6618A" w:rsidRDefault="00A6618A" w:rsidP="005A32FA">
            <w:pPr>
              <w:rPr>
                <w:rFonts w:ascii="Arial" w:hAnsi="Arial" w:cs="Arial"/>
                <w:bCs/>
              </w:rPr>
            </w:pPr>
          </w:p>
        </w:tc>
      </w:tr>
      <w:tr w:rsidR="005A32FA" w:rsidRPr="00D901A4" w14:paraId="13EE18BF" w14:textId="77777777" w:rsidTr="006159E8">
        <w:trPr>
          <w:trHeight w:val="399"/>
        </w:trPr>
        <w:tc>
          <w:tcPr>
            <w:tcW w:w="1141" w:type="dxa"/>
          </w:tcPr>
          <w:p w14:paraId="4F55A410" w14:textId="674F63CE" w:rsidR="005A32FA" w:rsidRDefault="00062586" w:rsidP="00E2267D">
            <w:pPr>
              <w:tabs>
                <w:tab w:val="left" w:pos="5347"/>
              </w:tabs>
              <w:rPr>
                <w:rFonts w:ascii="Arial" w:hAnsi="Arial" w:cs="Arial"/>
              </w:rPr>
            </w:pPr>
            <w:r>
              <w:rPr>
                <w:rFonts w:ascii="Arial" w:hAnsi="Arial" w:cs="Arial"/>
              </w:rPr>
              <w:t>7.</w:t>
            </w:r>
            <w:r w:rsidR="0039145B">
              <w:rPr>
                <w:rFonts w:ascii="Arial" w:hAnsi="Arial" w:cs="Arial"/>
              </w:rPr>
              <w:t>4</w:t>
            </w:r>
          </w:p>
        </w:tc>
        <w:tc>
          <w:tcPr>
            <w:tcW w:w="7875" w:type="dxa"/>
          </w:tcPr>
          <w:p w14:paraId="30381E6C" w14:textId="78BD27D1" w:rsidR="005A32FA" w:rsidRDefault="0039145B" w:rsidP="005A32FA">
            <w:pPr>
              <w:rPr>
                <w:rFonts w:asciiTheme="minorBidi" w:hAnsiTheme="minorBidi"/>
              </w:rPr>
            </w:pPr>
            <w:r>
              <w:rPr>
                <w:rFonts w:asciiTheme="minorBidi" w:hAnsiTheme="minorBidi"/>
              </w:rPr>
              <w:t xml:space="preserve">She </w:t>
            </w:r>
            <w:r w:rsidR="005A32FA">
              <w:rPr>
                <w:rFonts w:asciiTheme="minorBidi" w:hAnsiTheme="minorBidi"/>
              </w:rPr>
              <w:t>reported that steps for the next year were to continue embedding risk management across the organisation, embedding risk within higher governance levels and</w:t>
            </w:r>
            <w:r>
              <w:rPr>
                <w:rFonts w:asciiTheme="minorBidi" w:hAnsiTheme="minorBidi"/>
              </w:rPr>
              <w:t xml:space="preserve"> the</w:t>
            </w:r>
            <w:r w:rsidR="005A32FA">
              <w:rPr>
                <w:rFonts w:asciiTheme="minorBidi" w:hAnsiTheme="minorBidi"/>
              </w:rPr>
              <w:t xml:space="preserve"> identification of strategic risks which had been static over a number of years. </w:t>
            </w:r>
          </w:p>
          <w:p w14:paraId="2383D77A" w14:textId="77777777" w:rsidR="005A32FA" w:rsidRDefault="005A32FA" w:rsidP="00517447">
            <w:pPr>
              <w:rPr>
                <w:rFonts w:asciiTheme="minorBidi" w:hAnsiTheme="minorBidi"/>
              </w:rPr>
            </w:pPr>
          </w:p>
        </w:tc>
      </w:tr>
      <w:tr w:rsidR="005A32FA" w:rsidRPr="00D901A4" w14:paraId="2BA382A8" w14:textId="77777777" w:rsidTr="006159E8">
        <w:trPr>
          <w:trHeight w:val="399"/>
        </w:trPr>
        <w:tc>
          <w:tcPr>
            <w:tcW w:w="1141" w:type="dxa"/>
          </w:tcPr>
          <w:p w14:paraId="171A0B4F" w14:textId="13125EA3" w:rsidR="005A32FA" w:rsidRDefault="00062586" w:rsidP="00E2267D">
            <w:pPr>
              <w:tabs>
                <w:tab w:val="left" w:pos="5347"/>
              </w:tabs>
              <w:rPr>
                <w:rFonts w:ascii="Arial" w:hAnsi="Arial" w:cs="Arial"/>
              </w:rPr>
            </w:pPr>
            <w:r>
              <w:rPr>
                <w:rFonts w:ascii="Arial" w:hAnsi="Arial" w:cs="Arial"/>
              </w:rPr>
              <w:lastRenderedPageBreak/>
              <w:t>7.5</w:t>
            </w:r>
          </w:p>
        </w:tc>
        <w:tc>
          <w:tcPr>
            <w:tcW w:w="7875" w:type="dxa"/>
          </w:tcPr>
          <w:p w14:paraId="3AD836AE" w14:textId="2E90A098" w:rsidR="005A32FA" w:rsidRDefault="005A32FA" w:rsidP="005A32FA">
            <w:pPr>
              <w:rPr>
                <w:rFonts w:asciiTheme="minorBidi" w:hAnsiTheme="minorBidi"/>
              </w:rPr>
            </w:pPr>
            <w:r w:rsidRPr="00C5616B">
              <w:rPr>
                <w:rFonts w:asciiTheme="minorBidi" w:hAnsiTheme="minorBidi"/>
              </w:rPr>
              <w:t>Recognising the necessity for a more dynamic and robust risk management</w:t>
            </w:r>
            <w:r>
              <w:rPr>
                <w:rFonts w:asciiTheme="minorBidi" w:hAnsiTheme="minorBidi"/>
              </w:rPr>
              <w:t xml:space="preserve"> </w:t>
            </w:r>
            <w:r w:rsidRPr="00C5616B">
              <w:rPr>
                <w:rFonts w:asciiTheme="minorBidi" w:hAnsiTheme="minorBidi"/>
              </w:rPr>
              <w:t xml:space="preserve">approach, </w:t>
            </w:r>
            <w:r>
              <w:rPr>
                <w:rFonts w:asciiTheme="minorBidi" w:hAnsiTheme="minorBidi"/>
              </w:rPr>
              <w:t xml:space="preserve">she reported that </w:t>
            </w:r>
            <w:r w:rsidRPr="00C5616B">
              <w:rPr>
                <w:rFonts w:asciiTheme="minorBidi" w:hAnsiTheme="minorBidi"/>
              </w:rPr>
              <w:t xml:space="preserve">ONR </w:t>
            </w:r>
            <w:r>
              <w:rPr>
                <w:rFonts w:asciiTheme="minorBidi" w:hAnsiTheme="minorBidi"/>
              </w:rPr>
              <w:t xml:space="preserve">had </w:t>
            </w:r>
            <w:r w:rsidRPr="00C5616B">
              <w:rPr>
                <w:rFonts w:asciiTheme="minorBidi" w:hAnsiTheme="minorBidi"/>
              </w:rPr>
              <w:t xml:space="preserve">initiated a zero-based review to comprehensively reassess </w:t>
            </w:r>
            <w:r w:rsidR="0039145B">
              <w:rPr>
                <w:rFonts w:asciiTheme="minorBidi" w:hAnsiTheme="minorBidi"/>
              </w:rPr>
              <w:t>ONR’s</w:t>
            </w:r>
            <w:r w:rsidRPr="00C5616B">
              <w:rPr>
                <w:rFonts w:asciiTheme="minorBidi" w:hAnsiTheme="minorBidi"/>
              </w:rPr>
              <w:t xml:space="preserve"> risk landscape.</w:t>
            </w:r>
          </w:p>
          <w:p w14:paraId="5D3093D0" w14:textId="77777777" w:rsidR="005A32FA" w:rsidRDefault="005A32FA" w:rsidP="004057BA">
            <w:pPr>
              <w:rPr>
                <w:rFonts w:asciiTheme="minorBidi" w:hAnsiTheme="minorBidi"/>
              </w:rPr>
            </w:pPr>
          </w:p>
        </w:tc>
      </w:tr>
      <w:tr w:rsidR="004057BA" w:rsidRPr="00D901A4" w14:paraId="47F6B342" w14:textId="77777777" w:rsidTr="006159E8">
        <w:trPr>
          <w:trHeight w:val="399"/>
        </w:trPr>
        <w:tc>
          <w:tcPr>
            <w:tcW w:w="1141" w:type="dxa"/>
          </w:tcPr>
          <w:p w14:paraId="5DA4E045" w14:textId="2726859F" w:rsidR="004057BA" w:rsidRDefault="004057BA" w:rsidP="00E2267D">
            <w:pPr>
              <w:tabs>
                <w:tab w:val="left" w:pos="5347"/>
              </w:tabs>
              <w:rPr>
                <w:rFonts w:ascii="Arial" w:hAnsi="Arial" w:cs="Arial"/>
              </w:rPr>
            </w:pPr>
            <w:r>
              <w:rPr>
                <w:rFonts w:ascii="Arial" w:hAnsi="Arial" w:cs="Arial"/>
              </w:rPr>
              <w:t>7.</w:t>
            </w:r>
            <w:r w:rsidR="00062586">
              <w:rPr>
                <w:rFonts w:ascii="Arial" w:hAnsi="Arial" w:cs="Arial"/>
              </w:rPr>
              <w:t>6</w:t>
            </w:r>
          </w:p>
        </w:tc>
        <w:tc>
          <w:tcPr>
            <w:tcW w:w="7875" w:type="dxa"/>
          </w:tcPr>
          <w:p w14:paraId="177A7802" w14:textId="77777777" w:rsidR="004057BA" w:rsidRDefault="004057BA" w:rsidP="004057BA">
            <w:pPr>
              <w:rPr>
                <w:rFonts w:asciiTheme="minorBidi" w:hAnsiTheme="minorBidi"/>
              </w:rPr>
            </w:pPr>
            <w:r>
              <w:rPr>
                <w:rFonts w:asciiTheme="minorBidi" w:hAnsiTheme="minorBidi"/>
              </w:rPr>
              <w:t>In discussion the Board:</w:t>
            </w:r>
          </w:p>
          <w:p w14:paraId="505AAFCE" w14:textId="77777777" w:rsidR="004057BA" w:rsidRDefault="004057BA" w:rsidP="004057BA">
            <w:pPr>
              <w:rPr>
                <w:rFonts w:asciiTheme="minorBidi" w:hAnsiTheme="minorBidi"/>
              </w:rPr>
            </w:pPr>
          </w:p>
          <w:p w14:paraId="11CB01C4" w14:textId="77777777" w:rsidR="004632CD" w:rsidRDefault="004632CD" w:rsidP="006C1D76">
            <w:pPr>
              <w:pStyle w:val="ListParagraph"/>
              <w:numPr>
                <w:ilvl w:val="0"/>
                <w:numId w:val="4"/>
              </w:numPr>
              <w:rPr>
                <w:rFonts w:asciiTheme="minorBidi" w:hAnsiTheme="minorBidi"/>
              </w:rPr>
            </w:pPr>
            <w:r w:rsidRPr="004632CD">
              <w:rPr>
                <w:rFonts w:asciiTheme="minorBidi" w:hAnsiTheme="minorBidi"/>
              </w:rPr>
              <w:t>Noted the development of a procedural document for managing risks, tailored to ONR that would support training at an operational level.</w:t>
            </w:r>
          </w:p>
          <w:p w14:paraId="1A3CAC42" w14:textId="6F8F284A" w:rsidR="004632CD" w:rsidRDefault="004632CD" w:rsidP="006C1D76">
            <w:pPr>
              <w:pStyle w:val="ListParagraph"/>
              <w:numPr>
                <w:ilvl w:val="0"/>
                <w:numId w:val="4"/>
              </w:numPr>
              <w:rPr>
                <w:rFonts w:asciiTheme="minorBidi" w:hAnsiTheme="minorBidi"/>
              </w:rPr>
            </w:pPr>
            <w:r w:rsidRPr="004632CD">
              <w:rPr>
                <w:rFonts w:asciiTheme="minorBidi" w:hAnsiTheme="minorBidi"/>
              </w:rPr>
              <w:t xml:space="preserve">Noted the ‘Risk in the Boardroom’ training for Directors being delivered by the Institute of Risk </w:t>
            </w:r>
            <w:r w:rsidR="00001205">
              <w:rPr>
                <w:rFonts w:asciiTheme="minorBidi" w:hAnsiTheme="minorBidi"/>
              </w:rPr>
              <w:t>M</w:t>
            </w:r>
            <w:r w:rsidRPr="004632CD">
              <w:rPr>
                <w:rFonts w:asciiTheme="minorBidi" w:hAnsiTheme="minorBidi"/>
              </w:rPr>
              <w:t>anagement and discussed the benefit of Board members joining this training to show their support for the importance of the topic.</w:t>
            </w:r>
          </w:p>
          <w:p w14:paraId="359D334D" w14:textId="77777777" w:rsidR="004632CD" w:rsidRDefault="004632CD" w:rsidP="006C1D76">
            <w:pPr>
              <w:pStyle w:val="ListParagraph"/>
              <w:numPr>
                <w:ilvl w:val="0"/>
                <w:numId w:val="4"/>
              </w:numPr>
              <w:rPr>
                <w:rFonts w:asciiTheme="minorBidi" w:hAnsiTheme="minorBidi"/>
              </w:rPr>
            </w:pPr>
            <w:r w:rsidRPr="004632CD">
              <w:rPr>
                <w:rFonts w:asciiTheme="minorBidi" w:hAnsiTheme="minorBidi"/>
              </w:rPr>
              <w:t>Noted that board papers did not routinely reflect which strategic risks they were aligned to. This could be a useful lens for future board papers.</w:t>
            </w:r>
          </w:p>
          <w:p w14:paraId="7888A42E" w14:textId="77777777" w:rsidR="004632CD" w:rsidRDefault="004632CD" w:rsidP="006C1D76">
            <w:pPr>
              <w:pStyle w:val="ListParagraph"/>
              <w:numPr>
                <w:ilvl w:val="0"/>
                <w:numId w:val="4"/>
              </w:numPr>
              <w:rPr>
                <w:rFonts w:asciiTheme="minorBidi" w:hAnsiTheme="minorBidi"/>
              </w:rPr>
            </w:pPr>
            <w:r w:rsidRPr="004632CD">
              <w:rPr>
                <w:rFonts w:asciiTheme="minorBidi" w:hAnsiTheme="minorBidi"/>
              </w:rPr>
              <w:t>Questioned whether decisions at a local level were considering the organisation’s risk appetite.</w:t>
            </w:r>
          </w:p>
          <w:p w14:paraId="41A579CB" w14:textId="77777777" w:rsidR="004632CD" w:rsidRDefault="004632CD" w:rsidP="006C1D76">
            <w:pPr>
              <w:pStyle w:val="ListParagraph"/>
              <w:numPr>
                <w:ilvl w:val="0"/>
                <w:numId w:val="4"/>
              </w:numPr>
              <w:rPr>
                <w:rFonts w:asciiTheme="minorBidi" w:hAnsiTheme="minorBidi"/>
              </w:rPr>
            </w:pPr>
            <w:r w:rsidRPr="004632CD">
              <w:rPr>
                <w:rFonts w:asciiTheme="minorBidi" w:hAnsiTheme="minorBidi"/>
              </w:rPr>
              <w:t>Noted the ARAC discussion on the zero based review.</w:t>
            </w:r>
          </w:p>
          <w:p w14:paraId="5D1F35D5" w14:textId="77777777" w:rsidR="003A0933" w:rsidRDefault="004632CD" w:rsidP="006C1D76">
            <w:pPr>
              <w:pStyle w:val="ListParagraph"/>
              <w:numPr>
                <w:ilvl w:val="0"/>
                <w:numId w:val="4"/>
              </w:numPr>
              <w:rPr>
                <w:rFonts w:asciiTheme="minorBidi" w:hAnsiTheme="minorBidi"/>
              </w:rPr>
            </w:pPr>
            <w:r w:rsidRPr="004632CD">
              <w:rPr>
                <w:rFonts w:asciiTheme="minorBidi" w:hAnsiTheme="minorBidi"/>
              </w:rPr>
              <w:t>Noted the need for better discipline in the Board identifying strategic risks which could reflect back onto the risk register.</w:t>
            </w:r>
          </w:p>
          <w:p w14:paraId="6DC9B678" w14:textId="6125B018" w:rsidR="003A0933" w:rsidRDefault="003A0933" w:rsidP="006C1D76">
            <w:pPr>
              <w:pStyle w:val="ListParagraph"/>
              <w:numPr>
                <w:ilvl w:val="0"/>
                <w:numId w:val="4"/>
              </w:numPr>
              <w:rPr>
                <w:rFonts w:asciiTheme="minorBidi" w:hAnsiTheme="minorBidi"/>
              </w:rPr>
            </w:pPr>
            <w:r>
              <w:rPr>
                <w:rFonts w:asciiTheme="minorBidi" w:hAnsiTheme="minorBidi"/>
              </w:rPr>
              <w:t>Noted the process for de-escalating risks from the strategic risk register</w:t>
            </w:r>
            <w:r w:rsidR="000F5B1E">
              <w:rPr>
                <w:rFonts w:asciiTheme="minorBidi" w:hAnsiTheme="minorBidi"/>
              </w:rPr>
              <w:t xml:space="preserve"> but are kept in view</w:t>
            </w:r>
            <w:r w:rsidR="003529E8">
              <w:rPr>
                <w:rFonts w:asciiTheme="minorBidi" w:hAnsiTheme="minorBidi"/>
              </w:rPr>
              <w:t xml:space="preserve"> and managed elsewhere</w:t>
            </w:r>
            <w:r w:rsidR="000F5B1E">
              <w:rPr>
                <w:rFonts w:asciiTheme="minorBidi" w:hAnsiTheme="minorBidi"/>
              </w:rPr>
              <w:t>.</w:t>
            </w:r>
            <w:r w:rsidR="003529E8">
              <w:rPr>
                <w:rFonts w:asciiTheme="minorBidi" w:hAnsiTheme="minorBidi"/>
              </w:rPr>
              <w:t xml:space="preserve"> There were also bubbling risks</w:t>
            </w:r>
            <w:r w:rsidR="007D3002">
              <w:rPr>
                <w:rFonts w:asciiTheme="minorBidi" w:hAnsiTheme="minorBidi"/>
              </w:rPr>
              <w:t>, high important operational risks not managed at a strategic level but important for Board to have sight of.</w:t>
            </w:r>
          </w:p>
          <w:p w14:paraId="138A97A5" w14:textId="13CCC0BA" w:rsidR="00EC4D68" w:rsidRDefault="00EC4D68" w:rsidP="006C1D76">
            <w:pPr>
              <w:pStyle w:val="ListParagraph"/>
              <w:numPr>
                <w:ilvl w:val="0"/>
                <w:numId w:val="4"/>
              </w:numPr>
              <w:rPr>
                <w:rFonts w:asciiTheme="minorBidi" w:hAnsiTheme="minorBidi"/>
              </w:rPr>
            </w:pPr>
            <w:r w:rsidRPr="00EC4D68">
              <w:rPr>
                <w:rFonts w:asciiTheme="minorBidi" w:hAnsiTheme="minorBidi"/>
              </w:rPr>
              <w:t>Noted the risk on organisational capacity and capability and the outputs from a deep dive at SLT on this strategic risk.</w:t>
            </w:r>
          </w:p>
          <w:p w14:paraId="1C13D24F" w14:textId="4007E2ED" w:rsidR="00FD50AD" w:rsidRPr="00FD50AD" w:rsidRDefault="007742E8" w:rsidP="006C1D76">
            <w:pPr>
              <w:pStyle w:val="ListParagraph"/>
              <w:numPr>
                <w:ilvl w:val="0"/>
                <w:numId w:val="4"/>
              </w:numPr>
              <w:rPr>
                <w:rFonts w:asciiTheme="minorBidi" w:hAnsiTheme="minorBidi"/>
              </w:rPr>
            </w:pPr>
            <w:r>
              <w:rPr>
                <w:rFonts w:asciiTheme="minorBidi" w:hAnsiTheme="minorBidi"/>
              </w:rPr>
              <w:t xml:space="preserve">Noted the </w:t>
            </w:r>
            <w:r w:rsidR="00B653E3">
              <w:rPr>
                <w:rFonts w:asciiTheme="minorBidi" w:hAnsiTheme="minorBidi"/>
              </w:rPr>
              <w:t>effective change</w:t>
            </w:r>
            <w:r>
              <w:rPr>
                <w:rFonts w:asciiTheme="minorBidi" w:hAnsiTheme="minorBidi"/>
              </w:rPr>
              <w:t xml:space="preserve"> of risk ownership sitting with the</w:t>
            </w:r>
            <w:r w:rsidR="00C56C94">
              <w:rPr>
                <w:rFonts w:asciiTheme="minorBidi" w:hAnsiTheme="minorBidi"/>
              </w:rPr>
              <w:t xml:space="preserve"> SLT</w:t>
            </w:r>
            <w:r w:rsidR="00B52D21">
              <w:rPr>
                <w:rFonts w:asciiTheme="minorBidi" w:hAnsiTheme="minorBidi"/>
              </w:rPr>
              <w:t>.</w:t>
            </w:r>
          </w:p>
          <w:p w14:paraId="47BC5AC0" w14:textId="77777777" w:rsidR="003A0933" w:rsidRPr="00EC4D68" w:rsidRDefault="003A0933" w:rsidP="00EC4D68">
            <w:pPr>
              <w:rPr>
                <w:rFonts w:asciiTheme="minorBidi" w:hAnsiTheme="minorBidi"/>
              </w:rPr>
            </w:pPr>
          </w:p>
          <w:p w14:paraId="1FF24CF2" w14:textId="77777777" w:rsidR="003A0933" w:rsidRDefault="003A0933" w:rsidP="003A0933">
            <w:pPr>
              <w:jc w:val="right"/>
              <w:rPr>
                <w:rFonts w:asciiTheme="minorBidi" w:hAnsiTheme="minorBidi"/>
                <w:b/>
                <w:bCs/>
              </w:rPr>
            </w:pPr>
            <w:r w:rsidRPr="00C879CD">
              <w:rPr>
                <w:rFonts w:asciiTheme="minorBidi" w:hAnsiTheme="minorBidi"/>
                <w:b/>
                <w:bCs/>
              </w:rPr>
              <w:t>Action: Board Secretary to work with Head of Risk and Assurance on strengthening the templates for Board Papers to ensure better alignment with strategic risks and mitigations.</w:t>
            </w:r>
          </w:p>
          <w:p w14:paraId="5151C6A9" w14:textId="3B69BBB8" w:rsidR="004632CD" w:rsidRDefault="003A0933" w:rsidP="003A0933">
            <w:pPr>
              <w:jc w:val="right"/>
              <w:rPr>
                <w:rFonts w:asciiTheme="minorBidi" w:hAnsiTheme="minorBidi"/>
                <w:b/>
                <w:bCs/>
              </w:rPr>
            </w:pPr>
            <w:r>
              <w:rPr>
                <w:rFonts w:asciiTheme="minorBidi" w:hAnsiTheme="minorBidi"/>
                <w:b/>
                <w:bCs/>
              </w:rPr>
              <w:t xml:space="preserve">Action: Board Secretary to extend the invitation of the </w:t>
            </w:r>
            <w:r w:rsidR="00A86C53">
              <w:rPr>
                <w:rFonts w:asciiTheme="minorBidi" w:hAnsiTheme="minorBidi"/>
                <w:b/>
                <w:bCs/>
              </w:rPr>
              <w:t>‘</w:t>
            </w:r>
            <w:r>
              <w:rPr>
                <w:rFonts w:asciiTheme="minorBidi" w:hAnsiTheme="minorBidi"/>
                <w:b/>
                <w:bCs/>
              </w:rPr>
              <w:t>Risk in the Boardroom</w:t>
            </w:r>
            <w:r w:rsidR="00A86C53">
              <w:rPr>
                <w:rFonts w:asciiTheme="minorBidi" w:hAnsiTheme="minorBidi"/>
                <w:b/>
                <w:bCs/>
              </w:rPr>
              <w:t>’</w:t>
            </w:r>
            <w:r>
              <w:rPr>
                <w:rFonts w:asciiTheme="minorBidi" w:hAnsiTheme="minorBidi"/>
                <w:b/>
                <w:bCs/>
              </w:rPr>
              <w:t xml:space="preserve"> training to Board members.</w:t>
            </w:r>
          </w:p>
          <w:p w14:paraId="1EEF80FB" w14:textId="163C19DC" w:rsidR="00732B46" w:rsidRPr="003A0933" w:rsidRDefault="00732B46" w:rsidP="003A0933">
            <w:pPr>
              <w:jc w:val="right"/>
              <w:rPr>
                <w:rFonts w:asciiTheme="minorBidi" w:hAnsiTheme="minorBidi"/>
                <w:b/>
                <w:bCs/>
              </w:rPr>
            </w:pPr>
            <w:r w:rsidRPr="00732B46">
              <w:rPr>
                <w:rFonts w:asciiTheme="minorBidi" w:hAnsiTheme="minorBidi"/>
                <w:b/>
                <w:bCs/>
              </w:rPr>
              <w:t>Action: Board Secretary to include a space as a standing item at the end of each Board meeting to reflect any impacts on the risk register following the board discussion.</w:t>
            </w:r>
          </w:p>
          <w:p w14:paraId="193CAE48" w14:textId="36F18FE5" w:rsidR="0058785F" w:rsidRPr="0058785F" w:rsidRDefault="0058785F" w:rsidP="004632CD">
            <w:pPr>
              <w:pStyle w:val="Default"/>
              <w:adjustRightInd/>
              <w:ind w:left="1080"/>
            </w:pPr>
          </w:p>
        </w:tc>
      </w:tr>
      <w:tr w:rsidR="004057BA" w:rsidRPr="00D901A4" w14:paraId="78C7F6F3" w14:textId="77777777" w:rsidTr="006159E8">
        <w:trPr>
          <w:trHeight w:val="399"/>
        </w:trPr>
        <w:tc>
          <w:tcPr>
            <w:tcW w:w="1141" w:type="dxa"/>
          </w:tcPr>
          <w:p w14:paraId="105DBCC1" w14:textId="3A61B640" w:rsidR="004057BA" w:rsidRDefault="004057BA" w:rsidP="00E2267D">
            <w:pPr>
              <w:tabs>
                <w:tab w:val="left" w:pos="5347"/>
              </w:tabs>
              <w:rPr>
                <w:rFonts w:ascii="Arial" w:hAnsi="Arial" w:cs="Arial"/>
              </w:rPr>
            </w:pPr>
            <w:r>
              <w:rPr>
                <w:rFonts w:ascii="Arial" w:hAnsi="Arial" w:cs="Arial"/>
              </w:rPr>
              <w:t>7.</w:t>
            </w:r>
            <w:r w:rsidR="00B81BE3">
              <w:rPr>
                <w:rFonts w:ascii="Arial" w:hAnsi="Arial" w:cs="Arial"/>
              </w:rPr>
              <w:t>7</w:t>
            </w:r>
          </w:p>
        </w:tc>
        <w:tc>
          <w:tcPr>
            <w:tcW w:w="7875" w:type="dxa"/>
          </w:tcPr>
          <w:p w14:paraId="5B324829" w14:textId="562615DA" w:rsidR="004057BA" w:rsidRDefault="004057BA" w:rsidP="004057BA">
            <w:pPr>
              <w:rPr>
                <w:rFonts w:ascii="Arial" w:hAnsi="Arial" w:cs="Arial"/>
                <w:bCs/>
              </w:rPr>
            </w:pPr>
            <w:r>
              <w:rPr>
                <w:rFonts w:ascii="Arial" w:hAnsi="Arial" w:cs="Arial"/>
                <w:bCs/>
              </w:rPr>
              <w:t>The</w:t>
            </w:r>
            <w:r w:rsidR="00E47048">
              <w:rPr>
                <w:rFonts w:ascii="Arial" w:hAnsi="Arial" w:cs="Arial"/>
                <w:bCs/>
              </w:rPr>
              <w:t xml:space="preserve"> paper was noted.</w:t>
            </w:r>
            <w:r w:rsidR="000A736C">
              <w:rPr>
                <w:rFonts w:ascii="Arial" w:hAnsi="Arial" w:cs="Arial"/>
                <w:bCs/>
              </w:rPr>
              <w:t xml:space="preserve"> </w:t>
            </w:r>
          </w:p>
          <w:p w14:paraId="771EEF1C" w14:textId="71DE5502" w:rsidR="004057BA" w:rsidRDefault="004057BA" w:rsidP="004057BA">
            <w:pPr>
              <w:rPr>
                <w:rFonts w:asciiTheme="minorBidi" w:hAnsiTheme="minorBidi"/>
              </w:rPr>
            </w:pPr>
          </w:p>
        </w:tc>
      </w:tr>
      <w:tr w:rsidR="004057BA" w:rsidRPr="00D901A4" w14:paraId="3613B2A6" w14:textId="77777777" w:rsidTr="006159E8">
        <w:trPr>
          <w:trHeight w:val="399"/>
        </w:trPr>
        <w:tc>
          <w:tcPr>
            <w:tcW w:w="1141" w:type="dxa"/>
          </w:tcPr>
          <w:p w14:paraId="4EF28626" w14:textId="330739C4" w:rsidR="004057BA" w:rsidRPr="004057BA" w:rsidRDefault="004057BA" w:rsidP="00E2267D">
            <w:pPr>
              <w:tabs>
                <w:tab w:val="left" w:pos="5347"/>
              </w:tabs>
              <w:rPr>
                <w:rFonts w:ascii="Arial" w:hAnsi="Arial" w:cs="Arial"/>
                <w:b/>
                <w:bCs/>
              </w:rPr>
            </w:pPr>
            <w:r w:rsidRPr="004057BA">
              <w:rPr>
                <w:rFonts w:ascii="Arial" w:hAnsi="Arial" w:cs="Arial"/>
                <w:b/>
                <w:bCs/>
              </w:rPr>
              <w:t>8</w:t>
            </w:r>
          </w:p>
        </w:tc>
        <w:tc>
          <w:tcPr>
            <w:tcW w:w="7875" w:type="dxa"/>
          </w:tcPr>
          <w:p w14:paraId="491141BC" w14:textId="537DC7EA" w:rsidR="004057BA" w:rsidRDefault="00B76C97" w:rsidP="004057BA">
            <w:pPr>
              <w:rPr>
                <w:rFonts w:asciiTheme="minorBidi" w:hAnsiTheme="minorBidi"/>
              </w:rPr>
            </w:pPr>
            <w:r w:rsidRPr="00B76C97">
              <w:rPr>
                <w:rFonts w:ascii="Arial" w:hAnsi="Arial" w:cs="Arial"/>
                <w:b/>
              </w:rPr>
              <w:t>Synergy (S</w:t>
            </w:r>
            <w:r w:rsidR="005B4E81">
              <w:rPr>
                <w:rFonts w:ascii="Arial" w:hAnsi="Arial" w:cs="Arial"/>
                <w:b/>
              </w:rPr>
              <w:t xml:space="preserve">ingle </w:t>
            </w:r>
            <w:r w:rsidRPr="00B76C97">
              <w:rPr>
                <w:rFonts w:ascii="Arial" w:hAnsi="Arial" w:cs="Arial"/>
                <w:b/>
              </w:rPr>
              <w:t>O</w:t>
            </w:r>
            <w:r w:rsidR="005B4E81">
              <w:rPr>
                <w:rFonts w:ascii="Arial" w:hAnsi="Arial" w:cs="Arial"/>
                <w:b/>
              </w:rPr>
              <w:t xml:space="preserve">perating </w:t>
            </w:r>
            <w:r w:rsidRPr="00B76C97">
              <w:rPr>
                <w:rFonts w:ascii="Arial" w:hAnsi="Arial" w:cs="Arial"/>
                <w:b/>
              </w:rPr>
              <w:t>P</w:t>
            </w:r>
            <w:r w:rsidR="005B4E81">
              <w:rPr>
                <w:rFonts w:ascii="Arial" w:hAnsi="Arial" w:cs="Arial"/>
                <w:b/>
              </w:rPr>
              <w:t>latform (SOP)</w:t>
            </w:r>
            <w:r w:rsidRPr="00B76C97">
              <w:rPr>
                <w:rFonts w:ascii="Arial" w:hAnsi="Arial" w:cs="Arial"/>
                <w:b/>
              </w:rPr>
              <w:t xml:space="preserve"> replacement)</w:t>
            </w:r>
          </w:p>
        </w:tc>
      </w:tr>
      <w:tr w:rsidR="004057BA" w:rsidRPr="00D901A4" w14:paraId="28D1CA0B" w14:textId="77777777" w:rsidTr="006159E8">
        <w:trPr>
          <w:trHeight w:val="399"/>
        </w:trPr>
        <w:tc>
          <w:tcPr>
            <w:tcW w:w="1141" w:type="dxa"/>
          </w:tcPr>
          <w:p w14:paraId="00909D43" w14:textId="6A9D6F22" w:rsidR="004057BA" w:rsidRDefault="004057BA" w:rsidP="00E2267D">
            <w:pPr>
              <w:tabs>
                <w:tab w:val="left" w:pos="5347"/>
              </w:tabs>
              <w:rPr>
                <w:rFonts w:ascii="Arial" w:hAnsi="Arial" w:cs="Arial"/>
              </w:rPr>
            </w:pPr>
            <w:r>
              <w:rPr>
                <w:rFonts w:ascii="Arial" w:hAnsi="Arial" w:cs="Arial"/>
              </w:rPr>
              <w:t>8.1</w:t>
            </w:r>
          </w:p>
        </w:tc>
        <w:tc>
          <w:tcPr>
            <w:tcW w:w="7875" w:type="dxa"/>
          </w:tcPr>
          <w:p w14:paraId="3309D5E4" w14:textId="111D8ED7" w:rsidR="002C7FAF" w:rsidRDefault="002C7FAF" w:rsidP="002C7FAF">
            <w:pPr>
              <w:rPr>
                <w:rFonts w:asciiTheme="minorBidi" w:hAnsiTheme="minorBidi"/>
              </w:rPr>
            </w:pPr>
            <w:r>
              <w:rPr>
                <w:rFonts w:asciiTheme="minorBidi" w:hAnsiTheme="minorBidi"/>
              </w:rPr>
              <w:t xml:space="preserve">The Chief Information Officer introduced the item which provided an update on the Synergy project and the potential </w:t>
            </w:r>
            <w:r w:rsidRPr="000F4A7B">
              <w:rPr>
                <w:rFonts w:asciiTheme="minorBidi" w:hAnsiTheme="minorBidi"/>
              </w:rPr>
              <w:t xml:space="preserve">impact of this project and </w:t>
            </w:r>
            <w:r>
              <w:rPr>
                <w:rFonts w:asciiTheme="minorBidi" w:hAnsiTheme="minorBidi"/>
              </w:rPr>
              <w:t xml:space="preserve">its </w:t>
            </w:r>
            <w:r w:rsidRPr="000F4A7B">
              <w:rPr>
                <w:rFonts w:asciiTheme="minorBidi" w:hAnsiTheme="minorBidi"/>
              </w:rPr>
              <w:t>implications for ONR.</w:t>
            </w:r>
          </w:p>
          <w:p w14:paraId="46EDB8A7" w14:textId="2B63E9B7" w:rsidR="007907A6" w:rsidRDefault="007907A6" w:rsidP="00B76C97">
            <w:pPr>
              <w:rPr>
                <w:rFonts w:asciiTheme="minorBidi" w:hAnsiTheme="minorBidi"/>
              </w:rPr>
            </w:pPr>
          </w:p>
        </w:tc>
      </w:tr>
      <w:tr w:rsidR="00B579C5" w:rsidRPr="00D901A4" w14:paraId="3F535942" w14:textId="77777777" w:rsidTr="006159E8">
        <w:trPr>
          <w:trHeight w:val="399"/>
        </w:trPr>
        <w:tc>
          <w:tcPr>
            <w:tcW w:w="1141" w:type="dxa"/>
          </w:tcPr>
          <w:p w14:paraId="5BB09B27" w14:textId="73410874" w:rsidR="00B579C5" w:rsidRDefault="00EB6EE9" w:rsidP="00E2267D">
            <w:pPr>
              <w:tabs>
                <w:tab w:val="left" w:pos="5347"/>
              </w:tabs>
              <w:rPr>
                <w:rFonts w:ascii="Arial" w:hAnsi="Arial" w:cs="Arial"/>
              </w:rPr>
            </w:pPr>
            <w:r>
              <w:rPr>
                <w:rFonts w:ascii="Arial" w:hAnsi="Arial" w:cs="Arial"/>
              </w:rPr>
              <w:t>8.2</w:t>
            </w:r>
          </w:p>
        </w:tc>
        <w:tc>
          <w:tcPr>
            <w:tcW w:w="7875" w:type="dxa"/>
          </w:tcPr>
          <w:p w14:paraId="1250C0B2" w14:textId="6CA045F0" w:rsidR="00B579C5" w:rsidRDefault="00B579C5" w:rsidP="00B579C5">
            <w:pPr>
              <w:rPr>
                <w:rFonts w:asciiTheme="minorBidi" w:hAnsiTheme="minorBidi"/>
              </w:rPr>
            </w:pPr>
            <w:r>
              <w:rPr>
                <w:rFonts w:asciiTheme="minorBidi" w:hAnsiTheme="minorBidi"/>
              </w:rPr>
              <w:t xml:space="preserve">He informed the Board of insights following recent government announcements </w:t>
            </w:r>
            <w:r w:rsidR="00014AD3">
              <w:rPr>
                <w:rFonts w:asciiTheme="minorBidi" w:hAnsiTheme="minorBidi"/>
              </w:rPr>
              <w:t xml:space="preserve">on spending </w:t>
            </w:r>
            <w:r>
              <w:rPr>
                <w:rFonts w:asciiTheme="minorBidi" w:hAnsiTheme="minorBidi"/>
              </w:rPr>
              <w:t xml:space="preserve">and the impacts that this could have on the project. </w:t>
            </w:r>
          </w:p>
          <w:p w14:paraId="213D14CA" w14:textId="77777777" w:rsidR="00B579C5" w:rsidRPr="007907A6" w:rsidRDefault="00B579C5" w:rsidP="007907A6">
            <w:pPr>
              <w:rPr>
                <w:rFonts w:asciiTheme="minorBidi" w:hAnsiTheme="minorBidi"/>
              </w:rPr>
            </w:pPr>
          </w:p>
        </w:tc>
      </w:tr>
      <w:tr w:rsidR="00B579C5" w:rsidRPr="00D901A4" w14:paraId="75A808BE" w14:textId="77777777" w:rsidTr="006159E8">
        <w:trPr>
          <w:trHeight w:val="399"/>
        </w:trPr>
        <w:tc>
          <w:tcPr>
            <w:tcW w:w="1141" w:type="dxa"/>
          </w:tcPr>
          <w:p w14:paraId="7B940493" w14:textId="41B6F401" w:rsidR="00B579C5" w:rsidRDefault="00EB6EE9" w:rsidP="00E2267D">
            <w:pPr>
              <w:tabs>
                <w:tab w:val="left" w:pos="5347"/>
              </w:tabs>
              <w:rPr>
                <w:rFonts w:ascii="Arial" w:hAnsi="Arial" w:cs="Arial"/>
              </w:rPr>
            </w:pPr>
            <w:r>
              <w:rPr>
                <w:rFonts w:ascii="Arial" w:hAnsi="Arial" w:cs="Arial"/>
              </w:rPr>
              <w:lastRenderedPageBreak/>
              <w:t>8.3</w:t>
            </w:r>
          </w:p>
        </w:tc>
        <w:tc>
          <w:tcPr>
            <w:tcW w:w="7875" w:type="dxa"/>
          </w:tcPr>
          <w:p w14:paraId="4A791CC6" w14:textId="79936F04" w:rsidR="00B579C5" w:rsidRDefault="00B579C5" w:rsidP="00B579C5">
            <w:pPr>
              <w:rPr>
                <w:rFonts w:asciiTheme="minorBidi" w:hAnsiTheme="minorBidi"/>
              </w:rPr>
            </w:pPr>
            <w:r>
              <w:rPr>
                <w:rFonts w:asciiTheme="minorBidi" w:hAnsiTheme="minorBidi"/>
              </w:rPr>
              <w:t xml:space="preserve">Currently ONR was part of the old SOP system. There were a number of ONR current systems that the new </w:t>
            </w:r>
            <w:r w:rsidR="005B4E81">
              <w:rPr>
                <w:rFonts w:asciiTheme="minorBidi" w:hAnsiTheme="minorBidi"/>
              </w:rPr>
              <w:t>S</w:t>
            </w:r>
            <w:r>
              <w:rPr>
                <w:rFonts w:asciiTheme="minorBidi" w:hAnsiTheme="minorBidi"/>
              </w:rPr>
              <w:t xml:space="preserve">ynergy platform was looking to </w:t>
            </w:r>
            <w:r w:rsidR="00ED3C2A">
              <w:rPr>
                <w:rFonts w:asciiTheme="minorBidi" w:hAnsiTheme="minorBidi"/>
              </w:rPr>
              <w:t>replace,</w:t>
            </w:r>
            <w:r>
              <w:rPr>
                <w:rFonts w:asciiTheme="minorBidi" w:hAnsiTheme="minorBidi"/>
              </w:rPr>
              <w:t xml:space="preserve"> including timesheet and position management, financial and HR management and procurement. There was an exercise to look at each system when coming up for renewal and taking a decision on whether we could legally extend current systems or go out to market.</w:t>
            </w:r>
          </w:p>
          <w:p w14:paraId="7880862B" w14:textId="77777777" w:rsidR="00B579C5" w:rsidRPr="007907A6" w:rsidRDefault="00B579C5" w:rsidP="007907A6">
            <w:pPr>
              <w:rPr>
                <w:rFonts w:asciiTheme="minorBidi" w:hAnsiTheme="minorBidi"/>
              </w:rPr>
            </w:pPr>
          </w:p>
        </w:tc>
      </w:tr>
      <w:tr w:rsidR="00B579C5" w:rsidRPr="00D901A4" w14:paraId="10B47E09" w14:textId="77777777" w:rsidTr="006159E8">
        <w:trPr>
          <w:trHeight w:val="399"/>
        </w:trPr>
        <w:tc>
          <w:tcPr>
            <w:tcW w:w="1141" w:type="dxa"/>
          </w:tcPr>
          <w:p w14:paraId="4A645B3B" w14:textId="31CA6DF5" w:rsidR="00B579C5" w:rsidRDefault="00EB6EE9" w:rsidP="00E2267D">
            <w:pPr>
              <w:tabs>
                <w:tab w:val="left" w:pos="5347"/>
              </w:tabs>
              <w:rPr>
                <w:rFonts w:ascii="Arial" w:hAnsi="Arial" w:cs="Arial"/>
              </w:rPr>
            </w:pPr>
            <w:r>
              <w:rPr>
                <w:rFonts w:ascii="Arial" w:hAnsi="Arial" w:cs="Arial"/>
              </w:rPr>
              <w:t>8.4</w:t>
            </w:r>
          </w:p>
        </w:tc>
        <w:tc>
          <w:tcPr>
            <w:tcW w:w="7875" w:type="dxa"/>
          </w:tcPr>
          <w:p w14:paraId="78B690A4" w14:textId="77777777" w:rsidR="00B579C5" w:rsidRDefault="00B579C5" w:rsidP="00B579C5">
            <w:pPr>
              <w:rPr>
                <w:rFonts w:asciiTheme="minorBidi" w:hAnsiTheme="minorBidi"/>
              </w:rPr>
            </w:pPr>
            <w:r>
              <w:rPr>
                <w:rFonts w:asciiTheme="minorBidi" w:hAnsiTheme="minorBidi"/>
              </w:rPr>
              <w:t>He reported on the main financial risk of the project, which was the ONR overhead time being spent on the project. The primary impact of this was on the HR and Finance teams.</w:t>
            </w:r>
          </w:p>
          <w:p w14:paraId="070CCA2B" w14:textId="77777777" w:rsidR="00B579C5" w:rsidRPr="007907A6" w:rsidRDefault="00B579C5" w:rsidP="007907A6">
            <w:pPr>
              <w:rPr>
                <w:rFonts w:asciiTheme="minorBidi" w:hAnsiTheme="minorBidi"/>
              </w:rPr>
            </w:pPr>
          </w:p>
        </w:tc>
      </w:tr>
      <w:tr w:rsidR="00B579C5" w:rsidRPr="00D901A4" w14:paraId="29C87E8E" w14:textId="77777777" w:rsidTr="006159E8">
        <w:trPr>
          <w:trHeight w:val="399"/>
        </w:trPr>
        <w:tc>
          <w:tcPr>
            <w:tcW w:w="1141" w:type="dxa"/>
          </w:tcPr>
          <w:p w14:paraId="7753CB66" w14:textId="5A86CBAC" w:rsidR="00B579C5" w:rsidRDefault="00EB6EE9" w:rsidP="00E2267D">
            <w:pPr>
              <w:tabs>
                <w:tab w:val="left" w:pos="5347"/>
              </w:tabs>
              <w:rPr>
                <w:rFonts w:ascii="Arial" w:hAnsi="Arial" w:cs="Arial"/>
              </w:rPr>
            </w:pPr>
            <w:r>
              <w:rPr>
                <w:rFonts w:ascii="Arial" w:hAnsi="Arial" w:cs="Arial"/>
              </w:rPr>
              <w:t>8.5</w:t>
            </w:r>
          </w:p>
        </w:tc>
        <w:tc>
          <w:tcPr>
            <w:tcW w:w="7875" w:type="dxa"/>
          </w:tcPr>
          <w:p w14:paraId="1787538A" w14:textId="41615FD9" w:rsidR="00B579C5" w:rsidRDefault="00B579C5" w:rsidP="00B579C5">
            <w:pPr>
              <w:rPr>
                <w:rFonts w:asciiTheme="minorBidi" w:hAnsiTheme="minorBidi"/>
              </w:rPr>
            </w:pPr>
            <w:r>
              <w:rPr>
                <w:rFonts w:asciiTheme="minorBidi" w:hAnsiTheme="minorBidi"/>
              </w:rPr>
              <w:t xml:space="preserve">He reported on the current position with </w:t>
            </w:r>
            <w:r w:rsidR="00D10078">
              <w:rPr>
                <w:rFonts w:asciiTheme="minorBidi" w:hAnsiTheme="minorBidi"/>
              </w:rPr>
              <w:t>the Department for Work and Pensions</w:t>
            </w:r>
            <w:r w:rsidR="00F04FEF">
              <w:rPr>
                <w:rFonts w:asciiTheme="minorBidi" w:hAnsiTheme="minorBidi"/>
              </w:rPr>
              <w:t xml:space="preserve"> (</w:t>
            </w:r>
            <w:r>
              <w:rPr>
                <w:rFonts w:asciiTheme="minorBidi" w:hAnsiTheme="minorBidi"/>
              </w:rPr>
              <w:t>DWP</w:t>
            </w:r>
            <w:r w:rsidR="00F04FEF">
              <w:rPr>
                <w:rFonts w:asciiTheme="minorBidi" w:hAnsiTheme="minorBidi"/>
              </w:rPr>
              <w:t>)</w:t>
            </w:r>
            <w:r>
              <w:rPr>
                <w:rFonts w:asciiTheme="minorBidi" w:hAnsiTheme="minorBidi"/>
              </w:rPr>
              <w:t xml:space="preserve"> on funding who confirmed that any ONR time spent up until the final business case was approved would be at the organisation’s risk.</w:t>
            </w:r>
          </w:p>
          <w:p w14:paraId="64AF07BB" w14:textId="77777777" w:rsidR="00B579C5" w:rsidRPr="007907A6" w:rsidRDefault="00B579C5" w:rsidP="007907A6">
            <w:pPr>
              <w:rPr>
                <w:rFonts w:asciiTheme="minorBidi" w:hAnsiTheme="minorBidi"/>
              </w:rPr>
            </w:pPr>
          </w:p>
        </w:tc>
      </w:tr>
      <w:tr w:rsidR="004057BA" w:rsidRPr="00D901A4" w14:paraId="2D941838" w14:textId="77777777" w:rsidTr="006159E8">
        <w:trPr>
          <w:trHeight w:val="399"/>
        </w:trPr>
        <w:tc>
          <w:tcPr>
            <w:tcW w:w="1141" w:type="dxa"/>
          </w:tcPr>
          <w:p w14:paraId="4EDF5269" w14:textId="41D1F699" w:rsidR="004057BA" w:rsidRDefault="004057BA" w:rsidP="00E2267D">
            <w:pPr>
              <w:tabs>
                <w:tab w:val="left" w:pos="5347"/>
              </w:tabs>
              <w:rPr>
                <w:rFonts w:ascii="Arial" w:hAnsi="Arial" w:cs="Arial"/>
              </w:rPr>
            </w:pPr>
            <w:r>
              <w:rPr>
                <w:rFonts w:ascii="Arial" w:hAnsi="Arial" w:cs="Arial"/>
              </w:rPr>
              <w:t>8.</w:t>
            </w:r>
            <w:r w:rsidR="00EB6EE9">
              <w:rPr>
                <w:rFonts w:ascii="Arial" w:hAnsi="Arial" w:cs="Arial"/>
              </w:rPr>
              <w:t>6</w:t>
            </w:r>
          </w:p>
        </w:tc>
        <w:tc>
          <w:tcPr>
            <w:tcW w:w="7875" w:type="dxa"/>
          </w:tcPr>
          <w:p w14:paraId="1D8A1A5F" w14:textId="74101450" w:rsidR="007F0436" w:rsidRDefault="004057BA" w:rsidP="007907A6">
            <w:pPr>
              <w:rPr>
                <w:rFonts w:asciiTheme="minorBidi" w:hAnsiTheme="minorBidi"/>
              </w:rPr>
            </w:pPr>
            <w:r w:rsidRPr="007907A6">
              <w:rPr>
                <w:rFonts w:asciiTheme="minorBidi" w:hAnsiTheme="minorBidi"/>
              </w:rPr>
              <w:t xml:space="preserve">In discussion the </w:t>
            </w:r>
            <w:r w:rsidR="00BB0C03" w:rsidRPr="007907A6">
              <w:rPr>
                <w:rFonts w:asciiTheme="minorBidi" w:hAnsiTheme="minorBidi"/>
              </w:rPr>
              <w:t>Board</w:t>
            </w:r>
            <w:r w:rsidR="00945B46">
              <w:rPr>
                <w:rFonts w:asciiTheme="minorBidi" w:hAnsiTheme="minorBidi"/>
              </w:rPr>
              <w:t>:</w:t>
            </w:r>
          </w:p>
          <w:p w14:paraId="2B355144" w14:textId="77777777" w:rsidR="00B579C5" w:rsidRPr="007907A6" w:rsidRDefault="00B579C5" w:rsidP="007907A6">
            <w:pPr>
              <w:rPr>
                <w:rFonts w:asciiTheme="minorBidi" w:hAnsiTheme="minorBidi"/>
              </w:rPr>
            </w:pPr>
          </w:p>
          <w:p w14:paraId="4639600B" w14:textId="77777777" w:rsidR="00B579C5" w:rsidRDefault="00B579C5" w:rsidP="006C1D76">
            <w:pPr>
              <w:pStyle w:val="ListParagraph"/>
              <w:numPr>
                <w:ilvl w:val="0"/>
                <w:numId w:val="5"/>
              </w:numPr>
              <w:rPr>
                <w:rFonts w:asciiTheme="minorBidi" w:hAnsiTheme="minorBidi"/>
              </w:rPr>
            </w:pPr>
            <w:r w:rsidRPr="00090E5C">
              <w:rPr>
                <w:rFonts w:asciiTheme="minorBidi" w:hAnsiTheme="minorBidi"/>
              </w:rPr>
              <w:t>Noted the business case costs and efficienc</w:t>
            </w:r>
            <w:r>
              <w:rPr>
                <w:rFonts w:asciiTheme="minorBidi" w:hAnsiTheme="minorBidi"/>
              </w:rPr>
              <w:t>y savings</w:t>
            </w:r>
            <w:r w:rsidRPr="00090E5C">
              <w:rPr>
                <w:rFonts w:asciiTheme="minorBidi" w:hAnsiTheme="minorBidi"/>
              </w:rPr>
              <w:t xml:space="preserve"> outlined in the business case that had been presented to HM Treasury.</w:t>
            </w:r>
          </w:p>
          <w:p w14:paraId="222656EC" w14:textId="2D516B57" w:rsidR="00B579C5" w:rsidRDefault="00B579C5" w:rsidP="006C1D76">
            <w:pPr>
              <w:pStyle w:val="ListParagraph"/>
              <w:numPr>
                <w:ilvl w:val="0"/>
                <w:numId w:val="5"/>
              </w:numPr>
              <w:rPr>
                <w:rFonts w:asciiTheme="minorBidi" w:hAnsiTheme="minorBidi"/>
              </w:rPr>
            </w:pPr>
            <w:r w:rsidRPr="00E2134E">
              <w:rPr>
                <w:rFonts w:asciiTheme="minorBidi" w:hAnsiTheme="minorBidi"/>
              </w:rPr>
              <w:t xml:space="preserve">Discussed the current political environment and the impact on ONR for maintaining and managing current systems over the next three to five years and </w:t>
            </w:r>
            <w:r w:rsidR="00E412E7" w:rsidRPr="00E2134E">
              <w:rPr>
                <w:rFonts w:asciiTheme="minorBidi" w:hAnsiTheme="minorBidi"/>
              </w:rPr>
              <w:t xml:space="preserve">commented that </w:t>
            </w:r>
            <w:r w:rsidRPr="00E2134E">
              <w:rPr>
                <w:rFonts w:asciiTheme="minorBidi" w:hAnsiTheme="minorBidi"/>
              </w:rPr>
              <w:t>understand</w:t>
            </w:r>
            <w:r w:rsidR="00E412E7" w:rsidRPr="00E2134E">
              <w:rPr>
                <w:rFonts w:asciiTheme="minorBidi" w:hAnsiTheme="minorBidi"/>
              </w:rPr>
              <w:t>ing</w:t>
            </w:r>
            <w:r w:rsidRPr="00E2134E">
              <w:rPr>
                <w:rFonts w:asciiTheme="minorBidi" w:hAnsiTheme="minorBidi"/>
              </w:rPr>
              <w:t xml:space="preserve"> the trigger points</w:t>
            </w:r>
            <w:r w:rsidR="002A216C" w:rsidRPr="00E2134E">
              <w:rPr>
                <w:rFonts w:asciiTheme="minorBidi" w:hAnsiTheme="minorBidi"/>
              </w:rPr>
              <w:t xml:space="preserve"> </w:t>
            </w:r>
            <w:r w:rsidR="00E2134E" w:rsidRPr="00E2134E">
              <w:rPr>
                <w:rFonts w:asciiTheme="minorBidi" w:hAnsiTheme="minorBidi"/>
              </w:rPr>
              <w:t>and acting early when systems were up for renewal would be key.</w:t>
            </w:r>
            <w:r w:rsidRPr="00A657B3">
              <w:rPr>
                <w:rFonts w:asciiTheme="minorBidi" w:hAnsiTheme="minorBidi"/>
              </w:rPr>
              <w:t xml:space="preserve"> A full timeline had already been produced to support programme planning.</w:t>
            </w:r>
          </w:p>
          <w:p w14:paraId="33E155CE" w14:textId="63798657" w:rsidR="00B579C5" w:rsidRDefault="00B579C5" w:rsidP="006C1D76">
            <w:pPr>
              <w:pStyle w:val="ListParagraph"/>
              <w:numPr>
                <w:ilvl w:val="0"/>
                <w:numId w:val="5"/>
              </w:numPr>
              <w:rPr>
                <w:rFonts w:asciiTheme="minorBidi" w:hAnsiTheme="minorBidi"/>
              </w:rPr>
            </w:pPr>
            <w:r w:rsidRPr="00A657B3">
              <w:rPr>
                <w:rFonts w:asciiTheme="minorBidi" w:hAnsiTheme="minorBidi"/>
              </w:rPr>
              <w:t xml:space="preserve">Noted an upcoming </w:t>
            </w:r>
            <w:r w:rsidR="004C4863">
              <w:rPr>
                <w:rFonts w:asciiTheme="minorBidi" w:hAnsiTheme="minorBidi"/>
              </w:rPr>
              <w:t>d</w:t>
            </w:r>
            <w:r w:rsidRPr="00A657B3">
              <w:rPr>
                <w:rFonts w:asciiTheme="minorBidi" w:hAnsiTheme="minorBidi"/>
              </w:rPr>
              <w:t xml:space="preserve">eep </w:t>
            </w:r>
            <w:r w:rsidR="004C4863">
              <w:rPr>
                <w:rFonts w:asciiTheme="minorBidi" w:hAnsiTheme="minorBidi"/>
              </w:rPr>
              <w:t>d</w:t>
            </w:r>
            <w:r w:rsidRPr="00A657B3">
              <w:rPr>
                <w:rFonts w:asciiTheme="minorBidi" w:hAnsiTheme="minorBidi"/>
              </w:rPr>
              <w:t xml:space="preserve">ive on </w:t>
            </w:r>
            <w:r w:rsidRPr="001D5848">
              <w:rPr>
                <w:rFonts w:asciiTheme="minorBidi" w:hAnsiTheme="minorBidi"/>
              </w:rPr>
              <w:t>Safeguards Information Management and Reporting System (SIMRS)</w:t>
            </w:r>
            <w:r>
              <w:rPr>
                <w:rFonts w:asciiTheme="minorBidi" w:hAnsiTheme="minorBidi"/>
              </w:rPr>
              <w:t xml:space="preserve"> </w:t>
            </w:r>
            <w:r w:rsidRPr="00A657B3">
              <w:rPr>
                <w:rFonts w:asciiTheme="minorBidi" w:hAnsiTheme="minorBidi"/>
              </w:rPr>
              <w:t>at ARAC which would cover the risks and mitigations in place.</w:t>
            </w:r>
          </w:p>
          <w:p w14:paraId="66A590E8" w14:textId="6C3BF75B" w:rsidR="00B579C5" w:rsidRPr="00CC1DFB" w:rsidRDefault="00A83E63" w:rsidP="006C1D76">
            <w:pPr>
              <w:pStyle w:val="ListParagraph"/>
              <w:numPr>
                <w:ilvl w:val="0"/>
                <w:numId w:val="5"/>
              </w:numPr>
              <w:rPr>
                <w:rFonts w:asciiTheme="minorBidi" w:hAnsiTheme="minorBidi"/>
              </w:rPr>
            </w:pPr>
            <w:r>
              <w:rPr>
                <w:rFonts w:asciiTheme="minorBidi" w:hAnsiTheme="minorBidi"/>
              </w:rPr>
              <w:t>S</w:t>
            </w:r>
            <w:r w:rsidR="00B579C5" w:rsidRPr="00CC1DFB">
              <w:rPr>
                <w:rFonts w:asciiTheme="minorBidi" w:hAnsiTheme="minorBidi"/>
              </w:rPr>
              <w:t>upport</w:t>
            </w:r>
            <w:r w:rsidR="00E13C6F">
              <w:rPr>
                <w:rFonts w:asciiTheme="minorBidi" w:hAnsiTheme="minorBidi"/>
              </w:rPr>
              <w:t>ed</w:t>
            </w:r>
            <w:r w:rsidR="00B579C5" w:rsidRPr="00CC1DFB">
              <w:rPr>
                <w:rFonts w:asciiTheme="minorBidi" w:hAnsiTheme="minorBidi"/>
              </w:rPr>
              <w:t xml:space="preserve"> continuing with the project but highlighted the need for support from other bodies.</w:t>
            </w:r>
          </w:p>
          <w:p w14:paraId="68695FFB" w14:textId="7431ECBD" w:rsidR="00797A2D" w:rsidRPr="00BB0C03" w:rsidRDefault="00797A2D" w:rsidP="00797A2D">
            <w:pPr>
              <w:pStyle w:val="ListParagraph"/>
              <w:rPr>
                <w:rFonts w:asciiTheme="minorBidi" w:hAnsiTheme="minorBidi"/>
              </w:rPr>
            </w:pPr>
          </w:p>
        </w:tc>
      </w:tr>
      <w:tr w:rsidR="00EB6EE9" w:rsidRPr="00D901A4" w14:paraId="05D5965B" w14:textId="77777777" w:rsidTr="006159E8">
        <w:trPr>
          <w:trHeight w:val="399"/>
        </w:trPr>
        <w:tc>
          <w:tcPr>
            <w:tcW w:w="1141" w:type="dxa"/>
          </w:tcPr>
          <w:p w14:paraId="7260F837" w14:textId="59CC4681" w:rsidR="00EB6EE9" w:rsidRPr="00EB6EE9" w:rsidRDefault="00EB6EE9" w:rsidP="00E2267D">
            <w:pPr>
              <w:tabs>
                <w:tab w:val="left" w:pos="5347"/>
              </w:tabs>
              <w:rPr>
                <w:rFonts w:ascii="Arial" w:hAnsi="Arial" w:cs="Arial"/>
              </w:rPr>
            </w:pPr>
            <w:r w:rsidRPr="00EB6EE9">
              <w:rPr>
                <w:rFonts w:ascii="Arial" w:hAnsi="Arial" w:cs="Arial"/>
              </w:rPr>
              <w:t>8.7</w:t>
            </w:r>
          </w:p>
        </w:tc>
        <w:tc>
          <w:tcPr>
            <w:tcW w:w="7875" w:type="dxa"/>
          </w:tcPr>
          <w:p w14:paraId="458C519A" w14:textId="77777777" w:rsidR="00EB6EE9" w:rsidRDefault="00EB6EE9" w:rsidP="006159E8">
            <w:pPr>
              <w:tabs>
                <w:tab w:val="left" w:pos="5347"/>
              </w:tabs>
              <w:rPr>
                <w:rFonts w:ascii="Arial" w:hAnsi="Arial" w:cs="Arial"/>
                <w:bCs/>
              </w:rPr>
            </w:pPr>
            <w:r w:rsidRPr="009E6D92">
              <w:rPr>
                <w:rFonts w:ascii="Arial" w:hAnsi="Arial" w:cs="Arial"/>
                <w:bCs/>
              </w:rPr>
              <w:t>The Board noted the report and</w:t>
            </w:r>
            <w:r w:rsidR="006159E8">
              <w:rPr>
                <w:rFonts w:ascii="Arial" w:hAnsi="Arial" w:cs="Arial"/>
                <w:bCs/>
              </w:rPr>
              <w:t xml:space="preserve"> agreed</w:t>
            </w:r>
            <w:r w:rsidR="009E6D92" w:rsidRPr="009E6D92">
              <w:rPr>
                <w:rFonts w:ascii="Arial" w:hAnsi="Arial" w:cs="Arial"/>
                <w:bCs/>
              </w:rPr>
              <w:t xml:space="preserve"> </w:t>
            </w:r>
            <w:r w:rsidR="006159E8" w:rsidRPr="006159E8">
              <w:rPr>
                <w:rFonts w:ascii="Arial" w:hAnsi="Arial" w:cs="Arial"/>
                <w:bCs/>
              </w:rPr>
              <w:t>to continue engagement with the Synergy Programme and</w:t>
            </w:r>
            <w:r w:rsidR="006159E8">
              <w:rPr>
                <w:rFonts w:ascii="Arial" w:hAnsi="Arial" w:cs="Arial"/>
                <w:bCs/>
              </w:rPr>
              <w:t xml:space="preserve"> </w:t>
            </w:r>
            <w:r w:rsidR="006159E8" w:rsidRPr="006159E8">
              <w:rPr>
                <w:rFonts w:ascii="Arial" w:hAnsi="Arial" w:cs="Arial"/>
                <w:bCs/>
              </w:rPr>
              <w:t>commit resources at risk</w:t>
            </w:r>
            <w:r w:rsidR="006159E8">
              <w:rPr>
                <w:rFonts w:ascii="Arial" w:hAnsi="Arial" w:cs="Arial"/>
                <w:bCs/>
              </w:rPr>
              <w:t>.</w:t>
            </w:r>
          </w:p>
          <w:p w14:paraId="0D1F5391" w14:textId="3B38C1E2" w:rsidR="00885BC4" w:rsidRPr="009E6D92" w:rsidRDefault="00885BC4" w:rsidP="006159E8">
            <w:pPr>
              <w:tabs>
                <w:tab w:val="left" w:pos="5347"/>
              </w:tabs>
              <w:rPr>
                <w:rFonts w:ascii="Arial" w:hAnsi="Arial" w:cs="Arial"/>
                <w:bCs/>
              </w:rPr>
            </w:pPr>
          </w:p>
        </w:tc>
      </w:tr>
      <w:tr w:rsidR="004057BA" w:rsidRPr="00D901A4" w14:paraId="34D0B807" w14:textId="77777777" w:rsidTr="006159E8">
        <w:trPr>
          <w:trHeight w:val="399"/>
        </w:trPr>
        <w:tc>
          <w:tcPr>
            <w:tcW w:w="1141" w:type="dxa"/>
          </w:tcPr>
          <w:p w14:paraId="27A77C1A" w14:textId="13B9550F" w:rsidR="004057BA" w:rsidRPr="00BC0353" w:rsidRDefault="004057BA" w:rsidP="00E2267D">
            <w:pPr>
              <w:tabs>
                <w:tab w:val="left" w:pos="5347"/>
              </w:tabs>
              <w:rPr>
                <w:rFonts w:ascii="Arial" w:hAnsi="Arial" w:cs="Arial"/>
                <w:b/>
                <w:bCs/>
              </w:rPr>
            </w:pPr>
            <w:r w:rsidRPr="00BC0353">
              <w:rPr>
                <w:rFonts w:ascii="Arial" w:hAnsi="Arial" w:cs="Arial"/>
                <w:b/>
                <w:bCs/>
              </w:rPr>
              <w:t>9</w:t>
            </w:r>
          </w:p>
        </w:tc>
        <w:tc>
          <w:tcPr>
            <w:tcW w:w="7875" w:type="dxa"/>
          </w:tcPr>
          <w:p w14:paraId="5F50AB83" w14:textId="16D62EFB" w:rsidR="004057BA" w:rsidRPr="00D901A4" w:rsidRDefault="00945B46" w:rsidP="00BC0353">
            <w:pPr>
              <w:tabs>
                <w:tab w:val="left" w:pos="5347"/>
              </w:tabs>
              <w:rPr>
                <w:rFonts w:asciiTheme="minorBidi" w:hAnsiTheme="minorBidi"/>
              </w:rPr>
            </w:pPr>
            <w:r w:rsidRPr="00945B46">
              <w:rPr>
                <w:rFonts w:ascii="Arial" w:hAnsi="Arial" w:cs="Arial"/>
                <w:b/>
              </w:rPr>
              <w:t>New Nuclear Communications</w:t>
            </w:r>
          </w:p>
        </w:tc>
      </w:tr>
      <w:tr w:rsidR="004057BA" w:rsidRPr="00D901A4" w14:paraId="58536161" w14:textId="77777777" w:rsidTr="006159E8">
        <w:trPr>
          <w:trHeight w:val="399"/>
        </w:trPr>
        <w:tc>
          <w:tcPr>
            <w:tcW w:w="1141" w:type="dxa"/>
          </w:tcPr>
          <w:p w14:paraId="411D45BF" w14:textId="1DA436FE" w:rsidR="004057BA" w:rsidRDefault="00BC0353" w:rsidP="00E2267D">
            <w:pPr>
              <w:tabs>
                <w:tab w:val="left" w:pos="5347"/>
              </w:tabs>
              <w:rPr>
                <w:rFonts w:ascii="Arial" w:hAnsi="Arial" w:cs="Arial"/>
              </w:rPr>
            </w:pPr>
            <w:r>
              <w:rPr>
                <w:rFonts w:ascii="Arial" w:hAnsi="Arial" w:cs="Arial"/>
              </w:rPr>
              <w:t>9.1</w:t>
            </w:r>
          </w:p>
        </w:tc>
        <w:tc>
          <w:tcPr>
            <w:tcW w:w="7875" w:type="dxa"/>
          </w:tcPr>
          <w:p w14:paraId="29E0D330" w14:textId="61ADB81B" w:rsidR="004057BA" w:rsidRDefault="00161798" w:rsidP="00753C00">
            <w:pPr>
              <w:tabs>
                <w:tab w:val="left" w:pos="5347"/>
              </w:tabs>
              <w:rPr>
                <w:rFonts w:asciiTheme="minorBidi" w:hAnsiTheme="minorBidi"/>
              </w:rPr>
            </w:pPr>
            <w:r>
              <w:rPr>
                <w:rFonts w:asciiTheme="minorBidi" w:hAnsiTheme="minorBidi"/>
              </w:rPr>
              <w:t>The Deputy Head of Communications</w:t>
            </w:r>
            <w:r w:rsidR="00AA48F1">
              <w:rPr>
                <w:rFonts w:asciiTheme="minorBidi" w:hAnsiTheme="minorBidi"/>
              </w:rPr>
              <w:t xml:space="preserve"> presented the paper</w:t>
            </w:r>
            <w:r w:rsidR="00E412E7">
              <w:rPr>
                <w:rFonts w:asciiTheme="minorBidi" w:hAnsiTheme="minorBidi"/>
              </w:rPr>
              <w:t xml:space="preserve"> which</w:t>
            </w:r>
            <w:r w:rsidR="00AA48F1">
              <w:rPr>
                <w:rFonts w:asciiTheme="minorBidi" w:hAnsiTheme="minorBidi"/>
              </w:rPr>
              <w:t xml:space="preserve"> </w:t>
            </w:r>
            <w:r w:rsidR="00753C00" w:rsidRPr="00753C00">
              <w:rPr>
                <w:rFonts w:asciiTheme="minorBidi" w:hAnsiTheme="minorBidi"/>
              </w:rPr>
              <w:t>inform</w:t>
            </w:r>
            <w:r w:rsidR="00753C00">
              <w:rPr>
                <w:rFonts w:asciiTheme="minorBidi" w:hAnsiTheme="minorBidi"/>
              </w:rPr>
              <w:t>ed the</w:t>
            </w:r>
            <w:r w:rsidR="00753C00" w:rsidRPr="00753C00">
              <w:rPr>
                <w:rFonts w:asciiTheme="minorBidi" w:hAnsiTheme="minorBidi"/>
              </w:rPr>
              <w:t xml:space="preserve"> Board of plans for a proactive communications campaign to</w:t>
            </w:r>
            <w:r w:rsidR="00753C00">
              <w:rPr>
                <w:rFonts w:asciiTheme="minorBidi" w:hAnsiTheme="minorBidi"/>
              </w:rPr>
              <w:t xml:space="preserve"> </w:t>
            </w:r>
            <w:r w:rsidR="00753C00" w:rsidRPr="00753C00">
              <w:rPr>
                <w:rFonts w:asciiTheme="minorBidi" w:hAnsiTheme="minorBidi"/>
              </w:rPr>
              <w:t xml:space="preserve">address a perception in some quarters that ‘nuclear regulation’ </w:t>
            </w:r>
            <w:r w:rsidR="00753C00">
              <w:rPr>
                <w:rFonts w:asciiTheme="minorBidi" w:hAnsiTheme="minorBidi"/>
              </w:rPr>
              <w:t>wa</w:t>
            </w:r>
            <w:r w:rsidR="00753C00" w:rsidRPr="00753C00">
              <w:rPr>
                <w:rFonts w:asciiTheme="minorBidi" w:hAnsiTheme="minorBidi"/>
              </w:rPr>
              <w:t>s a blocker</w:t>
            </w:r>
            <w:r w:rsidR="00753C00">
              <w:rPr>
                <w:rFonts w:asciiTheme="minorBidi" w:hAnsiTheme="minorBidi"/>
              </w:rPr>
              <w:t xml:space="preserve"> </w:t>
            </w:r>
            <w:r w:rsidR="00753C00" w:rsidRPr="00753C00">
              <w:rPr>
                <w:rFonts w:asciiTheme="minorBidi" w:hAnsiTheme="minorBidi"/>
              </w:rPr>
              <w:t>to the timely delivery of GB nuclear ambitions.</w:t>
            </w:r>
          </w:p>
          <w:p w14:paraId="1B098C2D" w14:textId="57B11EED" w:rsidR="00753C00" w:rsidRPr="00D901A4" w:rsidRDefault="00753C00" w:rsidP="00753C00">
            <w:pPr>
              <w:tabs>
                <w:tab w:val="left" w:pos="5347"/>
              </w:tabs>
              <w:rPr>
                <w:rFonts w:asciiTheme="minorBidi" w:hAnsiTheme="minorBidi"/>
              </w:rPr>
            </w:pPr>
          </w:p>
        </w:tc>
      </w:tr>
      <w:tr w:rsidR="00F83F08" w:rsidRPr="00D901A4" w14:paraId="4FC0CA9B" w14:textId="77777777" w:rsidTr="006159E8">
        <w:trPr>
          <w:trHeight w:val="399"/>
        </w:trPr>
        <w:tc>
          <w:tcPr>
            <w:tcW w:w="1141" w:type="dxa"/>
          </w:tcPr>
          <w:p w14:paraId="499D6096" w14:textId="31AB7373" w:rsidR="00F83F08" w:rsidRDefault="008615E1" w:rsidP="00E2267D">
            <w:pPr>
              <w:tabs>
                <w:tab w:val="left" w:pos="5347"/>
              </w:tabs>
              <w:rPr>
                <w:rFonts w:ascii="Arial" w:hAnsi="Arial" w:cs="Arial"/>
              </w:rPr>
            </w:pPr>
            <w:r>
              <w:rPr>
                <w:rFonts w:ascii="Arial" w:hAnsi="Arial" w:cs="Arial"/>
              </w:rPr>
              <w:t>9.2</w:t>
            </w:r>
          </w:p>
        </w:tc>
        <w:tc>
          <w:tcPr>
            <w:tcW w:w="7875" w:type="dxa"/>
          </w:tcPr>
          <w:p w14:paraId="0C53434A" w14:textId="29E5026F" w:rsidR="003A7599" w:rsidRDefault="003A7599" w:rsidP="003A7599">
            <w:pPr>
              <w:rPr>
                <w:rFonts w:asciiTheme="minorBidi" w:hAnsiTheme="minorBidi"/>
              </w:rPr>
            </w:pPr>
            <w:r>
              <w:rPr>
                <w:rFonts w:asciiTheme="minorBidi" w:hAnsiTheme="minorBidi"/>
              </w:rPr>
              <w:t xml:space="preserve">He noted the recent change in </w:t>
            </w:r>
            <w:r w:rsidR="00F56110">
              <w:rPr>
                <w:rFonts w:asciiTheme="minorBidi" w:hAnsiTheme="minorBidi"/>
              </w:rPr>
              <w:t>G</w:t>
            </w:r>
            <w:r>
              <w:rPr>
                <w:rFonts w:asciiTheme="minorBidi" w:hAnsiTheme="minorBidi"/>
              </w:rPr>
              <w:t>overnment and initiatives such as Great British Energy (GBE) provided a good opportunity for ONR to accurately position its role and responsibilities, while providing public reassurance on the importance of our role as a regulator.</w:t>
            </w:r>
          </w:p>
          <w:p w14:paraId="358F2665" w14:textId="77777777" w:rsidR="00F83F08" w:rsidRDefault="00F83F08" w:rsidP="00B579C5">
            <w:pPr>
              <w:rPr>
                <w:rFonts w:asciiTheme="minorBidi" w:hAnsiTheme="minorBidi"/>
              </w:rPr>
            </w:pPr>
          </w:p>
        </w:tc>
      </w:tr>
      <w:tr w:rsidR="008615E1" w:rsidRPr="00D901A4" w14:paraId="52BD82C7" w14:textId="77777777" w:rsidTr="006159E8">
        <w:trPr>
          <w:trHeight w:val="399"/>
        </w:trPr>
        <w:tc>
          <w:tcPr>
            <w:tcW w:w="1141" w:type="dxa"/>
          </w:tcPr>
          <w:p w14:paraId="6DC2DABF" w14:textId="4ACA1F22" w:rsidR="008615E1" w:rsidRDefault="00EB6EE9" w:rsidP="00E2267D">
            <w:pPr>
              <w:tabs>
                <w:tab w:val="left" w:pos="5347"/>
              </w:tabs>
              <w:rPr>
                <w:rFonts w:ascii="Arial" w:hAnsi="Arial" w:cs="Arial"/>
              </w:rPr>
            </w:pPr>
            <w:r>
              <w:rPr>
                <w:rFonts w:ascii="Arial" w:hAnsi="Arial" w:cs="Arial"/>
              </w:rPr>
              <w:t>9.3</w:t>
            </w:r>
          </w:p>
        </w:tc>
        <w:tc>
          <w:tcPr>
            <w:tcW w:w="7875" w:type="dxa"/>
          </w:tcPr>
          <w:p w14:paraId="12170994" w14:textId="3DA95CD4" w:rsidR="008615E1" w:rsidRDefault="003960DF" w:rsidP="00914C8E">
            <w:pPr>
              <w:rPr>
                <w:rFonts w:asciiTheme="minorBidi" w:hAnsiTheme="minorBidi"/>
              </w:rPr>
            </w:pPr>
            <w:r>
              <w:rPr>
                <w:rFonts w:asciiTheme="minorBidi" w:hAnsiTheme="minorBidi"/>
              </w:rPr>
              <w:t>The team were proposing to be more proactive in ONR</w:t>
            </w:r>
            <w:r w:rsidR="00F56110">
              <w:rPr>
                <w:rFonts w:asciiTheme="minorBidi" w:hAnsiTheme="minorBidi"/>
              </w:rPr>
              <w:t>’</w:t>
            </w:r>
            <w:r>
              <w:rPr>
                <w:rFonts w:asciiTheme="minorBidi" w:hAnsiTheme="minorBidi"/>
              </w:rPr>
              <w:t xml:space="preserve">s communications. Other organisations would also play a part in this and </w:t>
            </w:r>
            <w:r>
              <w:rPr>
                <w:rFonts w:asciiTheme="minorBidi" w:hAnsiTheme="minorBidi"/>
              </w:rPr>
              <w:lastRenderedPageBreak/>
              <w:t>ensuring misinformation from third parties was appropriately managed</w:t>
            </w:r>
            <w:r w:rsidR="001B7BA3">
              <w:rPr>
                <w:rFonts w:asciiTheme="minorBidi" w:hAnsiTheme="minorBidi"/>
              </w:rPr>
              <w:t xml:space="preserve"> would be </w:t>
            </w:r>
            <w:r w:rsidR="008A466D">
              <w:rPr>
                <w:rFonts w:asciiTheme="minorBidi" w:hAnsiTheme="minorBidi"/>
              </w:rPr>
              <w:t>key</w:t>
            </w:r>
            <w:r>
              <w:rPr>
                <w:rFonts w:asciiTheme="minorBidi" w:hAnsiTheme="minorBidi"/>
              </w:rPr>
              <w:t xml:space="preserve">. He noted that a case study in the CNI Annual Report had been proposed that would </w:t>
            </w:r>
            <w:r w:rsidR="00161798">
              <w:rPr>
                <w:rFonts w:asciiTheme="minorBidi" w:hAnsiTheme="minorBidi"/>
              </w:rPr>
              <w:t>summarise ONR’s review of its impact on the design evolution of the EPR at Hinkley Point C</w:t>
            </w:r>
            <w:r>
              <w:rPr>
                <w:rFonts w:asciiTheme="minorBidi" w:hAnsiTheme="minorBidi"/>
              </w:rPr>
              <w:t>.</w:t>
            </w:r>
            <w:r w:rsidR="007209EA">
              <w:rPr>
                <w:rFonts w:asciiTheme="minorBidi" w:hAnsiTheme="minorBidi"/>
              </w:rPr>
              <w:t xml:space="preserve"> </w:t>
            </w:r>
          </w:p>
          <w:p w14:paraId="674EBD35" w14:textId="269825C5" w:rsidR="00E2134E" w:rsidRPr="00D901A4" w:rsidRDefault="00E2134E" w:rsidP="00914C8E">
            <w:pPr>
              <w:rPr>
                <w:rFonts w:ascii="Arial" w:hAnsi="Arial" w:cs="Arial"/>
                <w:bCs/>
              </w:rPr>
            </w:pPr>
          </w:p>
        </w:tc>
      </w:tr>
      <w:tr w:rsidR="004057BA" w:rsidRPr="00D901A4" w14:paraId="31F0155A" w14:textId="77777777" w:rsidTr="006159E8">
        <w:trPr>
          <w:trHeight w:val="399"/>
        </w:trPr>
        <w:tc>
          <w:tcPr>
            <w:tcW w:w="1141" w:type="dxa"/>
          </w:tcPr>
          <w:p w14:paraId="24707140" w14:textId="2D008BA3" w:rsidR="004057BA" w:rsidRDefault="00BC0353" w:rsidP="00E2267D">
            <w:pPr>
              <w:tabs>
                <w:tab w:val="left" w:pos="5347"/>
              </w:tabs>
              <w:rPr>
                <w:rFonts w:ascii="Arial" w:hAnsi="Arial" w:cs="Arial"/>
              </w:rPr>
            </w:pPr>
            <w:r>
              <w:rPr>
                <w:rFonts w:ascii="Arial" w:hAnsi="Arial" w:cs="Arial"/>
              </w:rPr>
              <w:lastRenderedPageBreak/>
              <w:t>9.</w:t>
            </w:r>
            <w:r w:rsidR="00EB6EE9">
              <w:rPr>
                <w:rFonts w:ascii="Arial" w:hAnsi="Arial" w:cs="Arial"/>
              </w:rPr>
              <w:t>4</w:t>
            </w:r>
          </w:p>
        </w:tc>
        <w:tc>
          <w:tcPr>
            <w:tcW w:w="7875" w:type="dxa"/>
          </w:tcPr>
          <w:p w14:paraId="66820D98" w14:textId="77777777" w:rsidR="00BC0353" w:rsidRDefault="00BC0353" w:rsidP="00BC0353">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26507ED9" w14:textId="77777777" w:rsidR="00BC0353" w:rsidRDefault="00BC0353" w:rsidP="00BC0353">
            <w:pPr>
              <w:tabs>
                <w:tab w:val="left" w:pos="5347"/>
              </w:tabs>
              <w:rPr>
                <w:rFonts w:ascii="Arial" w:hAnsi="Arial" w:cs="Arial"/>
                <w:bCs/>
              </w:rPr>
            </w:pPr>
          </w:p>
          <w:p w14:paraId="47A0F1E3" w14:textId="77777777" w:rsidR="00F942FC" w:rsidRPr="00F942FC" w:rsidRDefault="00F942FC" w:rsidP="006C1D76">
            <w:pPr>
              <w:pStyle w:val="ListParagraph"/>
              <w:numPr>
                <w:ilvl w:val="0"/>
                <w:numId w:val="6"/>
              </w:numPr>
              <w:rPr>
                <w:rFonts w:asciiTheme="minorBidi" w:hAnsiTheme="minorBidi"/>
              </w:rPr>
            </w:pPr>
            <w:r w:rsidRPr="00F942FC">
              <w:rPr>
                <w:rFonts w:asciiTheme="minorBidi" w:hAnsiTheme="minorBidi"/>
              </w:rPr>
              <w:t>Noted that the CNI Annual Report had a limited distribution and the factual information from the case study would need to be disseminated further to support ONR messaging.</w:t>
            </w:r>
          </w:p>
          <w:p w14:paraId="046C646A" w14:textId="2457416C" w:rsidR="00F942FC" w:rsidRPr="00F942FC" w:rsidRDefault="00F942FC" w:rsidP="006C1D76">
            <w:pPr>
              <w:pStyle w:val="ListParagraph"/>
              <w:numPr>
                <w:ilvl w:val="0"/>
                <w:numId w:val="6"/>
              </w:numPr>
              <w:rPr>
                <w:rFonts w:asciiTheme="minorBidi" w:hAnsiTheme="minorBidi"/>
              </w:rPr>
            </w:pPr>
            <w:r w:rsidRPr="00F942FC">
              <w:rPr>
                <w:rFonts w:asciiTheme="minorBidi" w:hAnsiTheme="minorBidi"/>
              </w:rPr>
              <w:t xml:space="preserve">The recent change in </w:t>
            </w:r>
            <w:r w:rsidR="002466B5">
              <w:rPr>
                <w:rFonts w:asciiTheme="minorBidi" w:hAnsiTheme="minorBidi"/>
              </w:rPr>
              <w:t>G</w:t>
            </w:r>
            <w:r w:rsidRPr="00F942FC">
              <w:rPr>
                <w:rFonts w:asciiTheme="minorBidi" w:hAnsiTheme="minorBidi"/>
              </w:rPr>
              <w:t>overnment provided an opportunity to reposition ONR</w:t>
            </w:r>
            <w:r w:rsidR="002466B5">
              <w:rPr>
                <w:rFonts w:asciiTheme="minorBidi" w:hAnsiTheme="minorBidi"/>
              </w:rPr>
              <w:t>’</w:t>
            </w:r>
            <w:r w:rsidRPr="00F942FC">
              <w:rPr>
                <w:rFonts w:asciiTheme="minorBidi" w:hAnsiTheme="minorBidi"/>
              </w:rPr>
              <w:t>s role and go beyond communicat</w:t>
            </w:r>
            <w:r w:rsidR="009E39F0">
              <w:rPr>
                <w:rFonts w:asciiTheme="minorBidi" w:hAnsiTheme="minorBidi"/>
              </w:rPr>
              <w:t xml:space="preserve">ing </w:t>
            </w:r>
            <w:r w:rsidR="00EE5781">
              <w:rPr>
                <w:rFonts w:asciiTheme="minorBidi" w:hAnsiTheme="minorBidi"/>
              </w:rPr>
              <w:t xml:space="preserve">primarily </w:t>
            </w:r>
            <w:r w:rsidR="009E39F0">
              <w:rPr>
                <w:rFonts w:asciiTheme="minorBidi" w:hAnsiTheme="minorBidi"/>
              </w:rPr>
              <w:t>on new nuclear</w:t>
            </w:r>
            <w:r w:rsidRPr="00F942FC">
              <w:rPr>
                <w:rFonts w:asciiTheme="minorBidi" w:hAnsiTheme="minorBidi"/>
              </w:rPr>
              <w:t xml:space="preserve">. There was a bigger job to do which would need significantly more work on ONR’s position </w:t>
            </w:r>
            <w:r w:rsidR="003301D3">
              <w:rPr>
                <w:rFonts w:asciiTheme="minorBidi" w:hAnsiTheme="minorBidi"/>
              </w:rPr>
              <w:t xml:space="preserve">on </w:t>
            </w:r>
            <w:r w:rsidRPr="00F942FC">
              <w:rPr>
                <w:rFonts w:asciiTheme="minorBidi" w:hAnsiTheme="minorBidi"/>
              </w:rPr>
              <w:t>decommissioning and new nuclear policy.</w:t>
            </w:r>
          </w:p>
          <w:p w14:paraId="4D54ECE8" w14:textId="3D81AE9A" w:rsidR="00F942FC" w:rsidRPr="009E39F0" w:rsidRDefault="00F942FC" w:rsidP="006C1D76">
            <w:pPr>
              <w:pStyle w:val="ListParagraph"/>
              <w:numPr>
                <w:ilvl w:val="0"/>
                <w:numId w:val="6"/>
              </w:numPr>
              <w:rPr>
                <w:rFonts w:asciiTheme="minorBidi" w:hAnsiTheme="minorBidi"/>
              </w:rPr>
            </w:pPr>
            <w:r w:rsidRPr="00F942FC">
              <w:rPr>
                <w:rFonts w:asciiTheme="minorBidi" w:hAnsiTheme="minorBidi"/>
              </w:rPr>
              <w:t>Discussed the need for responding at pace</w:t>
            </w:r>
            <w:r w:rsidR="009E39F0">
              <w:rPr>
                <w:rFonts w:asciiTheme="minorBidi" w:hAnsiTheme="minorBidi"/>
              </w:rPr>
              <w:t>,</w:t>
            </w:r>
            <w:r w:rsidRPr="00F942FC">
              <w:rPr>
                <w:rFonts w:asciiTheme="minorBidi" w:hAnsiTheme="minorBidi"/>
              </w:rPr>
              <w:t xml:space="preserve"> and while recognising the need for a swift response</w:t>
            </w:r>
            <w:r w:rsidR="00DD6733">
              <w:rPr>
                <w:rFonts w:asciiTheme="minorBidi" w:hAnsiTheme="minorBidi"/>
              </w:rPr>
              <w:t>, providing a statement that would</w:t>
            </w:r>
            <w:r w:rsidRPr="00F942FC">
              <w:rPr>
                <w:rFonts w:asciiTheme="minorBidi" w:hAnsiTheme="minorBidi"/>
              </w:rPr>
              <w:t xml:space="preserve"> not require the factual detail</w:t>
            </w:r>
            <w:r w:rsidR="003C4E07">
              <w:rPr>
                <w:rFonts w:asciiTheme="minorBidi" w:hAnsiTheme="minorBidi"/>
              </w:rPr>
              <w:t xml:space="preserve"> to ensure any headline did not </w:t>
            </w:r>
            <w:r w:rsidR="00D07DE5">
              <w:rPr>
                <w:rFonts w:asciiTheme="minorBidi" w:hAnsiTheme="minorBidi"/>
              </w:rPr>
              <w:t>remain</w:t>
            </w:r>
            <w:r w:rsidR="003C4E07">
              <w:rPr>
                <w:rFonts w:asciiTheme="minorBidi" w:hAnsiTheme="minorBidi"/>
              </w:rPr>
              <w:t xml:space="preserve"> </w:t>
            </w:r>
            <w:r w:rsidR="00392744">
              <w:rPr>
                <w:rFonts w:asciiTheme="minorBidi" w:hAnsiTheme="minorBidi"/>
              </w:rPr>
              <w:t xml:space="preserve">focussed </w:t>
            </w:r>
            <w:r w:rsidR="003C4E07">
              <w:rPr>
                <w:rFonts w:asciiTheme="minorBidi" w:hAnsiTheme="minorBidi"/>
              </w:rPr>
              <w:t>on ONR</w:t>
            </w:r>
            <w:r w:rsidR="00DD6733">
              <w:rPr>
                <w:rFonts w:asciiTheme="minorBidi" w:hAnsiTheme="minorBidi"/>
              </w:rPr>
              <w:t xml:space="preserve">. </w:t>
            </w:r>
            <w:r w:rsidR="009E39F0">
              <w:rPr>
                <w:rFonts w:asciiTheme="minorBidi" w:hAnsiTheme="minorBidi"/>
              </w:rPr>
              <w:t xml:space="preserve">The Board commented on </w:t>
            </w:r>
            <w:r w:rsidR="009E39F0" w:rsidRPr="00F942FC">
              <w:rPr>
                <w:rFonts w:asciiTheme="minorBidi" w:hAnsiTheme="minorBidi"/>
              </w:rPr>
              <w:t>the need for a</w:t>
            </w:r>
            <w:r w:rsidR="009E39F0">
              <w:rPr>
                <w:rFonts w:asciiTheme="minorBidi" w:hAnsiTheme="minorBidi"/>
              </w:rPr>
              <w:t xml:space="preserve"> more immediate </w:t>
            </w:r>
            <w:r w:rsidR="009E39F0" w:rsidRPr="00F942FC">
              <w:rPr>
                <w:rFonts w:asciiTheme="minorBidi" w:hAnsiTheme="minorBidi"/>
              </w:rPr>
              <w:t>mechanism</w:t>
            </w:r>
            <w:r w:rsidR="009E39F0">
              <w:rPr>
                <w:rFonts w:asciiTheme="minorBidi" w:hAnsiTheme="minorBidi"/>
              </w:rPr>
              <w:t xml:space="preserve"> to</w:t>
            </w:r>
            <w:r w:rsidR="009E39F0" w:rsidRPr="00F942FC">
              <w:rPr>
                <w:rFonts w:asciiTheme="minorBidi" w:hAnsiTheme="minorBidi"/>
              </w:rPr>
              <w:t xml:space="preserve"> counte</w:t>
            </w:r>
            <w:r w:rsidR="009E39F0">
              <w:rPr>
                <w:rFonts w:asciiTheme="minorBidi" w:hAnsiTheme="minorBidi"/>
              </w:rPr>
              <w:t>r</w:t>
            </w:r>
            <w:r w:rsidR="009E39F0" w:rsidRPr="00F942FC">
              <w:rPr>
                <w:rFonts w:asciiTheme="minorBidi" w:hAnsiTheme="minorBidi"/>
              </w:rPr>
              <w:t xml:space="preserve"> misinformation more widely. </w:t>
            </w:r>
          </w:p>
          <w:p w14:paraId="5E4D35DA" w14:textId="029D1664" w:rsidR="00F942FC" w:rsidRDefault="00F942FC" w:rsidP="006C1D76">
            <w:pPr>
              <w:pStyle w:val="ListParagraph"/>
              <w:numPr>
                <w:ilvl w:val="0"/>
                <w:numId w:val="6"/>
              </w:numPr>
              <w:rPr>
                <w:rFonts w:asciiTheme="minorBidi" w:hAnsiTheme="minorBidi"/>
              </w:rPr>
            </w:pPr>
            <w:r>
              <w:rPr>
                <w:rFonts w:asciiTheme="minorBidi" w:hAnsiTheme="minorBidi"/>
              </w:rPr>
              <w:t xml:space="preserve">Recognised the tension between communications and regulatory teams in </w:t>
            </w:r>
            <w:r w:rsidR="00B30AFC">
              <w:rPr>
                <w:rFonts w:asciiTheme="minorBidi" w:hAnsiTheme="minorBidi"/>
              </w:rPr>
              <w:t xml:space="preserve">language used in describing what </w:t>
            </w:r>
            <w:r w:rsidR="009E39F0">
              <w:rPr>
                <w:rFonts w:asciiTheme="minorBidi" w:hAnsiTheme="minorBidi"/>
              </w:rPr>
              <w:t>ONR</w:t>
            </w:r>
            <w:r w:rsidR="00B30AFC">
              <w:rPr>
                <w:rFonts w:asciiTheme="minorBidi" w:hAnsiTheme="minorBidi"/>
              </w:rPr>
              <w:t xml:space="preserve"> do</w:t>
            </w:r>
            <w:r w:rsidR="0046553B">
              <w:rPr>
                <w:rFonts w:asciiTheme="minorBidi" w:hAnsiTheme="minorBidi"/>
              </w:rPr>
              <w:t>es</w:t>
            </w:r>
            <w:r w:rsidR="00B30AFC">
              <w:rPr>
                <w:rFonts w:asciiTheme="minorBidi" w:hAnsiTheme="minorBidi"/>
              </w:rPr>
              <w:t xml:space="preserve"> but </w:t>
            </w:r>
            <w:r w:rsidR="00476A3A">
              <w:rPr>
                <w:rFonts w:asciiTheme="minorBidi" w:hAnsiTheme="minorBidi"/>
              </w:rPr>
              <w:t xml:space="preserve">noted the need for </w:t>
            </w:r>
            <w:r w:rsidR="00B32D98">
              <w:rPr>
                <w:rFonts w:asciiTheme="minorBidi" w:hAnsiTheme="minorBidi"/>
              </w:rPr>
              <w:t>communicating to a</w:t>
            </w:r>
            <w:r w:rsidR="000C3E04">
              <w:rPr>
                <w:rFonts w:asciiTheme="minorBidi" w:hAnsiTheme="minorBidi"/>
              </w:rPr>
              <w:t xml:space="preserve"> different</w:t>
            </w:r>
            <w:r w:rsidR="00B32D98">
              <w:rPr>
                <w:rFonts w:asciiTheme="minorBidi" w:hAnsiTheme="minorBidi"/>
              </w:rPr>
              <w:t xml:space="preserve"> </w:t>
            </w:r>
            <w:r w:rsidR="000C3E04">
              <w:rPr>
                <w:rFonts w:asciiTheme="minorBidi" w:hAnsiTheme="minorBidi"/>
              </w:rPr>
              <w:t xml:space="preserve">and </w:t>
            </w:r>
            <w:r w:rsidR="00B32D98">
              <w:rPr>
                <w:rFonts w:asciiTheme="minorBidi" w:hAnsiTheme="minorBidi"/>
              </w:rPr>
              <w:t xml:space="preserve">non-nuclear audience </w:t>
            </w:r>
            <w:r w:rsidR="009E39F0">
              <w:rPr>
                <w:rFonts w:asciiTheme="minorBidi" w:hAnsiTheme="minorBidi"/>
              </w:rPr>
              <w:t xml:space="preserve">on </w:t>
            </w:r>
            <w:r w:rsidR="000C3E04">
              <w:rPr>
                <w:rFonts w:asciiTheme="minorBidi" w:hAnsiTheme="minorBidi"/>
              </w:rPr>
              <w:t>ONR’s stance.</w:t>
            </w:r>
          </w:p>
          <w:p w14:paraId="49F77799" w14:textId="45486008" w:rsidR="00476A3A" w:rsidRDefault="00476A3A" w:rsidP="006C1D76">
            <w:pPr>
              <w:pStyle w:val="ListParagraph"/>
              <w:numPr>
                <w:ilvl w:val="0"/>
                <w:numId w:val="6"/>
              </w:numPr>
              <w:rPr>
                <w:rFonts w:asciiTheme="minorBidi" w:hAnsiTheme="minorBidi"/>
              </w:rPr>
            </w:pPr>
            <w:r>
              <w:rPr>
                <w:rFonts w:asciiTheme="minorBidi" w:hAnsiTheme="minorBidi"/>
              </w:rPr>
              <w:t>Highlighted the need for benchmarking against other technical regulators and how they communicate.</w:t>
            </w:r>
          </w:p>
          <w:p w14:paraId="3E92E8DC" w14:textId="0CF9E333" w:rsidR="00024115" w:rsidRDefault="00F80F63" w:rsidP="006C1D76">
            <w:pPr>
              <w:pStyle w:val="ListParagraph"/>
              <w:numPr>
                <w:ilvl w:val="0"/>
                <w:numId w:val="6"/>
              </w:numPr>
              <w:rPr>
                <w:rFonts w:asciiTheme="minorBidi" w:hAnsiTheme="minorBidi"/>
              </w:rPr>
            </w:pPr>
            <w:r>
              <w:rPr>
                <w:rFonts w:asciiTheme="minorBidi" w:hAnsiTheme="minorBidi"/>
              </w:rPr>
              <w:t xml:space="preserve">Asked </w:t>
            </w:r>
            <w:r w:rsidR="00E9779B">
              <w:rPr>
                <w:rFonts w:asciiTheme="minorBidi" w:hAnsiTheme="minorBidi"/>
              </w:rPr>
              <w:t>for t</w:t>
            </w:r>
            <w:r w:rsidR="00024115">
              <w:rPr>
                <w:rFonts w:asciiTheme="minorBidi" w:hAnsiTheme="minorBidi"/>
              </w:rPr>
              <w:t xml:space="preserve">he broader debate on ONR and its communications </w:t>
            </w:r>
            <w:r w:rsidR="00E9779B">
              <w:rPr>
                <w:rFonts w:asciiTheme="minorBidi" w:hAnsiTheme="minorBidi"/>
              </w:rPr>
              <w:t xml:space="preserve">to </w:t>
            </w:r>
            <w:r w:rsidR="00024115">
              <w:rPr>
                <w:rFonts w:asciiTheme="minorBidi" w:hAnsiTheme="minorBidi"/>
              </w:rPr>
              <w:t xml:space="preserve">be a substantive agenda item at the </w:t>
            </w:r>
            <w:r w:rsidR="005F718A">
              <w:rPr>
                <w:rFonts w:asciiTheme="minorBidi" w:hAnsiTheme="minorBidi"/>
              </w:rPr>
              <w:t>upcoming Board Strategy day.</w:t>
            </w:r>
          </w:p>
          <w:p w14:paraId="6298E190" w14:textId="77777777" w:rsidR="00B76D8D" w:rsidRDefault="005F718A" w:rsidP="006C1D76">
            <w:pPr>
              <w:pStyle w:val="ListParagraph"/>
              <w:numPr>
                <w:ilvl w:val="0"/>
                <w:numId w:val="6"/>
              </w:numPr>
              <w:rPr>
                <w:rFonts w:asciiTheme="minorBidi" w:hAnsiTheme="minorBidi"/>
              </w:rPr>
            </w:pPr>
            <w:r>
              <w:rPr>
                <w:rFonts w:asciiTheme="minorBidi" w:hAnsiTheme="minorBidi"/>
              </w:rPr>
              <w:t>Noted the increased public correspondence</w:t>
            </w:r>
            <w:r w:rsidR="00371FB7">
              <w:rPr>
                <w:rFonts w:asciiTheme="minorBidi" w:hAnsiTheme="minorBidi"/>
              </w:rPr>
              <w:t xml:space="preserve"> received by ONR and the resourcing and prioritisation needed.</w:t>
            </w:r>
          </w:p>
          <w:p w14:paraId="566E6F32" w14:textId="09B3EE62" w:rsidR="00B76D8D" w:rsidRDefault="00B76D8D" w:rsidP="006C1D76">
            <w:pPr>
              <w:pStyle w:val="ListParagraph"/>
              <w:numPr>
                <w:ilvl w:val="0"/>
                <w:numId w:val="6"/>
              </w:numPr>
              <w:rPr>
                <w:rFonts w:asciiTheme="minorBidi" w:hAnsiTheme="minorBidi"/>
              </w:rPr>
            </w:pPr>
            <w:r w:rsidRPr="00B76D8D">
              <w:rPr>
                <w:rFonts w:asciiTheme="minorBidi" w:hAnsiTheme="minorBidi"/>
              </w:rPr>
              <w:t>Highlighted the demand</w:t>
            </w:r>
            <w:r w:rsidR="006E61E0">
              <w:rPr>
                <w:rFonts w:asciiTheme="minorBidi" w:hAnsiTheme="minorBidi"/>
              </w:rPr>
              <w:t xml:space="preserve"> that would be needed</w:t>
            </w:r>
            <w:r w:rsidRPr="00B76D8D">
              <w:rPr>
                <w:rFonts w:asciiTheme="minorBidi" w:hAnsiTheme="minorBidi"/>
              </w:rPr>
              <w:t xml:space="preserve"> in </w:t>
            </w:r>
            <w:r w:rsidR="006E61E0">
              <w:rPr>
                <w:rFonts w:asciiTheme="minorBidi" w:hAnsiTheme="minorBidi"/>
              </w:rPr>
              <w:t>maintaining responses to</w:t>
            </w:r>
            <w:r w:rsidRPr="00B76D8D">
              <w:rPr>
                <w:rFonts w:asciiTheme="minorBidi" w:hAnsiTheme="minorBidi"/>
              </w:rPr>
              <w:t xml:space="preserve"> proactive engagement.</w:t>
            </w:r>
          </w:p>
          <w:p w14:paraId="660585B6" w14:textId="2700C78F" w:rsidR="008E78E0" w:rsidRDefault="00941B04" w:rsidP="006C1D76">
            <w:pPr>
              <w:pStyle w:val="ListParagraph"/>
              <w:numPr>
                <w:ilvl w:val="0"/>
                <w:numId w:val="6"/>
              </w:numPr>
              <w:rPr>
                <w:rFonts w:asciiTheme="minorBidi" w:hAnsiTheme="minorBidi"/>
              </w:rPr>
            </w:pPr>
            <w:r>
              <w:rPr>
                <w:rFonts w:asciiTheme="minorBidi" w:hAnsiTheme="minorBidi"/>
              </w:rPr>
              <w:t>Noted that r</w:t>
            </w:r>
            <w:r w:rsidR="006062F1">
              <w:rPr>
                <w:rFonts w:asciiTheme="minorBidi" w:hAnsiTheme="minorBidi"/>
              </w:rPr>
              <w:t>e-visiting the boundaries of what ONR’s functions were would be the first step</w:t>
            </w:r>
            <w:r>
              <w:rPr>
                <w:rFonts w:asciiTheme="minorBidi" w:hAnsiTheme="minorBidi"/>
              </w:rPr>
              <w:t xml:space="preserve"> before developing the messages that</w:t>
            </w:r>
            <w:r w:rsidR="00120815">
              <w:rPr>
                <w:rFonts w:asciiTheme="minorBidi" w:hAnsiTheme="minorBidi"/>
              </w:rPr>
              <w:t>,</w:t>
            </w:r>
            <w:r>
              <w:rPr>
                <w:rFonts w:asciiTheme="minorBidi" w:hAnsiTheme="minorBidi"/>
              </w:rPr>
              <w:t xml:space="preserve"> once developed</w:t>
            </w:r>
            <w:r w:rsidR="00120815">
              <w:rPr>
                <w:rFonts w:asciiTheme="minorBidi" w:hAnsiTheme="minorBidi"/>
              </w:rPr>
              <w:t>,</w:t>
            </w:r>
            <w:r>
              <w:rPr>
                <w:rFonts w:asciiTheme="minorBidi" w:hAnsiTheme="minorBidi"/>
              </w:rPr>
              <w:t xml:space="preserve"> could be used with stakeholders.</w:t>
            </w:r>
          </w:p>
          <w:p w14:paraId="3906D6E2" w14:textId="6DE82FAD" w:rsidR="00B76D8D" w:rsidRPr="00C613AC" w:rsidRDefault="00941B04" w:rsidP="006C1D76">
            <w:pPr>
              <w:pStyle w:val="ListParagraph"/>
              <w:numPr>
                <w:ilvl w:val="0"/>
                <w:numId w:val="6"/>
              </w:numPr>
              <w:rPr>
                <w:rFonts w:asciiTheme="minorBidi" w:hAnsiTheme="minorBidi"/>
              </w:rPr>
            </w:pPr>
            <w:r>
              <w:rPr>
                <w:rFonts w:asciiTheme="minorBidi" w:hAnsiTheme="minorBidi"/>
              </w:rPr>
              <w:t>Noted the need for SLT ownersh</w:t>
            </w:r>
            <w:r w:rsidR="0052665D">
              <w:rPr>
                <w:rFonts w:asciiTheme="minorBidi" w:hAnsiTheme="minorBidi"/>
              </w:rPr>
              <w:t>ip on developing ONR’s position on issues.</w:t>
            </w:r>
          </w:p>
          <w:p w14:paraId="08B564FE" w14:textId="40558EF7" w:rsidR="00090E5C" w:rsidRPr="00F942FC" w:rsidRDefault="00090E5C" w:rsidP="00F942FC">
            <w:pPr>
              <w:rPr>
                <w:rFonts w:asciiTheme="minorBidi" w:hAnsiTheme="minorBidi"/>
              </w:rPr>
            </w:pPr>
          </w:p>
        </w:tc>
      </w:tr>
      <w:tr w:rsidR="00A84CE0" w:rsidRPr="00D901A4" w14:paraId="7A64B082" w14:textId="77777777" w:rsidTr="006159E8">
        <w:trPr>
          <w:trHeight w:val="399"/>
        </w:trPr>
        <w:tc>
          <w:tcPr>
            <w:tcW w:w="1141" w:type="dxa"/>
          </w:tcPr>
          <w:p w14:paraId="09FA6B05" w14:textId="70EDBBBB" w:rsidR="00A84CE0" w:rsidRPr="002D1E15" w:rsidRDefault="00A95620" w:rsidP="004E210C">
            <w:pPr>
              <w:tabs>
                <w:tab w:val="left" w:pos="5347"/>
              </w:tabs>
              <w:rPr>
                <w:rFonts w:ascii="Arial" w:hAnsi="Arial" w:cs="Arial"/>
              </w:rPr>
            </w:pPr>
            <w:r w:rsidRPr="002D1E15">
              <w:rPr>
                <w:rFonts w:ascii="Arial" w:hAnsi="Arial" w:cs="Arial"/>
              </w:rPr>
              <w:t>9.</w:t>
            </w:r>
            <w:r w:rsidR="00EB6EE9" w:rsidRPr="002D1E15">
              <w:rPr>
                <w:rFonts w:ascii="Arial" w:hAnsi="Arial" w:cs="Arial"/>
              </w:rPr>
              <w:t>5</w:t>
            </w:r>
          </w:p>
        </w:tc>
        <w:tc>
          <w:tcPr>
            <w:tcW w:w="7875" w:type="dxa"/>
          </w:tcPr>
          <w:p w14:paraId="0711C839" w14:textId="4C0425C6" w:rsidR="00A84CE0" w:rsidRPr="002D1E15" w:rsidRDefault="00A95620" w:rsidP="004E210C">
            <w:pPr>
              <w:tabs>
                <w:tab w:val="left" w:pos="5347"/>
              </w:tabs>
              <w:rPr>
                <w:rFonts w:ascii="Arial" w:hAnsi="Arial" w:cs="Arial"/>
              </w:rPr>
            </w:pPr>
            <w:r w:rsidRPr="002D1E15">
              <w:rPr>
                <w:rFonts w:ascii="Arial" w:hAnsi="Arial" w:cs="Arial"/>
              </w:rPr>
              <w:t>The Board</w:t>
            </w:r>
            <w:r w:rsidR="00941B04" w:rsidRPr="002D1E15">
              <w:rPr>
                <w:rFonts w:ascii="Arial" w:hAnsi="Arial" w:cs="Arial"/>
              </w:rPr>
              <w:t xml:space="preserve"> supported the propos</w:t>
            </w:r>
            <w:r w:rsidR="002B6D21" w:rsidRPr="002D1E15">
              <w:rPr>
                <w:rFonts w:ascii="Arial" w:hAnsi="Arial" w:cs="Arial"/>
              </w:rPr>
              <w:t>ed activities outlined</w:t>
            </w:r>
            <w:r w:rsidR="00941B04" w:rsidRPr="002D1E15">
              <w:rPr>
                <w:rFonts w:ascii="Arial" w:hAnsi="Arial" w:cs="Arial"/>
              </w:rPr>
              <w:t xml:space="preserve"> in the paper</w:t>
            </w:r>
            <w:r w:rsidR="002A51CB">
              <w:rPr>
                <w:rFonts w:ascii="Arial" w:hAnsi="Arial" w:cs="Arial"/>
              </w:rPr>
              <w:t xml:space="preserve"> </w:t>
            </w:r>
            <w:r w:rsidR="00D9014C" w:rsidRPr="002D1E15">
              <w:rPr>
                <w:rFonts w:ascii="Arial" w:hAnsi="Arial" w:cs="Arial"/>
              </w:rPr>
              <w:t xml:space="preserve">but </w:t>
            </w:r>
            <w:r w:rsidR="002A51CB">
              <w:rPr>
                <w:rFonts w:ascii="Arial" w:hAnsi="Arial" w:cs="Arial"/>
              </w:rPr>
              <w:t>felt that the ambition of the proposals did not stretch far enough</w:t>
            </w:r>
            <w:r w:rsidR="00D9014C" w:rsidRPr="002D1E15">
              <w:rPr>
                <w:rFonts w:ascii="Arial" w:hAnsi="Arial" w:cs="Arial"/>
              </w:rPr>
              <w:t>.</w:t>
            </w:r>
            <w:r w:rsidR="004C4863">
              <w:rPr>
                <w:rFonts w:ascii="Arial" w:hAnsi="Arial" w:cs="Arial"/>
              </w:rPr>
              <w:t xml:space="preserve"> </w:t>
            </w:r>
            <w:r w:rsidR="00D9014C" w:rsidRPr="002D1E15">
              <w:rPr>
                <w:rFonts w:ascii="Arial" w:hAnsi="Arial" w:cs="Arial"/>
              </w:rPr>
              <w:t xml:space="preserve">The Board emphasised the </w:t>
            </w:r>
            <w:r w:rsidR="00D161C8" w:rsidRPr="002D1E15">
              <w:rPr>
                <w:rFonts w:ascii="Arial" w:hAnsi="Arial" w:cs="Arial"/>
              </w:rPr>
              <w:t>need to revisit the boundaries of ONR’s ambitions before developing the narrat</w:t>
            </w:r>
            <w:r w:rsidR="002D1E15" w:rsidRPr="002D1E15">
              <w:rPr>
                <w:rFonts w:ascii="Arial" w:hAnsi="Arial" w:cs="Arial"/>
              </w:rPr>
              <w:t>ive to take. This would be a significant step change in ONR</w:t>
            </w:r>
            <w:r w:rsidR="00047CFE">
              <w:rPr>
                <w:rFonts w:ascii="Arial" w:hAnsi="Arial" w:cs="Arial"/>
              </w:rPr>
              <w:t>’</w:t>
            </w:r>
            <w:r w:rsidR="002D1E15" w:rsidRPr="002D1E15">
              <w:rPr>
                <w:rFonts w:ascii="Arial" w:hAnsi="Arial" w:cs="Arial"/>
              </w:rPr>
              <w:t>s approach to communications.</w:t>
            </w:r>
            <w:r w:rsidR="00F74EC3" w:rsidRPr="002D1E15">
              <w:rPr>
                <w:rFonts w:ascii="Arial" w:hAnsi="Arial" w:cs="Arial"/>
              </w:rPr>
              <w:t xml:space="preserve"> </w:t>
            </w:r>
            <w:r w:rsidR="00D9014C" w:rsidRPr="002D1E15">
              <w:rPr>
                <w:rFonts w:ascii="Arial" w:hAnsi="Arial" w:cs="Arial"/>
              </w:rPr>
              <w:t>The Board noted</w:t>
            </w:r>
            <w:r w:rsidR="00F74EC3" w:rsidRPr="002D1E15">
              <w:rPr>
                <w:rFonts w:ascii="Arial" w:hAnsi="Arial" w:cs="Arial"/>
              </w:rPr>
              <w:t xml:space="preserve"> that there would be some pre-work needed in advance of the Board Strategy Day in October. </w:t>
            </w:r>
          </w:p>
          <w:p w14:paraId="66E85729" w14:textId="47C9C2DC" w:rsidR="00362477" w:rsidRPr="002D1E15" w:rsidRDefault="00362477" w:rsidP="004E210C">
            <w:pPr>
              <w:tabs>
                <w:tab w:val="left" w:pos="5347"/>
              </w:tabs>
              <w:rPr>
                <w:rFonts w:ascii="Arial" w:hAnsi="Arial" w:cs="Arial"/>
              </w:rPr>
            </w:pPr>
          </w:p>
        </w:tc>
      </w:tr>
      <w:tr w:rsidR="004E210C" w:rsidRPr="00D901A4" w14:paraId="33193583" w14:textId="77777777" w:rsidTr="006159E8">
        <w:trPr>
          <w:trHeight w:val="399"/>
        </w:trPr>
        <w:tc>
          <w:tcPr>
            <w:tcW w:w="1141" w:type="dxa"/>
          </w:tcPr>
          <w:p w14:paraId="4AA1EF81" w14:textId="6E3BA904" w:rsidR="004E210C" w:rsidRPr="00BC0353" w:rsidRDefault="004E210C" w:rsidP="004E210C">
            <w:pPr>
              <w:tabs>
                <w:tab w:val="left" w:pos="5347"/>
              </w:tabs>
              <w:rPr>
                <w:rFonts w:ascii="Arial" w:hAnsi="Arial" w:cs="Arial"/>
                <w:b/>
                <w:bCs/>
              </w:rPr>
            </w:pPr>
            <w:r w:rsidRPr="00BC0353">
              <w:rPr>
                <w:rFonts w:ascii="Arial" w:hAnsi="Arial" w:cs="Arial"/>
                <w:b/>
                <w:bCs/>
              </w:rPr>
              <w:t>10</w:t>
            </w:r>
          </w:p>
        </w:tc>
        <w:tc>
          <w:tcPr>
            <w:tcW w:w="7875" w:type="dxa"/>
          </w:tcPr>
          <w:p w14:paraId="416DF9E9" w14:textId="3F1E08BC" w:rsidR="004E210C" w:rsidRPr="00BC0353" w:rsidRDefault="00184B93" w:rsidP="004E210C">
            <w:pPr>
              <w:tabs>
                <w:tab w:val="left" w:pos="5347"/>
              </w:tabs>
              <w:rPr>
                <w:rFonts w:ascii="Arial" w:hAnsi="Arial" w:cs="Arial"/>
                <w:b/>
              </w:rPr>
            </w:pPr>
            <w:r w:rsidRPr="00184B93">
              <w:rPr>
                <w:rFonts w:ascii="Arial" w:hAnsi="Arial" w:cs="Arial"/>
                <w:b/>
              </w:rPr>
              <w:t>CE/CNI Special Adviser Quarterly Update</w:t>
            </w:r>
          </w:p>
        </w:tc>
      </w:tr>
      <w:tr w:rsidR="004E210C" w:rsidRPr="00D901A4" w14:paraId="0CFBA047" w14:textId="77777777" w:rsidTr="006159E8">
        <w:trPr>
          <w:trHeight w:val="399"/>
        </w:trPr>
        <w:tc>
          <w:tcPr>
            <w:tcW w:w="1141" w:type="dxa"/>
          </w:tcPr>
          <w:p w14:paraId="6926C292" w14:textId="208F25A1" w:rsidR="004E210C" w:rsidRPr="00BC0353" w:rsidRDefault="004E210C" w:rsidP="004E210C">
            <w:pPr>
              <w:tabs>
                <w:tab w:val="left" w:pos="5347"/>
              </w:tabs>
              <w:rPr>
                <w:rFonts w:ascii="Arial" w:hAnsi="Arial" w:cs="Arial"/>
                <w:b/>
                <w:bCs/>
              </w:rPr>
            </w:pPr>
            <w:r>
              <w:rPr>
                <w:rFonts w:ascii="Arial" w:hAnsi="Arial" w:cs="Arial"/>
              </w:rPr>
              <w:lastRenderedPageBreak/>
              <w:t>10.1</w:t>
            </w:r>
          </w:p>
        </w:tc>
        <w:tc>
          <w:tcPr>
            <w:tcW w:w="7875" w:type="dxa"/>
          </w:tcPr>
          <w:p w14:paraId="45D9DBFE" w14:textId="5B00781F" w:rsidR="00441FC5" w:rsidRPr="00745AD2" w:rsidRDefault="00441FC5" w:rsidP="00441FC5">
            <w:pPr>
              <w:rPr>
                <w:rFonts w:ascii="Arial" w:hAnsi="Arial" w:cs="Arial"/>
              </w:rPr>
            </w:pPr>
            <w:r>
              <w:rPr>
                <w:rFonts w:ascii="Arial" w:hAnsi="Arial" w:cs="Arial"/>
              </w:rPr>
              <w:t xml:space="preserve">The </w:t>
            </w:r>
            <w:r w:rsidRPr="0039712B">
              <w:rPr>
                <w:rFonts w:ascii="Arial" w:hAnsi="Arial" w:cs="Arial"/>
              </w:rPr>
              <w:t>Special</w:t>
            </w:r>
            <w:r>
              <w:rPr>
                <w:rFonts w:ascii="Arial" w:hAnsi="Arial" w:cs="Arial"/>
              </w:rPr>
              <w:t xml:space="preserve"> </w:t>
            </w:r>
            <w:r w:rsidRPr="0039712B">
              <w:rPr>
                <w:rFonts w:ascii="Arial" w:hAnsi="Arial" w:cs="Arial"/>
              </w:rPr>
              <w:t>Advisor to the Chief Executive</w:t>
            </w:r>
            <w:r>
              <w:rPr>
                <w:rFonts w:ascii="Arial" w:hAnsi="Arial" w:cs="Arial"/>
              </w:rPr>
              <w:t xml:space="preserve"> </w:t>
            </w:r>
            <w:r w:rsidRPr="0039712B">
              <w:rPr>
                <w:rFonts w:ascii="Arial" w:hAnsi="Arial" w:cs="Arial"/>
              </w:rPr>
              <w:t>and Chief Nuclear Inspector</w:t>
            </w:r>
            <w:r>
              <w:rPr>
                <w:rFonts w:ascii="Arial" w:hAnsi="Arial" w:cs="Arial"/>
              </w:rPr>
              <w:t xml:space="preserve"> introduced the paper which provided an update on </w:t>
            </w:r>
            <w:r w:rsidRPr="00745AD2">
              <w:rPr>
                <w:rFonts w:ascii="Arial" w:hAnsi="Arial" w:cs="Arial"/>
              </w:rPr>
              <w:t xml:space="preserve">matters relating to </w:t>
            </w:r>
            <w:r w:rsidR="00C613AC">
              <w:rPr>
                <w:rFonts w:ascii="Arial" w:hAnsi="Arial" w:cs="Arial"/>
              </w:rPr>
              <w:t xml:space="preserve">the </w:t>
            </w:r>
            <w:r w:rsidRPr="00745AD2">
              <w:rPr>
                <w:rFonts w:ascii="Arial" w:hAnsi="Arial" w:cs="Arial"/>
              </w:rPr>
              <w:t>modernisation of regulation</w:t>
            </w:r>
            <w:r>
              <w:rPr>
                <w:rFonts w:ascii="Arial" w:hAnsi="Arial" w:cs="Arial"/>
              </w:rPr>
              <w:t>.</w:t>
            </w:r>
          </w:p>
          <w:p w14:paraId="0F034F08" w14:textId="63018F19" w:rsidR="00797A2D" w:rsidRPr="004865D9" w:rsidRDefault="00797A2D" w:rsidP="004865D9">
            <w:pPr>
              <w:tabs>
                <w:tab w:val="left" w:pos="5347"/>
              </w:tabs>
              <w:rPr>
                <w:rFonts w:ascii="Arial" w:hAnsi="Arial" w:cs="Arial"/>
                <w:bCs/>
              </w:rPr>
            </w:pPr>
          </w:p>
        </w:tc>
      </w:tr>
      <w:tr w:rsidR="00A01A8D" w:rsidRPr="00D901A4" w14:paraId="52E613E1" w14:textId="77777777" w:rsidTr="006159E8">
        <w:trPr>
          <w:trHeight w:val="399"/>
        </w:trPr>
        <w:tc>
          <w:tcPr>
            <w:tcW w:w="1141" w:type="dxa"/>
          </w:tcPr>
          <w:p w14:paraId="4BE4D8BF" w14:textId="6139626F" w:rsidR="00A01A8D" w:rsidRDefault="00A01A8D" w:rsidP="004E210C">
            <w:pPr>
              <w:tabs>
                <w:tab w:val="left" w:pos="5347"/>
              </w:tabs>
              <w:rPr>
                <w:rFonts w:ascii="Arial" w:hAnsi="Arial" w:cs="Arial"/>
              </w:rPr>
            </w:pPr>
            <w:r>
              <w:rPr>
                <w:rFonts w:ascii="Arial" w:hAnsi="Arial" w:cs="Arial"/>
              </w:rPr>
              <w:t>10.2</w:t>
            </w:r>
          </w:p>
        </w:tc>
        <w:tc>
          <w:tcPr>
            <w:tcW w:w="7875" w:type="dxa"/>
          </w:tcPr>
          <w:p w14:paraId="5F9588E9" w14:textId="65BBB1D2" w:rsidR="00A01A8D" w:rsidRPr="00E76FCF" w:rsidRDefault="00A01A8D" w:rsidP="00A01A8D">
            <w:pPr>
              <w:rPr>
                <w:rFonts w:asciiTheme="minorBidi" w:hAnsiTheme="minorBidi"/>
              </w:rPr>
            </w:pPr>
            <w:r w:rsidRPr="00E76FCF">
              <w:rPr>
                <w:rFonts w:asciiTheme="minorBidi" w:hAnsiTheme="minorBidi"/>
              </w:rPr>
              <w:t xml:space="preserve">He reported that his focus had been on </w:t>
            </w:r>
            <w:r w:rsidR="007E768E">
              <w:rPr>
                <w:rFonts w:asciiTheme="minorBidi" w:hAnsiTheme="minorBidi"/>
              </w:rPr>
              <w:t xml:space="preserve">a number of </w:t>
            </w:r>
            <w:r w:rsidRPr="00E76FCF">
              <w:rPr>
                <w:rFonts w:asciiTheme="minorBidi" w:hAnsiTheme="minorBidi"/>
              </w:rPr>
              <w:t xml:space="preserve">priorities; the first was representation on the commission of safety standards (IAEA lead committee), trying to give a greater sense of coordination amongst nuclear representatives on the Commission on Safety Standards (CSS). </w:t>
            </w:r>
            <w:r w:rsidR="007E768E">
              <w:rPr>
                <w:rFonts w:asciiTheme="minorBidi" w:hAnsiTheme="minorBidi"/>
              </w:rPr>
              <w:t xml:space="preserve">He had also been looking at </w:t>
            </w:r>
            <w:r w:rsidRPr="00E76FCF">
              <w:rPr>
                <w:rFonts w:asciiTheme="minorBidi" w:hAnsiTheme="minorBidi"/>
              </w:rPr>
              <w:t xml:space="preserve">benchmarking ONR against both public and private sector organisations in relation to modernisation. </w:t>
            </w:r>
          </w:p>
          <w:p w14:paraId="255BEED4" w14:textId="77777777" w:rsidR="00A01A8D" w:rsidRDefault="00A01A8D" w:rsidP="00441FC5">
            <w:pPr>
              <w:rPr>
                <w:rFonts w:ascii="Arial" w:hAnsi="Arial" w:cs="Arial"/>
              </w:rPr>
            </w:pPr>
          </w:p>
        </w:tc>
      </w:tr>
      <w:tr w:rsidR="004A2CDC" w:rsidRPr="00D901A4" w14:paraId="4CB9565F" w14:textId="77777777" w:rsidTr="006159E8">
        <w:trPr>
          <w:trHeight w:val="399"/>
        </w:trPr>
        <w:tc>
          <w:tcPr>
            <w:tcW w:w="1141" w:type="dxa"/>
          </w:tcPr>
          <w:p w14:paraId="3FD87258" w14:textId="62CE00DD" w:rsidR="004A2CDC" w:rsidRPr="00D65586" w:rsidRDefault="00EB6EE9" w:rsidP="004E210C">
            <w:pPr>
              <w:tabs>
                <w:tab w:val="left" w:pos="5347"/>
              </w:tabs>
              <w:rPr>
                <w:rFonts w:ascii="Arial" w:hAnsi="Arial" w:cs="Arial"/>
              </w:rPr>
            </w:pPr>
            <w:r>
              <w:rPr>
                <w:rFonts w:ascii="Arial" w:hAnsi="Arial" w:cs="Arial"/>
              </w:rPr>
              <w:t>10.3</w:t>
            </w:r>
          </w:p>
        </w:tc>
        <w:tc>
          <w:tcPr>
            <w:tcW w:w="7875" w:type="dxa"/>
          </w:tcPr>
          <w:p w14:paraId="075117F6" w14:textId="1481560B" w:rsidR="004A2CDC" w:rsidRPr="00E76FCF" w:rsidRDefault="004A2CDC" w:rsidP="004A2CDC">
            <w:pPr>
              <w:rPr>
                <w:rFonts w:asciiTheme="minorBidi" w:hAnsiTheme="minorBidi"/>
              </w:rPr>
            </w:pPr>
            <w:r>
              <w:rPr>
                <w:rFonts w:asciiTheme="minorBidi" w:hAnsiTheme="minorBidi"/>
              </w:rPr>
              <w:t xml:space="preserve">He reported that this work would assist and </w:t>
            </w:r>
            <w:r w:rsidRPr="00E76FCF">
              <w:rPr>
                <w:rFonts w:asciiTheme="minorBidi" w:hAnsiTheme="minorBidi"/>
              </w:rPr>
              <w:t xml:space="preserve">stimulate </w:t>
            </w:r>
            <w:r>
              <w:rPr>
                <w:rFonts w:asciiTheme="minorBidi" w:hAnsiTheme="minorBidi"/>
              </w:rPr>
              <w:t xml:space="preserve">conversations at </w:t>
            </w:r>
            <w:r w:rsidR="003A7FB6">
              <w:rPr>
                <w:rFonts w:asciiTheme="minorBidi" w:hAnsiTheme="minorBidi"/>
              </w:rPr>
              <w:t>SLT</w:t>
            </w:r>
            <w:r>
              <w:rPr>
                <w:rFonts w:asciiTheme="minorBidi" w:hAnsiTheme="minorBidi"/>
              </w:rPr>
              <w:t xml:space="preserve"> on regulating </w:t>
            </w:r>
            <w:r w:rsidR="00680052">
              <w:rPr>
                <w:rFonts w:asciiTheme="minorBidi" w:hAnsiTheme="minorBidi"/>
              </w:rPr>
              <w:t xml:space="preserve">the </w:t>
            </w:r>
            <w:r>
              <w:rPr>
                <w:rFonts w:asciiTheme="minorBidi" w:hAnsiTheme="minorBidi"/>
              </w:rPr>
              <w:t>UK</w:t>
            </w:r>
            <w:r w:rsidR="00FB5C7F">
              <w:rPr>
                <w:rFonts w:asciiTheme="minorBidi" w:hAnsiTheme="minorBidi"/>
              </w:rPr>
              <w:t>’</w:t>
            </w:r>
            <w:r>
              <w:rPr>
                <w:rFonts w:asciiTheme="minorBidi" w:hAnsiTheme="minorBidi"/>
              </w:rPr>
              <w:t xml:space="preserve">s nuclear future and how ONR </w:t>
            </w:r>
            <w:r w:rsidR="00DD71FA">
              <w:rPr>
                <w:rFonts w:asciiTheme="minorBidi" w:hAnsiTheme="minorBidi"/>
              </w:rPr>
              <w:t xml:space="preserve">would </w:t>
            </w:r>
            <w:r>
              <w:rPr>
                <w:rFonts w:asciiTheme="minorBidi" w:hAnsiTheme="minorBidi"/>
              </w:rPr>
              <w:t>need to modernise going forward in order to be an optimal and efficient regulator.</w:t>
            </w:r>
          </w:p>
          <w:p w14:paraId="6DA77827" w14:textId="77777777" w:rsidR="004A2CDC" w:rsidRPr="00D901A4" w:rsidRDefault="004A2CDC" w:rsidP="00356FFD">
            <w:pPr>
              <w:tabs>
                <w:tab w:val="left" w:pos="5347"/>
              </w:tabs>
              <w:rPr>
                <w:rFonts w:ascii="Arial" w:hAnsi="Arial" w:cs="Arial"/>
                <w:bCs/>
              </w:rPr>
            </w:pPr>
          </w:p>
        </w:tc>
      </w:tr>
      <w:tr w:rsidR="004A2CDC" w:rsidRPr="00D901A4" w14:paraId="4F72EF3F" w14:textId="77777777" w:rsidTr="006159E8">
        <w:trPr>
          <w:trHeight w:val="399"/>
        </w:trPr>
        <w:tc>
          <w:tcPr>
            <w:tcW w:w="1141" w:type="dxa"/>
          </w:tcPr>
          <w:p w14:paraId="7D334B0E" w14:textId="4259C1C2" w:rsidR="004A2CDC" w:rsidRPr="00D65586" w:rsidRDefault="00EB6EE9" w:rsidP="004E210C">
            <w:pPr>
              <w:tabs>
                <w:tab w:val="left" w:pos="5347"/>
              </w:tabs>
              <w:rPr>
                <w:rFonts w:ascii="Arial" w:hAnsi="Arial" w:cs="Arial"/>
              </w:rPr>
            </w:pPr>
            <w:r>
              <w:rPr>
                <w:rFonts w:ascii="Arial" w:hAnsi="Arial" w:cs="Arial"/>
              </w:rPr>
              <w:t>10.4</w:t>
            </w:r>
          </w:p>
        </w:tc>
        <w:tc>
          <w:tcPr>
            <w:tcW w:w="7875" w:type="dxa"/>
          </w:tcPr>
          <w:p w14:paraId="7A12456D" w14:textId="77777777" w:rsidR="004A2CDC" w:rsidRDefault="004A2CDC" w:rsidP="00356FFD">
            <w:pPr>
              <w:tabs>
                <w:tab w:val="left" w:pos="5347"/>
              </w:tabs>
              <w:rPr>
                <w:rFonts w:ascii="Arial" w:hAnsi="Arial" w:cs="Arial"/>
                <w:bCs/>
              </w:rPr>
            </w:pPr>
            <w:r>
              <w:rPr>
                <w:rFonts w:ascii="Arial" w:hAnsi="Arial" w:cs="Arial"/>
                <w:bCs/>
              </w:rPr>
              <w:t>He highlighted ten main themes around modernisation</w:t>
            </w:r>
            <w:r w:rsidR="004B56C3">
              <w:rPr>
                <w:rFonts w:ascii="Arial" w:hAnsi="Arial" w:cs="Arial"/>
                <w:bCs/>
              </w:rPr>
              <w:t xml:space="preserve"> that had been identified, which would provide a number of opportunities for ONR.</w:t>
            </w:r>
          </w:p>
          <w:p w14:paraId="33D36268" w14:textId="3A2075CB" w:rsidR="00FE740D" w:rsidRPr="00D901A4" w:rsidRDefault="00FE740D" w:rsidP="00356FFD">
            <w:pPr>
              <w:tabs>
                <w:tab w:val="left" w:pos="5347"/>
              </w:tabs>
              <w:rPr>
                <w:rFonts w:ascii="Arial" w:hAnsi="Arial" w:cs="Arial"/>
                <w:bCs/>
              </w:rPr>
            </w:pPr>
          </w:p>
        </w:tc>
      </w:tr>
      <w:tr w:rsidR="00BD0CBC" w:rsidRPr="00D901A4" w14:paraId="2F89DD38" w14:textId="77777777" w:rsidTr="006159E8">
        <w:trPr>
          <w:trHeight w:val="399"/>
        </w:trPr>
        <w:tc>
          <w:tcPr>
            <w:tcW w:w="1141" w:type="dxa"/>
          </w:tcPr>
          <w:p w14:paraId="504FDA35" w14:textId="6FDA4806" w:rsidR="00BD0CBC" w:rsidRPr="00D65586" w:rsidRDefault="00EB6EE9" w:rsidP="004E210C">
            <w:pPr>
              <w:tabs>
                <w:tab w:val="left" w:pos="5347"/>
              </w:tabs>
              <w:rPr>
                <w:rFonts w:ascii="Arial" w:hAnsi="Arial" w:cs="Arial"/>
              </w:rPr>
            </w:pPr>
            <w:r>
              <w:rPr>
                <w:rFonts w:ascii="Arial" w:hAnsi="Arial" w:cs="Arial"/>
              </w:rPr>
              <w:t>10.5</w:t>
            </w:r>
          </w:p>
        </w:tc>
        <w:tc>
          <w:tcPr>
            <w:tcW w:w="7875" w:type="dxa"/>
          </w:tcPr>
          <w:p w14:paraId="53A20755" w14:textId="443C125E" w:rsidR="00BD0CBC" w:rsidRDefault="00BD0CBC" w:rsidP="00206BC7">
            <w:pPr>
              <w:rPr>
                <w:rFonts w:asciiTheme="minorBidi" w:hAnsiTheme="minorBidi"/>
              </w:rPr>
            </w:pPr>
            <w:r>
              <w:rPr>
                <w:rFonts w:asciiTheme="minorBidi" w:hAnsiTheme="minorBidi"/>
              </w:rPr>
              <w:t>He reported that he had been exploring artificial intelligence user cases within ONR. This had been done through a wide range of external stakeholders and an ONR thought group. A number of candidate user cases had been generated, all of which were viable opportunities for application by ONR.</w:t>
            </w:r>
            <w:r w:rsidR="00206BC7">
              <w:rPr>
                <w:rFonts w:asciiTheme="minorBidi" w:hAnsiTheme="minorBidi"/>
              </w:rPr>
              <w:t xml:space="preserve"> He had been working with ONR’s efficiency lead and the knowledge management communities about the appetite for early experimental work in this area.</w:t>
            </w:r>
          </w:p>
          <w:p w14:paraId="2272F767" w14:textId="77777777" w:rsidR="00BD0CBC" w:rsidRPr="00D901A4" w:rsidRDefault="00BD0CBC" w:rsidP="00356FFD">
            <w:pPr>
              <w:tabs>
                <w:tab w:val="left" w:pos="5347"/>
              </w:tabs>
              <w:rPr>
                <w:rFonts w:ascii="Arial" w:hAnsi="Arial" w:cs="Arial"/>
                <w:bCs/>
              </w:rPr>
            </w:pPr>
          </w:p>
        </w:tc>
      </w:tr>
      <w:tr w:rsidR="00BD0CBC" w:rsidRPr="00D901A4" w14:paraId="7B49A73F" w14:textId="77777777" w:rsidTr="006159E8">
        <w:trPr>
          <w:trHeight w:val="399"/>
        </w:trPr>
        <w:tc>
          <w:tcPr>
            <w:tcW w:w="1141" w:type="dxa"/>
          </w:tcPr>
          <w:p w14:paraId="56F88D07" w14:textId="52C48710" w:rsidR="00BD0CBC" w:rsidRPr="00D65586" w:rsidRDefault="00EB6EE9" w:rsidP="004E210C">
            <w:pPr>
              <w:tabs>
                <w:tab w:val="left" w:pos="5347"/>
              </w:tabs>
              <w:rPr>
                <w:rFonts w:ascii="Arial" w:hAnsi="Arial" w:cs="Arial"/>
              </w:rPr>
            </w:pPr>
            <w:r>
              <w:rPr>
                <w:rFonts w:ascii="Arial" w:hAnsi="Arial" w:cs="Arial"/>
              </w:rPr>
              <w:t>10.6</w:t>
            </w:r>
          </w:p>
        </w:tc>
        <w:tc>
          <w:tcPr>
            <w:tcW w:w="7875" w:type="dxa"/>
          </w:tcPr>
          <w:p w14:paraId="06452665" w14:textId="0C7E219F" w:rsidR="00BD0CBC" w:rsidRDefault="002C29D6" w:rsidP="00356FFD">
            <w:pPr>
              <w:tabs>
                <w:tab w:val="left" w:pos="5347"/>
              </w:tabs>
              <w:rPr>
                <w:rFonts w:ascii="Arial" w:hAnsi="Arial" w:cs="Arial"/>
                <w:bCs/>
              </w:rPr>
            </w:pPr>
            <w:r>
              <w:rPr>
                <w:rFonts w:ascii="Arial" w:hAnsi="Arial" w:cs="Arial"/>
                <w:bCs/>
              </w:rPr>
              <w:t xml:space="preserve">He reported the benefits of efficiency gains that could be obtained through </w:t>
            </w:r>
            <w:r w:rsidR="00511B67">
              <w:rPr>
                <w:rFonts w:ascii="Arial" w:hAnsi="Arial" w:cs="Arial"/>
                <w:bCs/>
              </w:rPr>
              <w:t xml:space="preserve">the areas he had highlighted, but also noted the opportunity for ONR to show leadership </w:t>
            </w:r>
            <w:r w:rsidR="00682EB3">
              <w:rPr>
                <w:rFonts w:ascii="Arial" w:hAnsi="Arial" w:cs="Arial"/>
                <w:bCs/>
              </w:rPr>
              <w:t>by</w:t>
            </w:r>
            <w:r w:rsidR="00511B67">
              <w:rPr>
                <w:rFonts w:ascii="Arial" w:hAnsi="Arial" w:cs="Arial"/>
                <w:bCs/>
              </w:rPr>
              <w:t xml:space="preserve"> early adoption of some </w:t>
            </w:r>
            <w:r w:rsidR="00C0492A">
              <w:rPr>
                <w:rFonts w:ascii="Arial" w:hAnsi="Arial" w:cs="Arial"/>
                <w:bCs/>
              </w:rPr>
              <w:t xml:space="preserve">modernisation and data science and digital technologies that would give </w:t>
            </w:r>
            <w:r w:rsidR="00CF60EF">
              <w:rPr>
                <w:rFonts w:ascii="Arial" w:hAnsi="Arial" w:cs="Arial"/>
                <w:bCs/>
              </w:rPr>
              <w:t>those</w:t>
            </w:r>
            <w:r w:rsidR="004C79C0">
              <w:rPr>
                <w:rFonts w:ascii="Arial" w:hAnsi="Arial" w:cs="Arial"/>
                <w:bCs/>
              </w:rPr>
              <w:t xml:space="preserve"> whom</w:t>
            </w:r>
            <w:r w:rsidR="00C0492A">
              <w:rPr>
                <w:rFonts w:ascii="Arial" w:hAnsi="Arial" w:cs="Arial"/>
                <w:bCs/>
              </w:rPr>
              <w:t xml:space="preserve"> ONR regulate</w:t>
            </w:r>
            <w:r w:rsidR="004A538D">
              <w:rPr>
                <w:rFonts w:ascii="Arial" w:hAnsi="Arial" w:cs="Arial"/>
                <w:bCs/>
              </w:rPr>
              <w:t>s</w:t>
            </w:r>
            <w:r w:rsidR="00C0492A">
              <w:rPr>
                <w:rFonts w:ascii="Arial" w:hAnsi="Arial" w:cs="Arial"/>
                <w:bCs/>
              </w:rPr>
              <w:t xml:space="preserve"> the confidence to do the same.</w:t>
            </w:r>
          </w:p>
          <w:p w14:paraId="18471DA9" w14:textId="349EC2F8" w:rsidR="003B7318" w:rsidRPr="00D901A4" w:rsidRDefault="003B7318" w:rsidP="00356FFD">
            <w:pPr>
              <w:tabs>
                <w:tab w:val="left" w:pos="5347"/>
              </w:tabs>
              <w:rPr>
                <w:rFonts w:ascii="Arial" w:hAnsi="Arial" w:cs="Arial"/>
                <w:bCs/>
              </w:rPr>
            </w:pPr>
          </w:p>
        </w:tc>
      </w:tr>
      <w:tr w:rsidR="00356FFD" w:rsidRPr="00D901A4" w14:paraId="0B26B180" w14:textId="77777777" w:rsidTr="006159E8">
        <w:trPr>
          <w:trHeight w:val="399"/>
        </w:trPr>
        <w:tc>
          <w:tcPr>
            <w:tcW w:w="1141" w:type="dxa"/>
          </w:tcPr>
          <w:p w14:paraId="7BF4ACDA" w14:textId="016A0A2E" w:rsidR="00356FFD" w:rsidRPr="00D65586" w:rsidRDefault="00D65586" w:rsidP="004E210C">
            <w:pPr>
              <w:tabs>
                <w:tab w:val="left" w:pos="5347"/>
              </w:tabs>
              <w:rPr>
                <w:rFonts w:ascii="Arial" w:hAnsi="Arial" w:cs="Arial"/>
              </w:rPr>
            </w:pPr>
            <w:r w:rsidRPr="00D65586">
              <w:rPr>
                <w:rFonts w:ascii="Arial" w:hAnsi="Arial" w:cs="Arial"/>
              </w:rPr>
              <w:t>10.</w:t>
            </w:r>
            <w:r w:rsidR="00EB6EE9">
              <w:rPr>
                <w:rFonts w:ascii="Arial" w:hAnsi="Arial" w:cs="Arial"/>
              </w:rPr>
              <w:t>7</w:t>
            </w:r>
          </w:p>
        </w:tc>
        <w:tc>
          <w:tcPr>
            <w:tcW w:w="7875" w:type="dxa"/>
          </w:tcPr>
          <w:p w14:paraId="34F04A85" w14:textId="77777777" w:rsidR="00356FFD" w:rsidRDefault="00356FFD" w:rsidP="00356FFD">
            <w:pPr>
              <w:tabs>
                <w:tab w:val="left" w:pos="5347"/>
              </w:tabs>
              <w:rPr>
                <w:rFonts w:ascii="Arial" w:hAnsi="Arial" w:cs="Arial"/>
                <w:bCs/>
              </w:rPr>
            </w:pPr>
            <w:r w:rsidRPr="00D901A4">
              <w:rPr>
                <w:rFonts w:ascii="Arial" w:hAnsi="Arial" w:cs="Arial"/>
                <w:bCs/>
              </w:rPr>
              <w:t>In discussion</w:t>
            </w:r>
            <w:r>
              <w:rPr>
                <w:rFonts w:ascii="Arial" w:hAnsi="Arial" w:cs="Arial"/>
                <w:bCs/>
              </w:rPr>
              <w:t xml:space="preserve"> the Board</w:t>
            </w:r>
            <w:r w:rsidRPr="00D901A4">
              <w:rPr>
                <w:rFonts w:ascii="Arial" w:hAnsi="Arial" w:cs="Arial"/>
                <w:bCs/>
              </w:rPr>
              <w:t>:</w:t>
            </w:r>
          </w:p>
          <w:p w14:paraId="2D774272" w14:textId="77777777" w:rsidR="00C0492A" w:rsidRDefault="00C0492A" w:rsidP="00356FFD">
            <w:pPr>
              <w:tabs>
                <w:tab w:val="left" w:pos="5347"/>
              </w:tabs>
              <w:rPr>
                <w:rFonts w:ascii="Arial" w:hAnsi="Arial" w:cs="Arial"/>
                <w:bCs/>
              </w:rPr>
            </w:pPr>
          </w:p>
          <w:p w14:paraId="34CC0FED" w14:textId="669793FC" w:rsidR="00106C8F" w:rsidRDefault="00106C8F" w:rsidP="006C1D76">
            <w:pPr>
              <w:pStyle w:val="ListParagraph"/>
              <w:numPr>
                <w:ilvl w:val="0"/>
                <w:numId w:val="7"/>
              </w:numPr>
              <w:spacing w:after="160" w:line="259" w:lineRule="auto"/>
              <w:rPr>
                <w:rFonts w:asciiTheme="minorBidi" w:hAnsiTheme="minorBidi"/>
              </w:rPr>
            </w:pPr>
            <w:r>
              <w:rPr>
                <w:rFonts w:asciiTheme="minorBidi" w:hAnsiTheme="minorBidi"/>
              </w:rPr>
              <w:t xml:space="preserve">Noted plans to take this thinking forward with the Senior Director of Regulation, Director of Strategy and Corporate Affairs and Efficiency lead to explore short term opportunities, and medium and long term opportunities that could be included in the next </w:t>
            </w:r>
            <w:r w:rsidR="003B7318">
              <w:rPr>
                <w:rFonts w:asciiTheme="minorBidi" w:hAnsiTheme="minorBidi"/>
              </w:rPr>
              <w:t>ONR</w:t>
            </w:r>
            <w:r>
              <w:rPr>
                <w:rFonts w:asciiTheme="minorBidi" w:hAnsiTheme="minorBidi"/>
              </w:rPr>
              <w:t xml:space="preserve"> </w:t>
            </w:r>
            <w:r w:rsidR="003B7318">
              <w:rPr>
                <w:rFonts w:asciiTheme="minorBidi" w:hAnsiTheme="minorBidi"/>
              </w:rPr>
              <w:t>S</w:t>
            </w:r>
            <w:r>
              <w:rPr>
                <w:rFonts w:asciiTheme="minorBidi" w:hAnsiTheme="minorBidi"/>
              </w:rPr>
              <w:t>trategy beyond 2025.</w:t>
            </w:r>
          </w:p>
          <w:p w14:paraId="138BCC72" w14:textId="77777777" w:rsidR="00106C8F" w:rsidRDefault="00106C8F" w:rsidP="006C1D76">
            <w:pPr>
              <w:pStyle w:val="ListParagraph"/>
              <w:numPr>
                <w:ilvl w:val="0"/>
                <w:numId w:val="7"/>
              </w:numPr>
              <w:spacing w:after="160" w:line="259" w:lineRule="auto"/>
              <w:rPr>
                <w:rFonts w:asciiTheme="minorBidi" w:hAnsiTheme="minorBidi"/>
              </w:rPr>
            </w:pPr>
            <w:r>
              <w:rPr>
                <w:rFonts w:asciiTheme="minorBidi" w:hAnsiTheme="minorBidi"/>
              </w:rPr>
              <w:t>Noted plans for integrating this work and driving it throughout ONR.</w:t>
            </w:r>
          </w:p>
          <w:p w14:paraId="752EE09E" w14:textId="0B8A0FA7" w:rsidR="00106C8F" w:rsidRDefault="00106C8F" w:rsidP="006C1D76">
            <w:pPr>
              <w:pStyle w:val="ListParagraph"/>
              <w:numPr>
                <w:ilvl w:val="0"/>
                <w:numId w:val="7"/>
              </w:numPr>
              <w:spacing w:after="160" w:line="259" w:lineRule="auto"/>
              <w:rPr>
                <w:rFonts w:asciiTheme="minorBidi" w:hAnsiTheme="minorBidi"/>
              </w:rPr>
            </w:pPr>
            <w:r>
              <w:rPr>
                <w:rFonts w:asciiTheme="minorBidi" w:hAnsiTheme="minorBidi"/>
              </w:rPr>
              <w:t xml:space="preserve">Highlighted </w:t>
            </w:r>
            <w:r w:rsidR="0053340F">
              <w:rPr>
                <w:rFonts w:asciiTheme="minorBidi" w:hAnsiTheme="minorBidi"/>
              </w:rPr>
              <w:t>the need</w:t>
            </w:r>
            <w:r>
              <w:rPr>
                <w:rFonts w:asciiTheme="minorBidi" w:hAnsiTheme="minorBidi"/>
              </w:rPr>
              <w:t xml:space="preserve"> for collaboration with other regulators to develop a joined up approach to modernising regulation</w:t>
            </w:r>
            <w:r w:rsidR="0053340F">
              <w:rPr>
                <w:rFonts w:asciiTheme="minorBidi" w:hAnsiTheme="minorBidi"/>
              </w:rPr>
              <w:t xml:space="preserve"> to maximise benefits</w:t>
            </w:r>
            <w:r w:rsidR="00CE6DF4">
              <w:rPr>
                <w:rFonts w:asciiTheme="minorBidi" w:hAnsiTheme="minorBidi"/>
              </w:rPr>
              <w:t>.</w:t>
            </w:r>
          </w:p>
          <w:p w14:paraId="5C8BBFDB" w14:textId="24B000F0" w:rsidR="008953A4" w:rsidRDefault="008953A4" w:rsidP="006C1D76">
            <w:pPr>
              <w:pStyle w:val="ListParagraph"/>
              <w:numPr>
                <w:ilvl w:val="0"/>
                <w:numId w:val="7"/>
              </w:numPr>
              <w:spacing w:after="160" w:line="259" w:lineRule="auto"/>
              <w:rPr>
                <w:rFonts w:asciiTheme="minorBidi" w:hAnsiTheme="minorBidi"/>
              </w:rPr>
            </w:pPr>
            <w:r>
              <w:rPr>
                <w:rFonts w:asciiTheme="minorBidi" w:hAnsiTheme="minorBidi"/>
              </w:rPr>
              <w:t xml:space="preserve">Noted the opportunities for ONR to work differently with other regulatory bodies and </w:t>
            </w:r>
            <w:r w:rsidR="000349FC">
              <w:rPr>
                <w:rFonts w:asciiTheme="minorBidi" w:hAnsiTheme="minorBidi"/>
              </w:rPr>
              <w:t xml:space="preserve">organisations </w:t>
            </w:r>
            <w:r>
              <w:rPr>
                <w:rFonts w:asciiTheme="minorBidi" w:hAnsiTheme="minorBidi"/>
              </w:rPr>
              <w:t>to generate better synergis</w:t>
            </w:r>
            <w:r w:rsidR="00F477A4">
              <w:rPr>
                <w:rFonts w:asciiTheme="minorBidi" w:hAnsiTheme="minorBidi"/>
              </w:rPr>
              <w:t>tic leverage both within modernisation and regulation.</w:t>
            </w:r>
          </w:p>
          <w:p w14:paraId="2F475193" w14:textId="77777777" w:rsidR="00356FFD" w:rsidRDefault="00106C8F" w:rsidP="006C1D76">
            <w:pPr>
              <w:pStyle w:val="ListParagraph"/>
              <w:numPr>
                <w:ilvl w:val="0"/>
                <w:numId w:val="7"/>
              </w:numPr>
              <w:spacing w:after="160" w:line="259" w:lineRule="auto"/>
              <w:rPr>
                <w:rFonts w:asciiTheme="minorBidi" w:hAnsiTheme="minorBidi"/>
              </w:rPr>
            </w:pPr>
            <w:r>
              <w:rPr>
                <w:rFonts w:asciiTheme="minorBidi" w:hAnsiTheme="minorBidi"/>
              </w:rPr>
              <w:lastRenderedPageBreak/>
              <w:t>Discussed the need for prioritisation of the opportunities presented.</w:t>
            </w:r>
          </w:p>
          <w:p w14:paraId="4E3A688D" w14:textId="62984A67" w:rsidR="007920A8" w:rsidRDefault="00764088" w:rsidP="006C1D76">
            <w:pPr>
              <w:pStyle w:val="ListParagraph"/>
              <w:numPr>
                <w:ilvl w:val="0"/>
                <w:numId w:val="7"/>
              </w:numPr>
              <w:spacing w:after="160" w:line="259" w:lineRule="auto"/>
              <w:rPr>
                <w:rFonts w:asciiTheme="minorBidi" w:hAnsiTheme="minorBidi"/>
              </w:rPr>
            </w:pPr>
            <w:r>
              <w:rPr>
                <w:rFonts w:asciiTheme="minorBidi" w:hAnsiTheme="minorBidi"/>
              </w:rPr>
              <w:t>Emphasised the need for this work to focus on what ONR need</w:t>
            </w:r>
            <w:r w:rsidR="00917ACF">
              <w:rPr>
                <w:rFonts w:asciiTheme="minorBidi" w:hAnsiTheme="minorBidi"/>
              </w:rPr>
              <w:t>s</w:t>
            </w:r>
            <w:r>
              <w:rPr>
                <w:rFonts w:asciiTheme="minorBidi" w:hAnsiTheme="minorBidi"/>
              </w:rPr>
              <w:t xml:space="preserve"> to be doing in its next strategy cycle and the next imperatives </w:t>
            </w:r>
            <w:r w:rsidR="006E7455">
              <w:rPr>
                <w:rFonts w:asciiTheme="minorBidi" w:hAnsiTheme="minorBidi"/>
              </w:rPr>
              <w:t xml:space="preserve">on </w:t>
            </w:r>
            <w:r>
              <w:rPr>
                <w:rFonts w:asciiTheme="minorBidi" w:hAnsiTheme="minorBidi"/>
              </w:rPr>
              <w:t>which ONR would need to deliver.</w:t>
            </w:r>
          </w:p>
          <w:p w14:paraId="37BB2852" w14:textId="24346A0A" w:rsidR="008753C9" w:rsidRDefault="007920A8" w:rsidP="006C1D76">
            <w:pPr>
              <w:pStyle w:val="ListParagraph"/>
              <w:numPr>
                <w:ilvl w:val="0"/>
                <w:numId w:val="7"/>
              </w:numPr>
              <w:spacing w:after="160" w:line="259" w:lineRule="auto"/>
              <w:rPr>
                <w:rFonts w:asciiTheme="minorBidi" w:hAnsiTheme="minorBidi"/>
              </w:rPr>
            </w:pPr>
            <w:r w:rsidRPr="007920A8">
              <w:rPr>
                <w:rFonts w:asciiTheme="minorBidi" w:hAnsiTheme="minorBidi"/>
              </w:rPr>
              <w:t>Discussed the opportunity for using digital data to have a risk</w:t>
            </w:r>
            <w:r w:rsidR="002E7F15">
              <w:rPr>
                <w:rFonts w:asciiTheme="minorBidi" w:hAnsiTheme="minorBidi"/>
              </w:rPr>
              <w:t>-</w:t>
            </w:r>
            <w:r w:rsidRPr="007920A8">
              <w:rPr>
                <w:rFonts w:asciiTheme="minorBidi" w:hAnsiTheme="minorBidi"/>
              </w:rPr>
              <w:t xml:space="preserve"> based approach to regulation.</w:t>
            </w:r>
          </w:p>
          <w:p w14:paraId="74982094" w14:textId="076B33CD" w:rsidR="007920A8" w:rsidRPr="000867BF" w:rsidRDefault="008753C9" w:rsidP="006C1D76">
            <w:pPr>
              <w:pStyle w:val="ListParagraph"/>
              <w:numPr>
                <w:ilvl w:val="0"/>
                <w:numId w:val="7"/>
              </w:numPr>
              <w:spacing w:after="160" w:line="259" w:lineRule="auto"/>
              <w:rPr>
                <w:rFonts w:asciiTheme="minorBidi" w:hAnsiTheme="minorBidi"/>
              </w:rPr>
            </w:pPr>
            <w:r w:rsidRPr="008753C9">
              <w:rPr>
                <w:rFonts w:asciiTheme="minorBidi" w:hAnsiTheme="minorBidi"/>
              </w:rPr>
              <w:t xml:space="preserve">Noted the need to give </w:t>
            </w:r>
            <w:r w:rsidR="00B35ED8">
              <w:rPr>
                <w:rFonts w:asciiTheme="minorBidi" w:hAnsiTheme="minorBidi"/>
              </w:rPr>
              <w:t xml:space="preserve">a broader spectrum of </w:t>
            </w:r>
            <w:r w:rsidR="001B60F7">
              <w:rPr>
                <w:rFonts w:asciiTheme="minorBidi" w:hAnsiTheme="minorBidi"/>
              </w:rPr>
              <w:t xml:space="preserve">ONR </w:t>
            </w:r>
            <w:r w:rsidRPr="008753C9">
              <w:rPr>
                <w:rFonts w:asciiTheme="minorBidi" w:hAnsiTheme="minorBidi"/>
              </w:rPr>
              <w:t xml:space="preserve">staff an opportunity to engage </w:t>
            </w:r>
            <w:r>
              <w:rPr>
                <w:rFonts w:asciiTheme="minorBidi" w:hAnsiTheme="minorBidi"/>
              </w:rPr>
              <w:t xml:space="preserve">and input </w:t>
            </w:r>
            <w:r w:rsidRPr="008753C9">
              <w:rPr>
                <w:rFonts w:asciiTheme="minorBidi" w:hAnsiTheme="minorBidi"/>
              </w:rPr>
              <w:t>on what the environment of work was likely to be over the next five to ten years.</w:t>
            </w:r>
          </w:p>
        </w:tc>
      </w:tr>
      <w:tr w:rsidR="00356FFD" w:rsidRPr="00D901A4" w14:paraId="4B405E48" w14:textId="77777777" w:rsidTr="006159E8">
        <w:trPr>
          <w:trHeight w:val="399"/>
        </w:trPr>
        <w:tc>
          <w:tcPr>
            <w:tcW w:w="1141" w:type="dxa"/>
          </w:tcPr>
          <w:p w14:paraId="667425FB" w14:textId="32DF5236" w:rsidR="00356FFD" w:rsidRPr="00356FFD" w:rsidRDefault="00356FFD" w:rsidP="004E210C">
            <w:pPr>
              <w:tabs>
                <w:tab w:val="left" w:pos="5347"/>
              </w:tabs>
              <w:rPr>
                <w:rFonts w:ascii="Arial" w:hAnsi="Arial" w:cs="Arial"/>
              </w:rPr>
            </w:pPr>
            <w:r w:rsidRPr="00356FFD">
              <w:rPr>
                <w:rFonts w:ascii="Arial" w:hAnsi="Arial" w:cs="Arial"/>
              </w:rPr>
              <w:lastRenderedPageBreak/>
              <w:t>10.</w:t>
            </w:r>
            <w:r w:rsidR="00EB6EE9">
              <w:rPr>
                <w:rFonts w:ascii="Arial" w:hAnsi="Arial" w:cs="Arial"/>
              </w:rPr>
              <w:t>8</w:t>
            </w:r>
          </w:p>
        </w:tc>
        <w:tc>
          <w:tcPr>
            <w:tcW w:w="7875" w:type="dxa"/>
          </w:tcPr>
          <w:p w14:paraId="53385F4B" w14:textId="10E7A0FB" w:rsidR="00362477" w:rsidRDefault="00356FFD" w:rsidP="00996ECF">
            <w:pPr>
              <w:tabs>
                <w:tab w:val="left" w:pos="5347"/>
              </w:tabs>
              <w:rPr>
                <w:rFonts w:ascii="Arial" w:hAnsi="Arial" w:cs="Arial"/>
              </w:rPr>
            </w:pPr>
            <w:r w:rsidRPr="00356FFD">
              <w:rPr>
                <w:rFonts w:ascii="Arial" w:hAnsi="Arial" w:cs="Arial"/>
              </w:rPr>
              <w:t xml:space="preserve">The Board noted the </w:t>
            </w:r>
            <w:r w:rsidR="00983D52">
              <w:rPr>
                <w:rFonts w:ascii="Arial" w:hAnsi="Arial" w:cs="Arial"/>
              </w:rPr>
              <w:t xml:space="preserve">report and next steps for </w:t>
            </w:r>
            <w:r w:rsidR="00886601">
              <w:rPr>
                <w:rFonts w:ascii="Arial" w:hAnsi="Arial" w:cs="Arial"/>
              </w:rPr>
              <w:t>putting structures in place around the approach that would be taken</w:t>
            </w:r>
            <w:r w:rsidR="004F0722">
              <w:rPr>
                <w:rFonts w:ascii="Arial" w:hAnsi="Arial" w:cs="Arial"/>
              </w:rPr>
              <w:t xml:space="preserve"> forward.</w:t>
            </w:r>
          </w:p>
          <w:p w14:paraId="10E20E04" w14:textId="0260CB75" w:rsidR="00797A2D" w:rsidRPr="00356FFD" w:rsidRDefault="00797A2D" w:rsidP="00996ECF">
            <w:pPr>
              <w:tabs>
                <w:tab w:val="left" w:pos="5347"/>
              </w:tabs>
              <w:rPr>
                <w:rFonts w:ascii="Arial" w:hAnsi="Arial" w:cs="Arial"/>
              </w:rPr>
            </w:pPr>
          </w:p>
        </w:tc>
      </w:tr>
      <w:tr w:rsidR="004E210C" w:rsidRPr="00D901A4" w14:paraId="0DA1DAED" w14:textId="77777777" w:rsidTr="006159E8">
        <w:trPr>
          <w:trHeight w:val="399"/>
        </w:trPr>
        <w:tc>
          <w:tcPr>
            <w:tcW w:w="1141" w:type="dxa"/>
          </w:tcPr>
          <w:p w14:paraId="2950FF90" w14:textId="238591C2" w:rsidR="004E210C" w:rsidRPr="00BC0353" w:rsidRDefault="004E210C" w:rsidP="004E210C">
            <w:pPr>
              <w:tabs>
                <w:tab w:val="left" w:pos="5347"/>
              </w:tabs>
              <w:rPr>
                <w:rFonts w:ascii="Arial" w:hAnsi="Arial" w:cs="Arial"/>
                <w:b/>
                <w:bCs/>
              </w:rPr>
            </w:pPr>
            <w:r w:rsidRPr="00BC0353">
              <w:rPr>
                <w:rFonts w:ascii="Arial" w:hAnsi="Arial" w:cs="Arial"/>
                <w:b/>
                <w:bCs/>
              </w:rPr>
              <w:t>1</w:t>
            </w:r>
            <w:r>
              <w:rPr>
                <w:rFonts w:ascii="Arial" w:hAnsi="Arial" w:cs="Arial"/>
                <w:b/>
                <w:bCs/>
              </w:rPr>
              <w:t>1</w:t>
            </w:r>
          </w:p>
        </w:tc>
        <w:tc>
          <w:tcPr>
            <w:tcW w:w="7875" w:type="dxa"/>
          </w:tcPr>
          <w:p w14:paraId="4E9E7F99" w14:textId="77777777" w:rsidR="004E210C" w:rsidRPr="00BC0353" w:rsidRDefault="004E210C" w:rsidP="004E210C">
            <w:pPr>
              <w:tabs>
                <w:tab w:val="left" w:pos="5347"/>
              </w:tabs>
              <w:rPr>
                <w:rFonts w:ascii="Arial" w:hAnsi="Arial" w:cs="Arial"/>
                <w:b/>
              </w:rPr>
            </w:pPr>
            <w:r w:rsidRPr="00BC0353">
              <w:rPr>
                <w:rFonts w:ascii="Arial" w:hAnsi="Arial" w:cs="Arial"/>
                <w:b/>
              </w:rPr>
              <w:t>Summing up and Close</w:t>
            </w:r>
          </w:p>
          <w:p w14:paraId="2368FC40" w14:textId="77777777" w:rsidR="004E210C" w:rsidRPr="00D901A4" w:rsidRDefault="004E210C" w:rsidP="004E210C">
            <w:pPr>
              <w:tabs>
                <w:tab w:val="left" w:pos="5347"/>
              </w:tabs>
              <w:rPr>
                <w:rFonts w:ascii="Arial" w:hAnsi="Arial" w:cs="Arial"/>
                <w:bCs/>
              </w:rPr>
            </w:pPr>
          </w:p>
        </w:tc>
      </w:tr>
      <w:tr w:rsidR="004E210C" w:rsidRPr="00D901A4" w14:paraId="58AAFA09" w14:textId="77777777" w:rsidTr="006159E8">
        <w:trPr>
          <w:trHeight w:val="399"/>
        </w:trPr>
        <w:tc>
          <w:tcPr>
            <w:tcW w:w="1141" w:type="dxa"/>
          </w:tcPr>
          <w:p w14:paraId="76174896" w14:textId="60BAB06F" w:rsidR="004E210C" w:rsidRDefault="004E210C" w:rsidP="004E210C">
            <w:pPr>
              <w:tabs>
                <w:tab w:val="left" w:pos="5347"/>
              </w:tabs>
              <w:rPr>
                <w:rFonts w:ascii="Arial" w:hAnsi="Arial" w:cs="Arial"/>
              </w:rPr>
            </w:pPr>
            <w:r>
              <w:rPr>
                <w:rFonts w:ascii="Arial" w:hAnsi="Arial" w:cs="Arial"/>
              </w:rPr>
              <w:t>11.1</w:t>
            </w:r>
          </w:p>
        </w:tc>
        <w:tc>
          <w:tcPr>
            <w:tcW w:w="7875" w:type="dxa"/>
          </w:tcPr>
          <w:p w14:paraId="29A7DE67" w14:textId="1C6F3D95" w:rsidR="004E210C" w:rsidRDefault="00CF07C2" w:rsidP="00184B93">
            <w:pPr>
              <w:tabs>
                <w:tab w:val="left" w:pos="5347"/>
              </w:tabs>
              <w:rPr>
                <w:rFonts w:ascii="Arial" w:hAnsi="Arial" w:cs="Arial"/>
                <w:bCs/>
              </w:rPr>
            </w:pPr>
            <w:r>
              <w:rPr>
                <w:rFonts w:ascii="Arial" w:hAnsi="Arial" w:cs="Arial"/>
                <w:bCs/>
              </w:rPr>
              <w:t xml:space="preserve">The Board noted </w:t>
            </w:r>
            <w:r w:rsidR="00401717">
              <w:rPr>
                <w:rFonts w:ascii="Arial" w:hAnsi="Arial" w:cs="Arial"/>
                <w:bCs/>
              </w:rPr>
              <w:t xml:space="preserve">the revised format for the </w:t>
            </w:r>
            <w:r w:rsidR="00401717" w:rsidRPr="00401717">
              <w:rPr>
                <w:rFonts w:ascii="Arial" w:hAnsi="Arial" w:cs="Arial"/>
                <w:bCs/>
              </w:rPr>
              <w:t>Corporate Security and Resilience</w:t>
            </w:r>
            <w:r w:rsidR="00236039">
              <w:rPr>
                <w:rFonts w:ascii="Arial" w:hAnsi="Arial" w:cs="Arial"/>
                <w:bCs/>
              </w:rPr>
              <w:t xml:space="preserve"> Dashboard</w:t>
            </w:r>
            <w:r w:rsidR="00AE31DE">
              <w:rPr>
                <w:rFonts w:ascii="Arial" w:hAnsi="Arial" w:cs="Arial"/>
                <w:bCs/>
              </w:rPr>
              <w:t xml:space="preserve">, </w:t>
            </w:r>
            <w:r w:rsidR="000867BF">
              <w:rPr>
                <w:rFonts w:ascii="Arial" w:hAnsi="Arial" w:cs="Arial"/>
                <w:bCs/>
              </w:rPr>
              <w:t xml:space="preserve">thanking the Chief Information Security Officer for the improved, </w:t>
            </w:r>
            <w:r w:rsidR="008D038B">
              <w:rPr>
                <w:rFonts w:ascii="Arial" w:hAnsi="Arial" w:cs="Arial"/>
                <w:bCs/>
              </w:rPr>
              <w:t>more user friendly design.</w:t>
            </w:r>
          </w:p>
          <w:p w14:paraId="76488F36" w14:textId="784FD84D" w:rsidR="00AE31DE" w:rsidRPr="00D901A4" w:rsidRDefault="00AE31DE" w:rsidP="00184B93">
            <w:pPr>
              <w:tabs>
                <w:tab w:val="left" w:pos="5347"/>
              </w:tabs>
              <w:rPr>
                <w:rFonts w:ascii="Arial" w:hAnsi="Arial" w:cs="Arial"/>
                <w:bCs/>
              </w:rPr>
            </w:pPr>
          </w:p>
        </w:tc>
      </w:tr>
      <w:tr w:rsidR="000845E9" w:rsidRPr="00D901A4" w14:paraId="4DBB6F37" w14:textId="77777777" w:rsidTr="006159E8">
        <w:trPr>
          <w:trHeight w:val="399"/>
        </w:trPr>
        <w:tc>
          <w:tcPr>
            <w:tcW w:w="1141" w:type="dxa"/>
          </w:tcPr>
          <w:p w14:paraId="1682B5BE" w14:textId="195205A4" w:rsidR="000845E9" w:rsidRDefault="000845E9" w:rsidP="004E210C">
            <w:pPr>
              <w:tabs>
                <w:tab w:val="left" w:pos="5347"/>
              </w:tabs>
              <w:rPr>
                <w:rFonts w:ascii="Arial" w:hAnsi="Arial" w:cs="Arial"/>
              </w:rPr>
            </w:pPr>
            <w:r>
              <w:rPr>
                <w:rFonts w:ascii="Arial" w:hAnsi="Arial" w:cs="Arial"/>
              </w:rPr>
              <w:t>11.2</w:t>
            </w:r>
          </w:p>
        </w:tc>
        <w:tc>
          <w:tcPr>
            <w:tcW w:w="7875" w:type="dxa"/>
          </w:tcPr>
          <w:p w14:paraId="295B4A09" w14:textId="77777777" w:rsidR="00362477" w:rsidRDefault="000845E9" w:rsidP="00362477">
            <w:pPr>
              <w:tabs>
                <w:tab w:val="left" w:pos="5347"/>
              </w:tabs>
              <w:rPr>
                <w:rFonts w:asciiTheme="minorBidi" w:hAnsiTheme="minorBidi" w:cstheme="minorBidi"/>
              </w:rPr>
            </w:pPr>
            <w:r w:rsidRPr="000A6EB5">
              <w:rPr>
                <w:rFonts w:asciiTheme="minorBidi" w:hAnsiTheme="minorBidi" w:cstheme="minorBidi"/>
              </w:rPr>
              <w:t>There was no other business raised. The Chair formally closed the meeting.</w:t>
            </w:r>
          </w:p>
          <w:p w14:paraId="2F82F345" w14:textId="5910553F" w:rsidR="00362477" w:rsidRPr="00362477" w:rsidRDefault="00362477" w:rsidP="00362477">
            <w:pPr>
              <w:tabs>
                <w:tab w:val="left" w:pos="5347"/>
              </w:tabs>
              <w:rPr>
                <w:rFonts w:asciiTheme="minorBidi" w:hAnsiTheme="minorBidi" w:cstheme="minorBidi"/>
              </w:rPr>
            </w:pPr>
          </w:p>
        </w:tc>
      </w:tr>
      <w:tr w:rsidR="004E210C" w:rsidRPr="00D901A4" w14:paraId="69897DBE" w14:textId="77777777" w:rsidTr="006159E8">
        <w:trPr>
          <w:trHeight w:val="399"/>
        </w:trPr>
        <w:tc>
          <w:tcPr>
            <w:tcW w:w="1141" w:type="dxa"/>
          </w:tcPr>
          <w:p w14:paraId="008EBE2D" w14:textId="77777777" w:rsidR="004E210C" w:rsidRDefault="004E210C" w:rsidP="004E210C">
            <w:pPr>
              <w:tabs>
                <w:tab w:val="left" w:pos="5347"/>
              </w:tabs>
              <w:rPr>
                <w:rFonts w:ascii="Arial" w:hAnsi="Arial" w:cs="Arial"/>
              </w:rPr>
            </w:pPr>
          </w:p>
        </w:tc>
        <w:tc>
          <w:tcPr>
            <w:tcW w:w="7875" w:type="dxa"/>
          </w:tcPr>
          <w:p w14:paraId="3E0944AB" w14:textId="14485BFC" w:rsidR="004E210C" w:rsidRDefault="004E210C" w:rsidP="004E210C">
            <w:pPr>
              <w:tabs>
                <w:tab w:val="left" w:pos="5347"/>
              </w:tabs>
              <w:rPr>
                <w:rFonts w:ascii="Arial" w:hAnsi="Arial" w:cs="Arial"/>
                <w:bCs/>
              </w:rPr>
            </w:pPr>
            <w:r w:rsidRPr="00D901A4">
              <w:rPr>
                <w:rFonts w:ascii="Arial" w:hAnsi="Arial" w:cs="Arial"/>
                <w:b/>
              </w:rPr>
              <w:t>Date and Location of Next Meeting:</w:t>
            </w:r>
            <w:r>
              <w:rPr>
                <w:rFonts w:ascii="Arial" w:hAnsi="Arial" w:cs="Arial"/>
                <w:b/>
              </w:rPr>
              <w:t xml:space="preserve"> </w:t>
            </w:r>
            <w:r w:rsidR="00960314">
              <w:rPr>
                <w:rFonts w:ascii="Arial" w:hAnsi="Arial" w:cs="Arial"/>
                <w:bCs/>
              </w:rPr>
              <w:t>Board Strategy Day, 7&amp;8 October</w:t>
            </w:r>
          </w:p>
          <w:p w14:paraId="7F227FB0" w14:textId="77777777" w:rsidR="004E210C" w:rsidRPr="00D901A4" w:rsidRDefault="004E210C" w:rsidP="004E210C">
            <w:pPr>
              <w:tabs>
                <w:tab w:val="left" w:pos="5347"/>
              </w:tabs>
              <w:rPr>
                <w:rFonts w:ascii="Arial" w:hAnsi="Arial" w:cs="Arial"/>
                <w:bCs/>
              </w:rPr>
            </w:pPr>
          </w:p>
        </w:tc>
      </w:tr>
      <w:tr w:rsidR="004E210C" w:rsidRPr="00D901A4" w14:paraId="6A4E8A17" w14:textId="77777777" w:rsidTr="006159E8">
        <w:trPr>
          <w:trHeight w:val="399"/>
        </w:trPr>
        <w:tc>
          <w:tcPr>
            <w:tcW w:w="1141" w:type="dxa"/>
          </w:tcPr>
          <w:p w14:paraId="5D647D92" w14:textId="77777777" w:rsidR="004E210C" w:rsidRDefault="004E210C" w:rsidP="004E210C">
            <w:pPr>
              <w:tabs>
                <w:tab w:val="left" w:pos="5347"/>
              </w:tabs>
              <w:rPr>
                <w:rFonts w:ascii="Arial" w:hAnsi="Arial" w:cs="Arial"/>
              </w:rPr>
            </w:pPr>
          </w:p>
        </w:tc>
        <w:tc>
          <w:tcPr>
            <w:tcW w:w="7875" w:type="dxa"/>
          </w:tcPr>
          <w:p w14:paraId="7CD84CA8" w14:textId="35726D9B" w:rsidR="004E210C" w:rsidRPr="00BC0353" w:rsidRDefault="004E210C" w:rsidP="004E210C">
            <w:pPr>
              <w:tabs>
                <w:tab w:val="left" w:pos="5347"/>
              </w:tabs>
              <w:rPr>
                <w:rFonts w:ascii="Arial" w:hAnsi="Arial" w:cs="Arial"/>
                <w:b/>
              </w:rPr>
            </w:pPr>
            <w:r w:rsidRPr="00BC0353">
              <w:rPr>
                <w:rFonts w:ascii="Arial" w:hAnsi="Arial" w:cs="Arial"/>
                <w:b/>
              </w:rPr>
              <w:t>Reports for Information</w:t>
            </w:r>
            <w:r>
              <w:rPr>
                <w:rFonts w:ascii="Arial" w:hAnsi="Arial" w:cs="Arial"/>
                <w:b/>
              </w:rPr>
              <w:t>:</w:t>
            </w:r>
          </w:p>
          <w:p w14:paraId="04880532" w14:textId="77777777" w:rsidR="00693C76" w:rsidRPr="00693C76" w:rsidRDefault="00693C76" w:rsidP="006C1D76">
            <w:pPr>
              <w:pStyle w:val="ListParagraph"/>
              <w:numPr>
                <w:ilvl w:val="0"/>
                <w:numId w:val="2"/>
              </w:numPr>
              <w:ind w:right="-766"/>
              <w:jc w:val="both"/>
              <w:rPr>
                <w:rFonts w:ascii="Arial" w:hAnsi="Arial" w:cs="Arial"/>
              </w:rPr>
            </w:pPr>
            <w:r w:rsidRPr="00693C76">
              <w:rPr>
                <w:rFonts w:ascii="Arial" w:hAnsi="Arial" w:cs="Arial"/>
              </w:rPr>
              <w:t>Horizon Scan</w:t>
            </w:r>
          </w:p>
          <w:p w14:paraId="713C051C" w14:textId="04389820" w:rsidR="00693C76" w:rsidRPr="00693C76" w:rsidRDefault="00693C76" w:rsidP="006C1D76">
            <w:pPr>
              <w:pStyle w:val="ListParagraph"/>
              <w:numPr>
                <w:ilvl w:val="0"/>
                <w:numId w:val="2"/>
              </w:numPr>
              <w:ind w:right="-766"/>
              <w:jc w:val="both"/>
              <w:rPr>
                <w:rFonts w:ascii="Arial" w:hAnsi="Arial" w:cs="Arial"/>
              </w:rPr>
            </w:pPr>
            <w:r w:rsidRPr="00693C76">
              <w:rPr>
                <w:rFonts w:ascii="Arial" w:hAnsi="Arial" w:cs="Arial"/>
              </w:rPr>
              <w:t>Corporate Security and Resilience</w:t>
            </w:r>
            <w:r w:rsidR="00532292">
              <w:rPr>
                <w:rFonts w:ascii="Arial" w:hAnsi="Arial" w:cs="Arial"/>
              </w:rPr>
              <w:t xml:space="preserve"> </w:t>
            </w:r>
            <w:r w:rsidRPr="00693C76">
              <w:rPr>
                <w:rFonts w:ascii="Arial" w:hAnsi="Arial" w:cs="Arial"/>
              </w:rPr>
              <w:t>- Q1 Dashboard</w:t>
            </w:r>
          </w:p>
          <w:p w14:paraId="269CFAFC" w14:textId="28828278" w:rsidR="00693C76" w:rsidRPr="00693C76" w:rsidRDefault="00693C76" w:rsidP="006C1D76">
            <w:pPr>
              <w:pStyle w:val="ListParagraph"/>
              <w:numPr>
                <w:ilvl w:val="0"/>
                <w:numId w:val="2"/>
              </w:numPr>
              <w:ind w:right="-766"/>
              <w:jc w:val="both"/>
              <w:rPr>
                <w:rFonts w:ascii="Arial" w:hAnsi="Arial" w:cs="Arial"/>
              </w:rPr>
            </w:pPr>
            <w:r w:rsidRPr="00693C76">
              <w:rPr>
                <w:rFonts w:ascii="Arial" w:hAnsi="Arial" w:cs="Arial"/>
              </w:rPr>
              <w:t xml:space="preserve">Audit and Risk Assurance </w:t>
            </w:r>
            <w:r w:rsidR="00AA0CE0">
              <w:rPr>
                <w:rFonts w:ascii="Arial" w:hAnsi="Arial" w:cs="Arial"/>
              </w:rPr>
              <w:t xml:space="preserve">Committee </w:t>
            </w:r>
            <w:r w:rsidRPr="00693C76">
              <w:rPr>
                <w:rFonts w:ascii="Arial" w:hAnsi="Arial" w:cs="Arial"/>
              </w:rPr>
              <w:t>- Minutes – 15 April 2024 and 02 July 2024 update</w:t>
            </w:r>
          </w:p>
          <w:p w14:paraId="6F555A1B" w14:textId="77777777" w:rsidR="00693C76" w:rsidRPr="00693C76" w:rsidRDefault="00693C76" w:rsidP="006C1D76">
            <w:pPr>
              <w:pStyle w:val="ListParagraph"/>
              <w:numPr>
                <w:ilvl w:val="0"/>
                <w:numId w:val="2"/>
              </w:numPr>
              <w:ind w:right="-766"/>
              <w:jc w:val="both"/>
              <w:rPr>
                <w:rFonts w:ascii="Arial" w:hAnsi="Arial" w:cs="Arial"/>
              </w:rPr>
            </w:pPr>
            <w:r w:rsidRPr="00693C76">
              <w:rPr>
                <w:rFonts w:ascii="Arial" w:hAnsi="Arial" w:cs="Arial"/>
              </w:rPr>
              <w:t>Remuneration and Resilience Committee Update – 16 July 2024</w:t>
            </w:r>
          </w:p>
          <w:p w14:paraId="386E9F5E" w14:textId="77777777" w:rsidR="00693C76" w:rsidRPr="00693C76" w:rsidRDefault="00693C76" w:rsidP="006C1D76">
            <w:pPr>
              <w:pStyle w:val="ListParagraph"/>
              <w:numPr>
                <w:ilvl w:val="0"/>
                <w:numId w:val="2"/>
              </w:numPr>
              <w:ind w:right="-766"/>
              <w:jc w:val="both"/>
              <w:rPr>
                <w:rFonts w:ascii="Arial" w:hAnsi="Arial" w:cs="Arial"/>
              </w:rPr>
            </w:pPr>
            <w:r w:rsidRPr="00693C76">
              <w:rPr>
                <w:rFonts w:ascii="Arial" w:hAnsi="Arial" w:cs="Arial"/>
              </w:rPr>
              <w:t>Board Forward Look</w:t>
            </w:r>
          </w:p>
          <w:p w14:paraId="78501133" w14:textId="77777777" w:rsidR="004E210C" w:rsidRDefault="004E210C" w:rsidP="004E210C"/>
          <w:p w14:paraId="73324358" w14:textId="77777777" w:rsidR="004E210C" w:rsidRPr="00D901A4" w:rsidRDefault="004E210C" w:rsidP="004E210C">
            <w:pPr>
              <w:pStyle w:val="ListParagraph"/>
              <w:tabs>
                <w:tab w:val="left" w:pos="352"/>
              </w:tabs>
              <w:ind w:left="0" w:right="-766"/>
              <w:jc w:val="both"/>
              <w:rPr>
                <w:rFonts w:ascii="Arial" w:hAnsi="Arial" w:cs="Arial"/>
                <w:b/>
              </w:rPr>
            </w:pPr>
          </w:p>
        </w:tc>
      </w:tr>
    </w:tbl>
    <w:p w14:paraId="4FB944BC" w14:textId="77777777" w:rsidR="00594AAC" w:rsidRPr="00D901A4" w:rsidRDefault="00594AAC" w:rsidP="00E2267D">
      <w:pPr>
        <w:tabs>
          <w:tab w:val="left" w:pos="5347"/>
        </w:tabs>
        <w:rPr>
          <w:rFonts w:ascii="Arial" w:hAnsi="Arial" w:cs="Arial"/>
          <w:bCs/>
        </w:rPr>
      </w:pPr>
    </w:p>
    <w:sectPr w:rsidR="00594AAC" w:rsidRPr="00D901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98F8" w14:textId="77777777" w:rsidR="00D86B54" w:rsidRDefault="00D86B54" w:rsidP="00C10B8A">
      <w:r>
        <w:separator/>
      </w:r>
    </w:p>
  </w:endnote>
  <w:endnote w:type="continuationSeparator" w:id="0">
    <w:p w14:paraId="22DE86A3" w14:textId="77777777" w:rsidR="00D86B54" w:rsidRDefault="00D86B54" w:rsidP="00C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269D" w14:textId="35656D34" w:rsidR="00C10B8A" w:rsidRDefault="00C10B8A">
    <w:pPr>
      <w:pStyle w:val="Footer"/>
    </w:pPr>
    <w:r>
      <w:rPr>
        <w:noProof/>
      </w:rPr>
      <mc:AlternateContent>
        <mc:Choice Requires="wps">
          <w:drawing>
            <wp:anchor distT="0" distB="0" distL="0" distR="0" simplePos="0" relativeHeight="251659264" behindDoc="0" locked="0" layoutInCell="1" allowOverlap="1" wp14:anchorId="0F1B3F3B" wp14:editId="4005CBC1">
              <wp:simplePos x="635" y="635"/>
              <wp:positionH relativeFrom="page">
                <wp:align>center</wp:align>
              </wp:positionH>
              <wp:positionV relativeFrom="page">
                <wp:align>bottom</wp:align>
              </wp:positionV>
              <wp:extent cx="443865" cy="443865"/>
              <wp:effectExtent l="0" t="0" r="15240"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B3F3B"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06CC4F" w14:textId="0CD8C4C0"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305891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3501E1" w14:textId="713B72A5" w:rsidR="00BC0353" w:rsidRPr="00BC0353" w:rsidRDefault="00BC0353">
            <w:pPr>
              <w:pStyle w:val="Footer"/>
              <w:jc w:val="right"/>
              <w:rPr>
                <w:rFonts w:ascii="Arial" w:hAnsi="Arial" w:cs="Arial"/>
              </w:rPr>
            </w:pPr>
            <w:r w:rsidRPr="00BC0353">
              <w:rPr>
                <w:rFonts w:ascii="Arial" w:hAnsi="Arial" w:cs="Arial"/>
              </w:rPr>
              <w:t xml:space="preserve">Page </w:t>
            </w:r>
            <w:r w:rsidRPr="00BC0353">
              <w:rPr>
                <w:rFonts w:ascii="Arial" w:hAnsi="Arial" w:cs="Arial"/>
              </w:rPr>
              <w:fldChar w:fldCharType="begin"/>
            </w:r>
            <w:r w:rsidRPr="00BC0353">
              <w:rPr>
                <w:rFonts w:ascii="Arial" w:hAnsi="Arial" w:cs="Arial"/>
              </w:rPr>
              <w:instrText>PAGE</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r w:rsidRPr="00BC0353">
              <w:rPr>
                <w:rFonts w:ascii="Arial" w:hAnsi="Arial" w:cs="Arial"/>
              </w:rPr>
              <w:t xml:space="preserve"> of </w:t>
            </w:r>
            <w:r w:rsidRPr="00BC0353">
              <w:rPr>
                <w:rFonts w:ascii="Arial" w:hAnsi="Arial" w:cs="Arial"/>
              </w:rPr>
              <w:fldChar w:fldCharType="begin"/>
            </w:r>
            <w:r w:rsidRPr="00BC0353">
              <w:rPr>
                <w:rFonts w:ascii="Arial" w:hAnsi="Arial" w:cs="Arial"/>
              </w:rPr>
              <w:instrText>NUMPAGES</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p>
        </w:sdtContent>
      </w:sdt>
    </w:sdtContent>
  </w:sdt>
  <w:p w14:paraId="3F0B1E1B" w14:textId="7B4D0E92" w:rsidR="00C10B8A" w:rsidRDefault="00C10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7849" w14:textId="0B2CD9B4" w:rsidR="00C10B8A" w:rsidRDefault="00C10B8A">
    <w:pPr>
      <w:pStyle w:val="Footer"/>
    </w:pPr>
    <w:r>
      <w:rPr>
        <w:noProof/>
      </w:rPr>
      <mc:AlternateContent>
        <mc:Choice Requires="wps">
          <w:drawing>
            <wp:anchor distT="0" distB="0" distL="0" distR="0" simplePos="0" relativeHeight="251658240" behindDoc="0" locked="0" layoutInCell="1" allowOverlap="1" wp14:anchorId="52A87487" wp14:editId="34B7FFC3">
              <wp:simplePos x="635" y="635"/>
              <wp:positionH relativeFrom="page">
                <wp:align>center</wp:align>
              </wp:positionH>
              <wp:positionV relativeFrom="page">
                <wp:align>bottom</wp:align>
              </wp:positionV>
              <wp:extent cx="443865" cy="443865"/>
              <wp:effectExtent l="0" t="0" r="1524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87487" id="_x0000_t202" coordsize="21600,21600" o:spt="202" path="m,l,21600r21600,l21600,xe">
              <v:stroke joinstyle="miter"/>
              <v:path gradientshapeok="t" o:connecttype="rect"/>
            </v:shapetype>
            <v:shape id="Text Box 4" o:spid="_x0000_s1030"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FD770D8" w14:textId="4710E742"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470C" w14:textId="77777777" w:rsidR="00D86B54" w:rsidRDefault="00D86B54" w:rsidP="00C10B8A">
      <w:r>
        <w:separator/>
      </w:r>
    </w:p>
  </w:footnote>
  <w:footnote w:type="continuationSeparator" w:id="0">
    <w:p w14:paraId="6601CDCD" w14:textId="77777777" w:rsidR="00D86B54" w:rsidRDefault="00D86B54" w:rsidP="00C10B8A">
      <w:r>
        <w:continuationSeparator/>
      </w:r>
    </w:p>
  </w:footnote>
  <w:footnote w:id="1">
    <w:p w14:paraId="1FF48F3B" w14:textId="19999F91" w:rsidR="007712D2" w:rsidRDefault="007712D2">
      <w:pPr>
        <w:pStyle w:val="FootnoteText"/>
      </w:pPr>
      <w:r>
        <w:rPr>
          <w:rStyle w:val="FootnoteReference"/>
        </w:rPr>
        <w:footnoteRef/>
      </w:r>
      <w:r>
        <w:t xml:space="preserve"> Attended for Item 5</w:t>
      </w:r>
    </w:p>
  </w:footnote>
  <w:footnote w:id="2">
    <w:p w14:paraId="380E6DC9" w14:textId="0ED4FD3B" w:rsidR="00DA582E" w:rsidRDefault="00DA582E">
      <w:pPr>
        <w:pStyle w:val="FootnoteText"/>
      </w:pPr>
      <w:r>
        <w:rPr>
          <w:rStyle w:val="FootnoteReference"/>
        </w:rPr>
        <w:footnoteRef/>
      </w:r>
      <w:r>
        <w:t xml:space="preserve"> Attended for Item 6</w:t>
      </w:r>
    </w:p>
  </w:footnote>
  <w:footnote w:id="3">
    <w:p w14:paraId="37FAB611" w14:textId="6BE7E97E" w:rsidR="007712D2" w:rsidRDefault="007712D2">
      <w:pPr>
        <w:pStyle w:val="FootnoteText"/>
      </w:pPr>
      <w:r>
        <w:rPr>
          <w:rStyle w:val="FootnoteReference"/>
        </w:rPr>
        <w:footnoteRef/>
      </w:r>
      <w:r>
        <w:t xml:space="preserve"> Attended for Item </w:t>
      </w:r>
      <w:r w:rsidR="00670FDE">
        <w:t>7</w:t>
      </w:r>
    </w:p>
  </w:footnote>
  <w:footnote w:id="4">
    <w:p w14:paraId="2EAC4A37" w14:textId="7E8B6F89" w:rsidR="00877ACD" w:rsidRDefault="00877ACD">
      <w:pPr>
        <w:pStyle w:val="FootnoteText"/>
      </w:pPr>
      <w:r>
        <w:rPr>
          <w:rStyle w:val="FootnoteReference"/>
        </w:rPr>
        <w:footnoteRef/>
      </w:r>
      <w:r>
        <w:t xml:space="preserve"> Attended for Item 8</w:t>
      </w:r>
    </w:p>
  </w:footnote>
  <w:footnote w:id="5">
    <w:p w14:paraId="0000D446" w14:textId="27845B3F" w:rsidR="0039712B" w:rsidRDefault="0039712B">
      <w:pPr>
        <w:pStyle w:val="FootnoteText"/>
      </w:pPr>
      <w:r>
        <w:rPr>
          <w:rStyle w:val="FootnoteReference"/>
        </w:rPr>
        <w:footnoteRef/>
      </w:r>
      <w:r>
        <w:t xml:space="preserve"> Attended for Item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96F9" w14:textId="23D24DC3" w:rsidR="00C10B8A" w:rsidRDefault="00C10B8A">
    <w:pPr>
      <w:pStyle w:val="Header"/>
    </w:pPr>
    <w:r>
      <w:rPr>
        <w:noProof/>
      </w:rPr>
      <mc:AlternateContent>
        <mc:Choice Requires="wps">
          <w:drawing>
            <wp:anchor distT="0" distB="0" distL="0" distR="0" simplePos="0" relativeHeight="251656192" behindDoc="0" locked="0" layoutInCell="1" allowOverlap="1" wp14:anchorId="55FE02B0" wp14:editId="3B9CFEC4">
              <wp:simplePos x="635" y="635"/>
              <wp:positionH relativeFrom="page">
                <wp:align>center</wp:align>
              </wp:positionH>
              <wp:positionV relativeFrom="page">
                <wp:align>top</wp:align>
              </wp:positionV>
              <wp:extent cx="443865" cy="443865"/>
              <wp:effectExtent l="0" t="0" r="15240" b="44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E02B0"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E7CDAB" w14:textId="0CC9E57A"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3324" w14:textId="5791964A" w:rsidR="00C10B8A" w:rsidRDefault="00C10B8A">
    <w:pPr>
      <w:pStyle w:val="Header"/>
    </w:pPr>
    <w:r>
      <w:rPr>
        <w:noProof/>
      </w:rPr>
      <mc:AlternateContent>
        <mc:Choice Requires="wps">
          <w:drawing>
            <wp:anchor distT="0" distB="0" distL="0" distR="0" simplePos="0" relativeHeight="251657216" behindDoc="0" locked="0" layoutInCell="1" allowOverlap="1" wp14:anchorId="00648781" wp14:editId="03E39AF3">
              <wp:simplePos x="914400" y="452438"/>
              <wp:positionH relativeFrom="page">
                <wp:align>center</wp:align>
              </wp:positionH>
              <wp:positionV relativeFrom="page">
                <wp:align>top</wp:align>
              </wp:positionV>
              <wp:extent cx="443865" cy="443865"/>
              <wp:effectExtent l="0" t="0" r="15240" b="444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9366A" w14:textId="311BA32E"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w:t>
                          </w:r>
                          <w:r w:rsidR="00335075">
                            <w:rPr>
                              <w:rFonts w:ascii="Calibri" w:eastAsia="Calibri" w:hAnsi="Calibri" w:cs="Calibri"/>
                              <w:noProof/>
                              <w:color w:val="000000"/>
                            </w:rPr>
                            <w:t>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48781"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89366A" w14:textId="311BA32E"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w:t>
                    </w:r>
                    <w:r w:rsidR="00335075">
                      <w:rPr>
                        <w:rFonts w:ascii="Calibri" w:eastAsia="Calibri" w:hAnsi="Calibri" w:cs="Calibri"/>
                        <w:noProof/>
                        <w:color w:val="000000"/>
                      </w:rPr>
                      <w:t>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397F" w14:textId="4FC302D0" w:rsidR="00C10B8A" w:rsidRDefault="00C10B8A">
    <w:pPr>
      <w:pStyle w:val="Header"/>
    </w:pPr>
    <w:r>
      <w:rPr>
        <w:noProof/>
      </w:rPr>
      <mc:AlternateContent>
        <mc:Choice Requires="wps">
          <w:drawing>
            <wp:anchor distT="0" distB="0" distL="0" distR="0" simplePos="0" relativeHeight="251655168" behindDoc="0" locked="0" layoutInCell="1" allowOverlap="1" wp14:anchorId="074FC3FA" wp14:editId="2C6BC675">
              <wp:simplePos x="635" y="635"/>
              <wp:positionH relativeFrom="page">
                <wp:align>center</wp:align>
              </wp:positionH>
              <wp:positionV relativeFrom="page">
                <wp:align>top</wp:align>
              </wp:positionV>
              <wp:extent cx="443865" cy="443865"/>
              <wp:effectExtent l="0" t="0" r="15240" b="44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FC3FA" id="_x0000_t202" coordsize="21600,21600" o:spt="202" path="m,l,21600r21600,l21600,xe">
              <v:stroke joinstyle="miter"/>
              <v:path gradientshapeok="t" o:connecttype="rect"/>
            </v:shapetype>
            <v:shape id="Text Box 1" o:spid="_x0000_s1029" type="#_x0000_t202" alt="OFFICIAL-SENSITIVE"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7588CFC" w14:textId="0B25544D" w:rsidR="00C10B8A" w:rsidRPr="00C10B8A" w:rsidRDefault="00C10B8A" w:rsidP="00C10B8A">
                    <w:pPr>
                      <w:rPr>
                        <w:rFonts w:ascii="Calibri" w:eastAsia="Calibri" w:hAnsi="Calibri" w:cs="Calibri"/>
                        <w:noProof/>
                        <w:color w:val="000000"/>
                      </w:rPr>
                    </w:pPr>
                    <w:r w:rsidRPr="00C10B8A">
                      <w:rPr>
                        <w:rFonts w:ascii="Calibri" w:eastAsia="Calibri" w:hAnsi="Calibri" w:cs="Calibri"/>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8A7"/>
    <w:multiLevelType w:val="hybridMultilevel"/>
    <w:tmpl w:val="860E6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08D7"/>
    <w:multiLevelType w:val="hybridMultilevel"/>
    <w:tmpl w:val="10A25446"/>
    <w:lvl w:ilvl="0" w:tplc="08090001">
      <w:start w:val="1"/>
      <w:numFmt w:val="bullet"/>
      <w:lvlText w:val=""/>
      <w:lvlJc w:val="left"/>
      <w:pPr>
        <w:ind w:left="720" w:hanging="360"/>
      </w:pPr>
      <w:rPr>
        <w:rFonts w:ascii="Symbol" w:hAnsi="Symbol" w:hint="default"/>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04BEA"/>
    <w:multiLevelType w:val="hybridMultilevel"/>
    <w:tmpl w:val="199A9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2612"/>
    <w:multiLevelType w:val="hybridMultilevel"/>
    <w:tmpl w:val="54ACC8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6B536E4"/>
    <w:multiLevelType w:val="hybridMultilevel"/>
    <w:tmpl w:val="20E2C2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7A4D7E"/>
    <w:multiLevelType w:val="hybridMultilevel"/>
    <w:tmpl w:val="CEA665A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A497E"/>
    <w:multiLevelType w:val="hybridMultilevel"/>
    <w:tmpl w:val="62749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3626D7"/>
    <w:multiLevelType w:val="hybridMultilevel"/>
    <w:tmpl w:val="93300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757897">
    <w:abstractNumId w:val="5"/>
  </w:num>
  <w:num w:numId="2" w16cid:durableId="529875642">
    <w:abstractNumId w:val="1"/>
  </w:num>
  <w:num w:numId="3" w16cid:durableId="93284682">
    <w:abstractNumId w:val="3"/>
  </w:num>
  <w:num w:numId="4" w16cid:durableId="696543276">
    <w:abstractNumId w:val="4"/>
  </w:num>
  <w:num w:numId="5" w16cid:durableId="1627545679">
    <w:abstractNumId w:val="0"/>
  </w:num>
  <w:num w:numId="6" w16cid:durableId="1987394272">
    <w:abstractNumId w:val="6"/>
  </w:num>
  <w:num w:numId="7" w16cid:durableId="1622879227">
    <w:abstractNumId w:val="7"/>
  </w:num>
  <w:num w:numId="8" w16cid:durableId="106996589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A"/>
    <w:rsid w:val="00000D1C"/>
    <w:rsid w:val="00001205"/>
    <w:rsid w:val="00003EBF"/>
    <w:rsid w:val="00005498"/>
    <w:rsid w:val="000065AC"/>
    <w:rsid w:val="00006A47"/>
    <w:rsid w:val="00006A53"/>
    <w:rsid w:val="000073A6"/>
    <w:rsid w:val="00007466"/>
    <w:rsid w:val="00012FF3"/>
    <w:rsid w:val="00013410"/>
    <w:rsid w:val="000140BB"/>
    <w:rsid w:val="00014AD3"/>
    <w:rsid w:val="00016075"/>
    <w:rsid w:val="0001660D"/>
    <w:rsid w:val="0001685A"/>
    <w:rsid w:val="00017198"/>
    <w:rsid w:val="000211D8"/>
    <w:rsid w:val="0002151F"/>
    <w:rsid w:val="0002247F"/>
    <w:rsid w:val="00022C37"/>
    <w:rsid w:val="0002330B"/>
    <w:rsid w:val="00023CC8"/>
    <w:rsid w:val="00024115"/>
    <w:rsid w:val="00025377"/>
    <w:rsid w:val="000273F5"/>
    <w:rsid w:val="00027A66"/>
    <w:rsid w:val="000308FA"/>
    <w:rsid w:val="00031F93"/>
    <w:rsid w:val="00033939"/>
    <w:rsid w:val="000342D0"/>
    <w:rsid w:val="000349FC"/>
    <w:rsid w:val="00035E57"/>
    <w:rsid w:val="000443BF"/>
    <w:rsid w:val="00045031"/>
    <w:rsid w:val="00046692"/>
    <w:rsid w:val="000469B6"/>
    <w:rsid w:val="00047CFE"/>
    <w:rsid w:val="00055734"/>
    <w:rsid w:val="000603E8"/>
    <w:rsid w:val="00062586"/>
    <w:rsid w:val="00063B76"/>
    <w:rsid w:val="00073235"/>
    <w:rsid w:val="000779DC"/>
    <w:rsid w:val="0008220C"/>
    <w:rsid w:val="000824B2"/>
    <w:rsid w:val="000845E9"/>
    <w:rsid w:val="0008483B"/>
    <w:rsid w:val="00084D63"/>
    <w:rsid w:val="0008506E"/>
    <w:rsid w:val="0008552D"/>
    <w:rsid w:val="0008553C"/>
    <w:rsid w:val="000867BF"/>
    <w:rsid w:val="00090767"/>
    <w:rsid w:val="00090D63"/>
    <w:rsid w:val="00090E5C"/>
    <w:rsid w:val="0009156D"/>
    <w:rsid w:val="00091E65"/>
    <w:rsid w:val="00093D09"/>
    <w:rsid w:val="0009448A"/>
    <w:rsid w:val="00095754"/>
    <w:rsid w:val="00097628"/>
    <w:rsid w:val="00097CC9"/>
    <w:rsid w:val="000A08BB"/>
    <w:rsid w:val="000A141A"/>
    <w:rsid w:val="000A16C4"/>
    <w:rsid w:val="000A2EBE"/>
    <w:rsid w:val="000A2FBA"/>
    <w:rsid w:val="000A5AC2"/>
    <w:rsid w:val="000A6EB5"/>
    <w:rsid w:val="000A72A1"/>
    <w:rsid w:val="000A736C"/>
    <w:rsid w:val="000A7DDF"/>
    <w:rsid w:val="000B3714"/>
    <w:rsid w:val="000B7ED5"/>
    <w:rsid w:val="000C02F7"/>
    <w:rsid w:val="000C1174"/>
    <w:rsid w:val="000C3E04"/>
    <w:rsid w:val="000C4570"/>
    <w:rsid w:val="000C5D22"/>
    <w:rsid w:val="000C76B7"/>
    <w:rsid w:val="000D0698"/>
    <w:rsid w:val="000D135B"/>
    <w:rsid w:val="000D201A"/>
    <w:rsid w:val="000D3985"/>
    <w:rsid w:val="000D3F37"/>
    <w:rsid w:val="000D444E"/>
    <w:rsid w:val="000E14DE"/>
    <w:rsid w:val="000E5BD2"/>
    <w:rsid w:val="000E6902"/>
    <w:rsid w:val="000E7288"/>
    <w:rsid w:val="000E75E8"/>
    <w:rsid w:val="000F1866"/>
    <w:rsid w:val="000F1D7D"/>
    <w:rsid w:val="000F5B1E"/>
    <w:rsid w:val="000F617B"/>
    <w:rsid w:val="000F6FED"/>
    <w:rsid w:val="000F776A"/>
    <w:rsid w:val="00106C8F"/>
    <w:rsid w:val="00107CA5"/>
    <w:rsid w:val="001135A7"/>
    <w:rsid w:val="001149DE"/>
    <w:rsid w:val="00114A61"/>
    <w:rsid w:val="001161A2"/>
    <w:rsid w:val="00120815"/>
    <w:rsid w:val="0012154E"/>
    <w:rsid w:val="00122296"/>
    <w:rsid w:val="001234E8"/>
    <w:rsid w:val="00124358"/>
    <w:rsid w:val="0013244F"/>
    <w:rsid w:val="0013331D"/>
    <w:rsid w:val="00135844"/>
    <w:rsid w:val="00135F77"/>
    <w:rsid w:val="00137D46"/>
    <w:rsid w:val="00143656"/>
    <w:rsid w:val="00143AD6"/>
    <w:rsid w:val="00144568"/>
    <w:rsid w:val="00146DBB"/>
    <w:rsid w:val="00147C00"/>
    <w:rsid w:val="00147D35"/>
    <w:rsid w:val="00150B75"/>
    <w:rsid w:val="00150DB3"/>
    <w:rsid w:val="00152C0F"/>
    <w:rsid w:val="00153404"/>
    <w:rsid w:val="00154F15"/>
    <w:rsid w:val="0015529A"/>
    <w:rsid w:val="00155F78"/>
    <w:rsid w:val="0016109C"/>
    <w:rsid w:val="00161798"/>
    <w:rsid w:val="00161BE7"/>
    <w:rsid w:val="00162755"/>
    <w:rsid w:val="00164248"/>
    <w:rsid w:val="0016453D"/>
    <w:rsid w:val="001668E6"/>
    <w:rsid w:val="001676B9"/>
    <w:rsid w:val="00167ADF"/>
    <w:rsid w:val="0017155F"/>
    <w:rsid w:val="001719C9"/>
    <w:rsid w:val="00171FD8"/>
    <w:rsid w:val="00175A40"/>
    <w:rsid w:val="0017625E"/>
    <w:rsid w:val="001823AB"/>
    <w:rsid w:val="0018289F"/>
    <w:rsid w:val="00182924"/>
    <w:rsid w:val="00184B93"/>
    <w:rsid w:val="00186FA5"/>
    <w:rsid w:val="00190611"/>
    <w:rsid w:val="00192BED"/>
    <w:rsid w:val="00192FE0"/>
    <w:rsid w:val="0019321C"/>
    <w:rsid w:val="00193ABD"/>
    <w:rsid w:val="00194C9D"/>
    <w:rsid w:val="00195F73"/>
    <w:rsid w:val="00197E61"/>
    <w:rsid w:val="001A0EB2"/>
    <w:rsid w:val="001A17A9"/>
    <w:rsid w:val="001A187D"/>
    <w:rsid w:val="001A1D6F"/>
    <w:rsid w:val="001A24A9"/>
    <w:rsid w:val="001A3D29"/>
    <w:rsid w:val="001A6D48"/>
    <w:rsid w:val="001B0167"/>
    <w:rsid w:val="001B07D2"/>
    <w:rsid w:val="001B3ED5"/>
    <w:rsid w:val="001B60F7"/>
    <w:rsid w:val="001B69FC"/>
    <w:rsid w:val="001B7BA3"/>
    <w:rsid w:val="001C1143"/>
    <w:rsid w:val="001C434F"/>
    <w:rsid w:val="001C5490"/>
    <w:rsid w:val="001D1526"/>
    <w:rsid w:val="001D17E8"/>
    <w:rsid w:val="001D1EAE"/>
    <w:rsid w:val="001D5848"/>
    <w:rsid w:val="001D5A77"/>
    <w:rsid w:val="001D62E6"/>
    <w:rsid w:val="001D6DE7"/>
    <w:rsid w:val="001E119B"/>
    <w:rsid w:val="001E3E47"/>
    <w:rsid w:val="001E76A6"/>
    <w:rsid w:val="001F13C1"/>
    <w:rsid w:val="001F29C7"/>
    <w:rsid w:val="001F796F"/>
    <w:rsid w:val="002006B2"/>
    <w:rsid w:val="00201FA8"/>
    <w:rsid w:val="00202C97"/>
    <w:rsid w:val="00206181"/>
    <w:rsid w:val="00206736"/>
    <w:rsid w:val="00206BC7"/>
    <w:rsid w:val="00207473"/>
    <w:rsid w:val="00207B3A"/>
    <w:rsid w:val="002102D9"/>
    <w:rsid w:val="00210CB5"/>
    <w:rsid w:val="00212F92"/>
    <w:rsid w:val="00212FB5"/>
    <w:rsid w:val="002177EC"/>
    <w:rsid w:val="00221985"/>
    <w:rsid w:val="00221BAE"/>
    <w:rsid w:val="0022299D"/>
    <w:rsid w:val="002250FA"/>
    <w:rsid w:val="00232FB0"/>
    <w:rsid w:val="00234EE6"/>
    <w:rsid w:val="00236039"/>
    <w:rsid w:val="002362E6"/>
    <w:rsid w:val="00242956"/>
    <w:rsid w:val="00243EB5"/>
    <w:rsid w:val="0024614D"/>
    <w:rsid w:val="002466B5"/>
    <w:rsid w:val="002517BE"/>
    <w:rsid w:val="00251A65"/>
    <w:rsid w:val="002541B9"/>
    <w:rsid w:val="0025445A"/>
    <w:rsid w:val="0025581A"/>
    <w:rsid w:val="00261870"/>
    <w:rsid w:val="0026585E"/>
    <w:rsid w:val="00265CD3"/>
    <w:rsid w:val="00266FBF"/>
    <w:rsid w:val="002753F6"/>
    <w:rsid w:val="002766FD"/>
    <w:rsid w:val="00282402"/>
    <w:rsid w:val="00282A83"/>
    <w:rsid w:val="00283A37"/>
    <w:rsid w:val="00285FDC"/>
    <w:rsid w:val="00286416"/>
    <w:rsid w:val="00286448"/>
    <w:rsid w:val="0028698D"/>
    <w:rsid w:val="00291E04"/>
    <w:rsid w:val="00293416"/>
    <w:rsid w:val="00293940"/>
    <w:rsid w:val="00294C83"/>
    <w:rsid w:val="002961B7"/>
    <w:rsid w:val="0029697E"/>
    <w:rsid w:val="002A216C"/>
    <w:rsid w:val="002A40DF"/>
    <w:rsid w:val="002A51CB"/>
    <w:rsid w:val="002A7EE3"/>
    <w:rsid w:val="002B0052"/>
    <w:rsid w:val="002B2D31"/>
    <w:rsid w:val="002B3DDE"/>
    <w:rsid w:val="002B4BD1"/>
    <w:rsid w:val="002B6D21"/>
    <w:rsid w:val="002C04DB"/>
    <w:rsid w:val="002C07E1"/>
    <w:rsid w:val="002C150C"/>
    <w:rsid w:val="002C29D6"/>
    <w:rsid w:val="002C7FAF"/>
    <w:rsid w:val="002D0C5C"/>
    <w:rsid w:val="002D130D"/>
    <w:rsid w:val="002D1AC0"/>
    <w:rsid w:val="002D1E15"/>
    <w:rsid w:val="002D1EF1"/>
    <w:rsid w:val="002D256C"/>
    <w:rsid w:val="002D2CA1"/>
    <w:rsid w:val="002D31DB"/>
    <w:rsid w:val="002D7C62"/>
    <w:rsid w:val="002E078F"/>
    <w:rsid w:val="002E2C6E"/>
    <w:rsid w:val="002E4B2F"/>
    <w:rsid w:val="002E4DE8"/>
    <w:rsid w:val="002E7046"/>
    <w:rsid w:val="002E727F"/>
    <w:rsid w:val="002E7F15"/>
    <w:rsid w:val="002F0AC5"/>
    <w:rsid w:val="002F1D03"/>
    <w:rsid w:val="002F2936"/>
    <w:rsid w:val="002F3361"/>
    <w:rsid w:val="002F41C4"/>
    <w:rsid w:val="003037AF"/>
    <w:rsid w:val="00303D83"/>
    <w:rsid w:val="00305120"/>
    <w:rsid w:val="0030638A"/>
    <w:rsid w:val="003075F0"/>
    <w:rsid w:val="00317AFB"/>
    <w:rsid w:val="00320E2D"/>
    <w:rsid w:val="003215BC"/>
    <w:rsid w:val="00322489"/>
    <w:rsid w:val="00322D1E"/>
    <w:rsid w:val="00324418"/>
    <w:rsid w:val="003301D3"/>
    <w:rsid w:val="003321B8"/>
    <w:rsid w:val="00335075"/>
    <w:rsid w:val="003414CA"/>
    <w:rsid w:val="003432CF"/>
    <w:rsid w:val="003450C4"/>
    <w:rsid w:val="00351232"/>
    <w:rsid w:val="003529E8"/>
    <w:rsid w:val="00353DC6"/>
    <w:rsid w:val="0035472C"/>
    <w:rsid w:val="00355733"/>
    <w:rsid w:val="00356714"/>
    <w:rsid w:val="00356759"/>
    <w:rsid w:val="00356A92"/>
    <w:rsid w:val="00356CC0"/>
    <w:rsid w:val="00356FFD"/>
    <w:rsid w:val="003570FD"/>
    <w:rsid w:val="003612D2"/>
    <w:rsid w:val="00362477"/>
    <w:rsid w:val="003648EA"/>
    <w:rsid w:val="00364935"/>
    <w:rsid w:val="00365C82"/>
    <w:rsid w:val="00366148"/>
    <w:rsid w:val="0037195E"/>
    <w:rsid w:val="00371FB7"/>
    <w:rsid w:val="00372DFB"/>
    <w:rsid w:val="00374795"/>
    <w:rsid w:val="00376096"/>
    <w:rsid w:val="00377355"/>
    <w:rsid w:val="00377F6A"/>
    <w:rsid w:val="003810F7"/>
    <w:rsid w:val="003841CD"/>
    <w:rsid w:val="0038449F"/>
    <w:rsid w:val="0038622C"/>
    <w:rsid w:val="00386877"/>
    <w:rsid w:val="00386D06"/>
    <w:rsid w:val="00387201"/>
    <w:rsid w:val="00387679"/>
    <w:rsid w:val="00387805"/>
    <w:rsid w:val="00387AA5"/>
    <w:rsid w:val="00387E16"/>
    <w:rsid w:val="0039145B"/>
    <w:rsid w:val="00392744"/>
    <w:rsid w:val="00395B9C"/>
    <w:rsid w:val="003960DF"/>
    <w:rsid w:val="00396218"/>
    <w:rsid w:val="00396856"/>
    <w:rsid w:val="00396EA7"/>
    <w:rsid w:val="003970B1"/>
    <w:rsid w:val="0039712B"/>
    <w:rsid w:val="003A0015"/>
    <w:rsid w:val="003A06F7"/>
    <w:rsid w:val="003A0933"/>
    <w:rsid w:val="003A1153"/>
    <w:rsid w:val="003A1300"/>
    <w:rsid w:val="003A321C"/>
    <w:rsid w:val="003A354F"/>
    <w:rsid w:val="003A3794"/>
    <w:rsid w:val="003A7599"/>
    <w:rsid w:val="003A7D2E"/>
    <w:rsid w:val="003A7FB6"/>
    <w:rsid w:val="003B110C"/>
    <w:rsid w:val="003B4866"/>
    <w:rsid w:val="003B65BA"/>
    <w:rsid w:val="003B7318"/>
    <w:rsid w:val="003B759C"/>
    <w:rsid w:val="003B770C"/>
    <w:rsid w:val="003C1CCF"/>
    <w:rsid w:val="003C4E07"/>
    <w:rsid w:val="003D0694"/>
    <w:rsid w:val="003D2307"/>
    <w:rsid w:val="003D44EF"/>
    <w:rsid w:val="003D5097"/>
    <w:rsid w:val="003D6678"/>
    <w:rsid w:val="003E23F2"/>
    <w:rsid w:val="003E3463"/>
    <w:rsid w:val="003E5845"/>
    <w:rsid w:val="003E62F3"/>
    <w:rsid w:val="003E71C2"/>
    <w:rsid w:val="003E79B4"/>
    <w:rsid w:val="003F4BA1"/>
    <w:rsid w:val="003F7506"/>
    <w:rsid w:val="00400E55"/>
    <w:rsid w:val="00401717"/>
    <w:rsid w:val="004051A8"/>
    <w:rsid w:val="004057BA"/>
    <w:rsid w:val="00405855"/>
    <w:rsid w:val="004071CD"/>
    <w:rsid w:val="00407FFB"/>
    <w:rsid w:val="00411C2B"/>
    <w:rsid w:val="00411F2C"/>
    <w:rsid w:val="0041397D"/>
    <w:rsid w:val="00413F3C"/>
    <w:rsid w:val="00414160"/>
    <w:rsid w:val="00415837"/>
    <w:rsid w:val="00415DF3"/>
    <w:rsid w:val="00415F72"/>
    <w:rsid w:val="0041756C"/>
    <w:rsid w:val="00420DA9"/>
    <w:rsid w:val="00424315"/>
    <w:rsid w:val="0042595A"/>
    <w:rsid w:val="004263A0"/>
    <w:rsid w:val="004300E9"/>
    <w:rsid w:val="00431BB1"/>
    <w:rsid w:val="00431D18"/>
    <w:rsid w:val="00433C00"/>
    <w:rsid w:val="00435527"/>
    <w:rsid w:val="00436D66"/>
    <w:rsid w:val="00437A89"/>
    <w:rsid w:val="00437B09"/>
    <w:rsid w:val="004401D4"/>
    <w:rsid w:val="00441B7F"/>
    <w:rsid w:val="00441FC5"/>
    <w:rsid w:val="0044228E"/>
    <w:rsid w:val="004429C2"/>
    <w:rsid w:val="00447E90"/>
    <w:rsid w:val="00451426"/>
    <w:rsid w:val="0045185F"/>
    <w:rsid w:val="00452B63"/>
    <w:rsid w:val="004544C2"/>
    <w:rsid w:val="004552EA"/>
    <w:rsid w:val="00457F35"/>
    <w:rsid w:val="00460CEE"/>
    <w:rsid w:val="00462AAC"/>
    <w:rsid w:val="004632CD"/>
    <w:rsid w:val="0046377C"/>
    <w:rsid w:val="00463F4B"/>
    <w:rsid w:val="004644C6"/>
    <w:rsid w:val="00464834"/>
    <w:rsid w:val="00464C5B"/>
    <w:rsid w:val="00464C7C"/>
    <w:rsid w:val="0046553B"/>
    <w:rsid w:val="00467635"/>
    <w:rsid w:val="00467FB4"/>
    <w:rsid w:val="00471819"/>
    <w:rsid w:val="00471C1A"/>
    <w:rsid w:val="004748A7"/>
    <w:rsid w:val="00474FBC"/>
    <w:rsid w:val="004758BF"/>
    <w:rsid w:val="00476A3A"/>
    <w:rsid w:val="00477114"/>
    <w:rsid w:val="00482180"/>
    <w:rsid w:val="00485889"/>
    <w:rsid w:val="004865D9"/>
    <w:rsid w:val="00487C67"/>
    <w:rsid w:val="0049019E"/>
    <w:rsid w:val="00490A71"/>
    <w:rsid w:val="00491804"/>
    <w:rsid w:val="00492271"/>
    <w:rsid w:val="00496F10"/>
    <w:rsid w:val="00497A08"/>
    <w:rsid w:val="004A08DE"/>
    <w:rsid w:val="004A27D4"/>
    <w:rsid w:val="004A2CDC"/>
    <w:rsid w:val="004A37C0"/>
    <w:rsid w:val="004A42FF"/>
    <w:rsid w:val="004A46AC"/>
    <w:rsid w:val="004A538D"/>
    <w:rsid w:val="004A612A"/>
    <w:rsid w:val="004B02FF"/>
    <w:rsid w:val="004B1069"/>
    <w:rsid w:val="004B4DD7"/>
    <w:rsid w:val="004B56C3"/>
    <w:rsid w:val="004B7586"/>
    <w:rsid w:val="004B7725"/>
    <w:rsid w:val="004C098E"/>
    <w:rsid w:val="004C274F"/>
    <w:rsid w:val="004C4863"/>
    <w:rsid w:val="004C6B4E"/>
    <w:rsid w:val="004C6D24"/>
    <w:rsid w:val="004C77EA"/>
    <w:rsid w:val="004C79C0"/>
    <w:rsid w:val="004D0732"/>
    <w:rsid w:val="004D54A5"/>
    <w:rsid w:val="004D714A"/>
    <w:rsid w:val="004E0662"/>
    <w:rsid w:val="004E210C"/>
    <w:rsid w:val="004E2BE5"/>
    <w:rsid w:val="004E2D23"/>
    <w:rsid w:val="004E3B50"/>
    <w:rsid w:val="004E48FA"/>
    <w:rsid w:val="004E70F0"/>
    <w:rsid w:val="004F0722"/>
    <w:rsid w:val="004F0C4B"/>
    <w:rsid w:val="004F260E"/>
    <w:rsid w:val="004F3024"/>
    <w:rsid w:val="004F3FE1"/>
    <w:rsid w:val="004F4E87"/>
    <w:rsid w:val="004F549C"/>
    <w:rsid w:val="004F5E71"/>
    <w:rsid w:val="004F5EEF"/>
    <w:rsid w:val="004F78F8"/>
    <w:rsid w:val="00500283"/>
    <w:rsid w:val="00503A79"/>
    <w:rsid w:val="00503A8C"/>
    <w:rsid w:val="005043F0"/>
    <w:rsid w:val="00510A36"/>
    <w:rsid w:val="00511B67"/>
    <w:rsid w:val="005122E9"/>
    <w:rsid w:val="005124A9"/>
    <w:rsid w:val="00513610"/>
    <w:rsid w:val="00514D6E"/>
    <w:rsid w:val="00515E93"/>
    <w:rsid w:val="00517447"/>
    <w:rsid w:val="00521BE3"/>
    <w:rsid w:val="00523259"/>
    <w:rsid w:val="00526305"/>
    <w:rsid w:val="0052659C"/>
    <w:rsid w:val="0052665D"/>
    <w:rsid w:val="005269C7"/>
    <w:rsid w:val="005269CA"/>
    <w:rsid w:val="00532292"/>
    <w:rsid w:val="005329C4"/>
    <w:rsid w:val="005333F4"/>
    <w:rsid w:val="0053340F"/>
    <w:rsid w:val="00537528"/>
    <w:rsid w:val="00537BFF"/>
    <w:rsid w:val="005410A5"/>
    <w:rsid w:val="00541ABB"/>
    <w:rsid w:val="00541E9A"/>
    <w:rsid w:val="00546735"/>
    <w:rsid w:val="00552545"/>
    <w:rsid w:val="00553A83"/>
    <w:rsid w:val="0055443F"/>
    <w:rsid w:val="0055482A"/>
    <w:rsid w:val="005602A6"/>
    <w:rsid w:val="005615F5"/>
    <w:rsid w:val="005628C2"/>
    <w:rsid w:val="00563AC0"/>
    <w:rsid w:val="00564F39"/>
    <w:rsid w:val="005702E9"/>
    <w:rsid w:val="00570AD0"/>
    <w:rsid w:val="00570C70"/>
    <w:rsid w:val="005730DD"/>
    <w:rsid w:val="00575C04"/>
    <w:rsid w:val="005760A8"/>
    <w:rsid w:val="00577C74"/>
    <w:rsid w:val="00580473"/>
    <w:rsid w:val="005813A5"/>
    <w:rsid w:val="00583624"/>
    <w:rsid w:val="0058757D"/>
    <w:rsid w:val="0058785F"/>
    <w:rsid w:val="00590AC6"/>
    <w:rsid w:val="005910CF"/>
    <w:rsid w:val="00592657"/>
    <w:rsid w:val="0059319A"/>
    <w:rsid w:val="00594AAC"/>
    <w:rsid w:val="00594CA6"/>
    <w:rsid w:val="0059558D"/>
    <w:rsid w:val="0059664F"/>
    <w:rsid w:val="005A0B9A"/>
    <w:rsid w:val="005A28FB"/>
    <w:rsid w:val="005A32FA"/>
    <w:rsid w:val="005A37FE"/>
    <w:rsid w:val="005A6755"/>
    <w:rsid w:val="005A6E4F"/>
    <w:rsid w:val="005A75B8"/>
    <w:rsid w:val="005B060D"/>
    <w:rsid w:val="005B2882"/>
    <w:rsid w:val="005B2FA8"/>
    <w:rsid w:val="005B4DFC"/>
    <w:rsid w:val="005B4E81"/>
    <w:rsid w:val="005B6390"/>
    <w:rsid w:val="005B6D1F"/>
    <w:rsid w:val="005C2D47"/>
    <w:rsid w:val="005C4295"/>
    <w:rsid w:val="005C5B0C"/>
    <w:rsid w:val="005C5DF1"/>
    <w:rsid w:val="005C7821"/>
    <w:rsid w:val="005D42CF"/>
    <w:rsid w:val="005D59F2"/>
    <w:rsid w:val="005E02CB"/>
    <w:rsid w:val="005E5090"/>
    <w:rsid w:val="005E5268"/>
    <w:rsid w:val="005E69E0"/>
    <w:rsid w:val="005E7D0C"/>
    <w:rsid w:val="005F0EE9"/>
    <w:rsid w:val="005F37E6"/>
    <w:rsid w:val="005F718A"/>
    <w:rsid w:val="005F77D4"/>
    <w:rsid w:val="0060036F"/>
    <w:rsid w:val="00602248"/>
    <w:rsid w:val="0060283C"/>
    <w:rsid w:val="00602ABC"/>
    <w:rsid w:val="00602B2B"/>
    <w:rsid w:val="00605C45"/>
    <w:rsid w:val="00605EC9"/>
    <w:rsid w:val="00606009"/>
    <w:rsid w:val="006062F1"/>
    <w:rsid w:val="00607F82"/>
    <w:rsid w:val="00613ACC"/>
    <w:rsid w:val="006144BD"/>
    <w:rsid w:val="00614D97"/>
    <w:rsid w:val="00615056"/>
    <w:rsid w:val="00615518"/>
    <w:rsid w:val="006159E8"/>
    <w:rsid w:val="00616336"/>
    <w:rsid w:val="00617571"/>
    <w:rsid w:val="00617FAF"/>
    <w:rsid w:val="00622126"/>
    <w:rsid w:val="00622435"/>
    <w:rsid w:val="00622E75"/>
    <w:rsid w:val="006250E5"/>
    <w:rsid w:val="00626635"/>
    <w:rsid w:val="00626C85"/>
    <w:rsid w:val="00627A08"/>
    <w:rsid w:val="00631579"/>
    <w:rsid w:val="006436E5"/>
    <w:rsid w:val="00643CBE"/>
    <w:rsid w:val="006443DE"/>
    <w:rsid w:val="006457EA"/>
    <w:rsid w:val="00645AF7"/>
    <w:rsid w:val="00645E0D"/>
    <w:rsid w:val="006475A2"/>
    <w:rsid w:val="0064780D"/>
    <w:rsid w:val="006479F5"/>
    <w:rsid w:val="00650669"/>
    <w:rsid w:val="00651CCF"/>
    <w:rsid w:val="00652170"/>
    <w:rsid w:val="0065244F"/>
    <w:rsid w:val="00656697"/>
    <w:rsid w:val="00657B1A"/>
    <w:rsid w:val="00657D96"/>
    <w:rsid w:val="006600AC"/>
    <w:rsid w:val="0066134C"/>
    <w:rsid w:val="00661E7B"/>
    <w:rsid w:val="006629FF"/>
    <w:rsid w:val="00663801"/>
    <w:rsid w:val="00665EC6"/>
    <w:rsid w:val="00667675"/>
    <w:rsid w:val="006703BC"/>
    <w:rsid w:val="00670FDE"/>
    <w:rsid w:val="006742A5"/>
    <w:rsid w:val="00680052"/>
    <w:rsid w:val="006807C9"/>
    <w:rsid w:val="00681E6F"/>
    <w:rsid w:val="00682EB3"/>
    <w:rsid w:val="006833FD"/>
    <w:rsid w:val="00683844"/>
    <w:rsid w:val="00684D57"/>
    <w:rsid w:val="00687327"/>
    <w:rsid w:val="00690044"/>
    <w:rsid w:val="00690A7B"/>
    <w:rsid w:val="00691961"/>
    <w:rsid w:val="006932B4"/>
    <w:rsid w:val="00693C76"/>
    <w:rsid w:val="0069403B"/>
    <w:rsid w:val="006941F2"/>
    <w:rsid w:val="00694A17"/>
    <w:rsid w:val="00694F76"/>
    <w:rsid w:val="0069516E"/>
    <w:rsid w:val="006975E6"/>
    <w:rsid w:val="006A38D4"/>
    <w:rsid w:val="006A3B2C"/>
    <w:rsid w:val="006A4E22"/>
    <w:rsid w:val="006A6E66"/>
    <w:rsid w:val="006B254B"/>
    <w:rsid w:val="006B4D00"/>
    <w:rsid w:val="006B753F"/>
    <w:rsid w:val="006C1D76"/>
    <w:rsid w:val="006C537C"/>
    <w:rsid w:val="006C6DD5"/>
    <w:rsid w:val="006D032F"/>
    <w:rsid w:val="006D1839"/>
    <w:rsid w:val="006D1A47"/>
    <w:rsid w:val="006D1D7E"/>
    <w:rsid w:val="006D2414"/>
    <w:rsid w:val="006D31E0"/>
    <w:rsid w:val="006D7206"/>
    <w:rsid w:val="006E0670"/>
    <w:rsid w:val="006E09FD"/>
    <w:rsid w:val="006E0B25"/>
    <w:rsid w:val="006E1B9A"/>
    <w:rsid w:val="006E249B"/>
    <w:rsid w:val="006E2708"/>
    <w:rsid w:val="006E335F"/>
    <w:rsid w:val="006E4094"/>
    <w:rsid w:val="006E5D4A"/>
    <w:rsid w:val="006E61E0"/>
    <w:rsid w:val="006E7455"/>
    <w:rsid w:val="006E7AA8"/>
    <w:rsid w:val="006F04B8"/>
    <w:rsid w:val="006F0576"/>
    <w:rsid w:val="006F09B5"/>
    <w:rsid w:val="006F09CB"/>
    <w:rsid w:val="006F0A11"/>
    <w:rsid w:val="006F0CFF"/>
    <w:rsid w:val="006F17DE"/>
    <w:rsid w:val="006F4FAF"/>
    <w:rsid w:val="006F531B"/>
    <w:rsid w:val="006F5811"/>
    <w:rsid w:val="006F5A7E"/>
    <w:rsid w:val="006F5E9F"/>
    <w:rsid w:val="006F7607"/>
    <w:rsid w:val="006F7F61"/>
    <w:rsid w:val="00700530"/>
    <w:rsid w:val="00700DB0"/>
    <w:rsid w:val="00701B26"/>
    <w:rsid w:val="00702E5E"/>
    <w:rsid w:val="00705B21"/>
    <w:rsid w:val="00707225"/>
    <w:rsid w:val="00707C89"/>
    <w:rsid w:val="00707EA3"/>
    <w:rsid w:val="00710102"/>
    <w:rsid w:val="00710AE1"/>
    <w:rsid w:val="00711CE9"/>
    <w:rsid w:val="00711E68"/>
    <w:rsid w:val="00713359"/>
    <w:rsid w:val="007133E4"/>
    <w:rsid w:val="00713C0F"/>
    <w:rsid w:val="00715E07"/>
    <w:rsid w:val="00715EBF"/>
    <w:rsid w:val="007168E7"/>
    <w:rsid w:val="007209EA"/>
    <w:rsid w:val="00720D7F"/>
    <w:rsid w:val="00722EF0"/>
    <w:rsid w:val="007231B1"/>
    <w:rsid w:val="00723643"/>
    <w:rsid w:val="00723CE0"/>
    <w:rsid w:val="00725175"/>
    <w:rsid w:val="007266A4"/>
    <w:rsid w:val="00727487"/>
    <w:rsid w:val="007274D0"/>
    <w:rsid w:val="00731668"/>
    <w:rsid w:val="00732B46"/>
    <w:rsid w:val="00733156"/>
    <w:rsid w:val="0073328E"/>
    <w:rsid w:val="007407B4"/>
    <w:rsid w:val="00741B13"/>
    <w:rsid w:val="00743136"/>
    <w:rsid w:val="007435E6"/>
    <w:rsid w:val="00743D35"/>
    <w:rsid w:val="00744773"/>
    <w:rsid w:val="00746591"/>
    <w:rsid w:val="00746C22"/>
    <w:rsid w:val="00747CFF"/>
    <w:rsid w:val="007515D3"/>
    <w:rsid w:val="007519C3"/>
    <w:rsid w:val="00753BAB"/>
    <w:rsid w:val="00753C00"/>
    <w:rsid w:val="00753D45"/>
    <w:rsid w:val="00755887"/>
    <w:rsid w:val="00757AA7"/>
    <w:rsid w:val="00761D1F"/>
    <w:rsid w:val="0076338D"/>
    <w:rsid w:val="00763765"/>
    <w:rsid w:val="00763A4B"/>
    <w:rsid w:val="00763EBA"/>
    <w:rsid w:val="00764088"/>
    <w:rsid w:val="007640DB"/>
    <w:rsid w:val="0076417B"/>
    <w:rsid w:val="0076522B"/>
    <w:rsid w:val="007707B8"/>
    <w:rsid w:val="007712D2"/>
    <w:rsid w:val="00773488"/>
    <w:rsid w:val="007742E8"/>
    <w:rsid w:val="00774E66"/>
    <w:rsid w:val="00775194"/>
    <w:rsid w:val="0077713A"/>
    <w:rsid w:val="00781696"/>
    <w:rsid w:val="00781B70"/>
    <w:rsid w:val="00782D05"/>
    <w:rsid w:val="00785032"/>
    <w:rsid w:val="00785822"/>
    <w:rsid w:val="00786B30"/>
    <w:rsid w:val="00786CF1"/>
    <w:rsid w:val="007907A6"/>
    <w:rsid w:val="00791B87"/>
    <w:rsid w:val="00791E33"/>
    <w:rsid w:val="007920A8"/>
    <w:rsid w:val="00792832"/>
    <w:rsid w:val="00793634"/>
    <w:rsid w:val="00793A00"/>
    <w:rsid w:val="007965BA"/>
    <w:rsid w:val="007966F1"/>
    <w:rsid w:val="007976B8"/>
    <w:rsid w:val="00797A2D"/>
    <w:rsid w:val="00797ADD"/>
    <w:rsid w:val="00797B43"/>
    <w:rsid w:val="007A0C67"/>
    <w:rsid w:val="007A1763"/>
    <w:rsid w:val="007A18B7"/>
    <w:rsid w:val="007A2737"/>
    <w:rsid w:val="007A34FE"/>
    <w:rsid w:val="007A3A94"/>
    <w:rsid w:val="007A7916"/>
    <w:rsid w:val="007B16A8"/>
    <w:rsid w:val="007B1A3C"/>
    <w:rsid w:val="007B3444"/>
    <w:rsid w:val="007B43F2"/>
    <w:rsid w:val="007B52E5"/>
    <w:rsid w:val="007B5AAC"/>
    <w:rsid w:val="007B7DBC"/>
    <w:rsid w:val="007C1497"/>
    <w:rsid w:val="007C17B2"/>
    <w:rsid w:val="007C3F16"/>
    <w:rsid w:val="007C4454"/>
    <w:rsid w:val="007C4554"/>
    <w:rsid w:val="007C50FD"/>
    <w:rsid w:val="007C6776"/>
    <w:rsid w:val="007C697C"/>
    <w:rsid w:val="007D0114"/>
    <w:rsid w:val="007D3002"/>
    <w:rsid w:val="007D443D"/>
    <w:rsid w:val="007D69A5"/>
    <w:rsid w:val="007E5421"/>
    <w:rsid w:val="007E5B02"/>
    <w:rsid w:val="007E768E"/>
    <w:rsid w:val="007F0436"/>
    <w:rsid w:val="007F04CB"/>
    <w:rsid w:val="007F1DC4"/>
    <w:rsid w:val="007F22AE"/>
    <w:rsid w:val="007F2A6E"/>
    <w:rsid w:val="007F356D"/>
    <w:rsid w:val="007F4A81"/>
    <w:rsid w:val="007F6E99"/>
    <w:rsid w:val="007F736C"/>
    <w:rsid w:val="007F781E"/>
    <w:rsid w:val="00802BC8"/>
    <w:rsid w:val="00803D00"/>
    <w:rsid w:val="00804302"/>
    <w:rsid w:val="0080557E"/>
    <w:rsid w:val="00806AEC"/>
    <w:rsid w:val="00807358"/>
    <w:rsid w:val="00810619"/>
    <w:rsid w:val="0081226D"/>
    <w:rsid w:val="00812A23"/>
    <w:rsid w:val="00812B6E"/>
    <w:rsid w:val="00815624"/>
    <w:rsid w:val="0081576A"/>
    <w:rsid w:val="00816750"/>
    <w:rsid w:val="00817560"/>
    <w:rsid w:val="008202EB"/>
    <w:rsid w:val="0082136D"/>
    <w:rsid w:val="008242B3"/>
    <w:rsid w:val="00825DF6"/>
    <w:rsid w:val="008268E0"/>
    <w:rsid w:val="00826C00"/>
    <w:rsid w:val="00827072"/>
    <w:rsid w:val="008278BD"/>
    <w:rsid w:val="00827968"/>
    <w:rsid w:val="00831785"/>
    <w:rsid w:val="00831D01"/>
    <w:rsid w:val="008355C7"/>
    <w:rsid w:val="00835A7C"/>
    <w:rsid w:val="00840E7C"/>
    <w:rsid w:val="0084128E"/>
    <w:rsid w:val="0084225C"/>
    <w:rsid w:val="00842700"/>
    <w:rsid w:val="00844B1C"/>
    <w:rsid w:val="00844DCE"/>
    <w:rsid w:val="008471F1"/>
    <w:rsid w:val="0084771A"/>
    <w:rsid w:val="00852F64"/>
    <w:rsid w:val="0085319A"/>
    <w:rsid w:val="00854E82"/>
    <w:rsid w:val="00857DD0"/>
    <w:rsid w:val="00860D70"/>
    <w:rsid w:val="00860F7F"/>
    <w:rsid w:val="008615E1"/>
    <w:rsid w:val="008641BB"/>
    <w:rsid w:val="008669D0"/>
    <w:rsid w:val="008705DF"/>
    <w:rsid w:val="00870611"/>
    <w:rsid w:val="00873954"/>
    <w:rsid w:val="008753C9"/>
    <w:rsid w:val="00877ACD"/>
    <w:rsid w:val="00877BBE"/>
    <w:rsid w:val="00877D92"/>
    <w:rsid w:val="0088082F"/>
    <w:rsid w:val="00881903"/>
    <w:rsid w:val="00881CDD"/>
    <w:rsid w:val="008841F7"/>
    <w:rsid w:val="00885BC4"/>
    <w:rsid w:val="00886601"/>
    <w:rsid w:val="00886B06"/>
    <w:rsid w:val="00886DB2"/>
    <w:rsid w:val="00887F46"/>
    <w:rsid w:val="00890EAE"/>
    <w:rsid w:val="00891EF9"/>
    <w:rsid w:val="008921AB"/>
    <w:rsid w:val="008926E2"/>
    <w:rsid w:val="00892D9A"/>
    <w:rsid w:val="00892DC4"/>
    <w:rsid w:val="0089473B"/>
    <w:rsid w:val="008953A4"/>
    <w:rsid w:val="00896243"/>
    <w:rsid w:val="00896E83"/>
    <w:rsid w:val="008A2159"/>
    <w:rsid w:val="008A2BC7"/>
    <w:rsid w:val="008A2DCD"/>
    <w:rsid w:val="008A414C"/>
    <w:rsid w:val="008A466D"/>
    <w:rsid w:val="008A7412"/>
    <w:rsid w:val="008B27E7"/>
    <w:rsid w:val="008B2ACD"/>
    <w:rsid w:val="008B39E9"/>
    <w:rsid w:val="008B3AED"/>
    <w:rsid w:val="008B5F22"/>
    <w:rsid w:val="008C0CDD"/>
    <w:rsid w:val="008C131C"/>
    <w:rsid w:val="008C27C7"/>
    <w:rsid w:val="008C2AC8"/>
    <w:rsid w:val="008C3684"/>
    <w:rsid w:val="008C3D72"/>
    <w:rsid w:val="008C3D84"/>
    <w:rsid w:val="008C40DC"/>
    <w:rsid w:val="008C531E"/>
    <w:rsid w:val="008C533F"/>
    <w:rsid w:val="008C5B64"/>
    <w:rsid w:val="008D038B"/>
    <w:rsid w:val="008D33F1"/>
    <w:rsid w:val="008D3414"/>
    <w:rsid w:val="008D531A"/>
    <w:rsid w:val="008D5D50"/>
    <w:rsid w:val="008D6A3F"/>
    <w:rsid w:val="008D7547"/>
    <w:rsid w:val="008D78A2"/>
    <w:rsid w:val="008E0632"/>
    <w:rsid w:val="008E0790"/>
    <w:rsid w:val="008E1933"/>
    <w:rsid w:val="008E2F0F"/>
    <w:rsid w:val="008E4229"/>
    <w:rsid w:val="008E5BB0"/>
    <w:rsid w:val="008E78E0"/>
    <w:rsid w:val="008F2A0C"/>
    <w:rsid w:val="008F313E"/>
    <w:rsid w:val="008F3DD8"/>
    <w:rsid w:val="008F506E"/>
    <w:rsid w:val="008F5EB1"/>
    <w:rsid w:val="008F6FF1"/>
    <w:rsid w:val="009012C3"/>
    <w:rsid w:val="00903A32"/>
    <w:rsid w:val="0090564C"/>
    <w:rsid w:val="009064A1"/>
    <w:rsid w:val="009076F0"/>
    <w:rsid w:val="00910DCB"/>
    <w:rsid w:val="00911645"/>
    <w:rsid w:val="00914866"/>
    <w:rsid w:val="00914C8E"/>
    <w:rsid w:val="0091632A"/>
    <w:rsid w:val="00916C05"/>
    <w:rsid w:val="0091700B"/>
    <w:rsid w:val="00917A67"/>
    <w:rsid w:val="00917ACF"/>
    <w:rsid w:val="00922B3E"/>
    <w:rsid w:val="0092322C"/>
    <w:rsid w:val="0092420D"/>
    <w:rsid w:val="0092587C"/>
    <w:rsid w:val="00927D32"/>
    <w:rsid w:val="00930A75"/>
    <w:rsid w:val="00932762"/>
    <w:rsid w:val="00932877"/>
    <w:rsid w:val="009356F5"/>
    <w:rsid w:val="00937D12"/>
    <w:rsid w:val="00937DC4"/>
    <w:rsid w:val="0094001E"/>
    <w:rsid w:val="00941B04"/>
    <w:rsid w:val="00941E1C"/>
    <w:rsid w:val="00942AFB"/>
    <w:rsid w:val="009430D0"/>
    <w:rsid w:val="0094373A"/>
    <w:rsid w:val="0094481E"/>
    <w:rsid w:val="00945B46"/>
    <w:rsid w:val="00960314"/>
    <w:rsid w:val="00961166"/>
    <w:rsid w:val="0096256D"/>
    <w:rsid w:val="00962A8A"/>
    <w:rsid w:val="0096375F"/>
    <w:rsid w:val="009642ED"/>
    <w:rsid w:val="00966EB1"/>
    <w:rsid w:val="009677EB"/>
    <w:rsid w:val="0097193F"/>
    <w:rsid w:val="0097394E"/>
    <w:rsid w:val="00973BDF"/>
    <w:rsid w:val="009753DB"/>
    <w:rsid w:val="00975C18"/>
    <w:rsid w:val="009770DD"/>
    <w:rsid w:val="00980CD9"/>
    <w:rsid w:val="00982CF3"/>
    <w:rsid w:val="00983D52"/>
    <w:rsid w:val="0098651C"/>
    <w:rsid w:val="00986A25"/>
    <w:rsid w:val="00986E69"/>
    <w:rsid w:val="00990780"/>
    <w:rsid w:val="00993227"/>
    <w:rsid w:val="00993AC3"/>
    <w:rsid w:val="00994BEC"/>
    <w:rsid w:val="00995595"/>
    <w:rsid w:val="00995E41"/>
    <w:rsid w:val="00996E4D"/>
    <w:rsid w:val="00996ECF"/>
    <w:rsid w:val="009972FE"/>
    <w:rsid w:val="0099736A"/>
    <w:rsid w:val="009A20F9"/>
    <w:rsid w:val="009A29E6"/>
    <w:rsid w:val="009A3C43"/>
    <w:rsid w:val="009A7FCF"/>
    <w:rsid w:val="009B3F65"/>
    <w:rsid w:val="009B765A"/>
    <w:rsid w:val="009B7C2F"/>
    <w:rsid w:val="009C213B"/>
    <w:rsid w:val="009C36AA"/>
    <w:rsid w:val="009C3F95"/>
    <w:rsid w:val="009C5B3B"/>
    <w:rsid w:val="009C6EE5"/>
    <w:rsid w:val="009C76B3"/>
    <w:rsid w:val="009D2886"/>
    <w:rsid w:val="009D29B0"/>
    <w:rsid w:val="009D60E7"/>
    <w:rsid w:val="009D7145"/>
    <w:rsid w:val="009D7701"/>
    <w:rsid w:val="009E1152"/>
    <w:rsid w:val="009E2220"/>
    <w:rsid w:val="009E39F0"/>
    <w:rsid w:val="009E6D92"/>
    <w:rsid w:val="009F0244"/>
    <w:rsid w:val="009F04FA"/>
    <w:rsid w:val="009F15D6"/>
    <w:rsid w:val="009F2BFC"/>
    <w:rsid w:val="009F4B77"/>
    <w:rsid w:val="009F7856"/>
    <w:rsid w:val="009F79E3"/>
    <w:rsid w:val="00A003A3"/>
    <w:rsid w:val="00A01A8D"/>
    <w:rsid w:val="00A03242"/>
    <w:rsid w:val="00A03732"/>
    <w:rsid w:val="00A0738D"/>
    <w:rsid w:val="00A114FD"/>
    <w:rsid w:val="00A120F5"/>
    <w:rsid w:val="00A12EF0"/>
    <w:rsid w:val="00A13F86"/>
    <w:rsid w:val="00A15345"/>
    <w:rsid w:val="00A15B33"/>
    <w:rsid w:val="00A16773"/>
    <w:rsid w:val="00A17A7D"/>
    <w:rsid w:val="00A220AB"/>
    <w:rsid w:val="00A23147"/>
    <w:rsid w:val="00A2379D"/>
    <w:rsid w:val="00A259C2"/>
    <w:rsid w:val="00A25B04"/>
    <w:rsid w:val="00A268AB"/>
    <w:rsid w:val="00A31B14"/>
    <w:rsid w:val="00A3250B"/>
    <w:rsid w:val="00A328EC"/>
    <w:rsid w:val="00A33FFF"/>
    <w:rsid w:val="00A40729"/>
    <w:rsid w:val="00A40EDF"/>
    <w:rsid w:val="00A411EF"/>
    <w:rsid w:val="00A41A09"/>
    <w:rsid w:val="00A4486A"/>
    <w:rsid w:val="00A45C14"/>
    <w:rsid w:val="00A45D58"/>
    <w:rsid w:val="00A50177"/>
    <w:rsid w:val="00A50E6F"/>
    <w:rsid w:val="00A565DA"/>
    <w:rsid w:val="00A56AEC"/>
    <w:rsid w:val="00A56EB5"/>
    <w:rsid w:val="00A5703E"/>
    <w:rsid w:val="00A5725B"/>
    <w:rsid w:val="00A57F46"/>
    <w:rsid w:val="00A6214E"/>
    <w:rsid w:val="00A657B3"/>
    <w:rsid w:val="00A6618A"/>
    <w:rsid w:val="00A665DF"/>
    <w:rsid w:val="00A705EB"/>
    <w:rsid w:val="00A72F90"/>
    <w:rsid w:val="00A77083"/>
    <w:rsid w:val="00A77490"/>
    <w:rsid w:val="00A779D3"/>
    <w:rsid w:val="00A80E11"/>
    <w:rsid w:val="00A83E63"/>
    <w:rsid w:val="00A84CE0"/>
    <w:rsid w:val="00A8542F"/>
    <w:rsid w:val="00A86C53"/>
    <w:rsid w:val="00A8755E"/>
    <w:rsid w:val="00A9000E"/>
    <w:rsid w:val="00A90EB4"/>
    <w:rsid w:val="00A913E6"/>
    <w:rsid w:val="00A9213D"/>
    <w:rsid w:val="00A9451A"/>
    <w:rsid w:val="00A94CE3"/>
    <w:rsid w:val="00A95620"/>
    <w:rsid w:val="00A96B16"/>
    <w:rsid w:val="00AA071C"/>
    <w:rsid w:val="00AA0CE0"/>
    <w:rsid w:val="00AA1938"/>
    <w:rsid w:val="00AA48F1"/>
    <w:rsid w:val="00AA52E2"/>
    <w:rsid w:val="00AA57F1"/>
    <w:rsid w:val="00AA7D30"/>
    <w:rsid w:val="00AB02F0"/>
    <w:rsid w:val="00AB0625"/>
    <w:rsid w:val="00AB21F7"/>
    <w:rsid w:val="00AB4B6A"/>
    <w:rsid w:val="00AC1104"/>
    <w:rsid w:val="00AC1396"/>
    <w:rsid w:val="00AC231E"/>
    <w:rsid w:val="00AC353A"/>
    <w:rsid w:val="00AC4641"/>
    <w:rsid w:val="00AC50D8"/>
    <w:rsid w:val="00AC56AA"/>
    <w:rsid w:val="00AC6645"/>
    <w:rsid w:val="00AC6BB9"/>
    <w:rsid w:val="00AC7953"/>
    <w:rsid w:val="00AD3567"/>
    <w:rsid w:val="00AD3DD6"/>
    <w:rsid w:val="00AD4119"/>
    <w:rsid w:val="00AD4506"/>
    <w:rsid w:val="00AD462D"/>
    <w:rsid w:val="00AD4D6E"/>
    <w:rsid w:val="00AD4E80"/>
    <w:rsid w:val="00AD5EF4"/>
    <w:rsid w:val="00AD6632"/>
    <w:rsid w:val="00AD6CB9"/>
    <w:rsid w:val="00AD7449"/>
    <w:rsid w:val="00AD7D3C"/>
    <w:rsid w:val="00AE0121"/>
    <w:rsid w:val="00AE31DE"/>
    <w:rsid w:val="00AE38B7"/>
    <w:rsid w:val="00AE3982"/>
    <w:rsid w:val="00AE4C1A"/>
    <w:rsid w:val="00AF0FBA"/>
    <w:rsid w:val="00B00E34"/>
    <w:rsid w:val="00B01105"/>
    <w:rsid w:val="00B029AE"/>
    <w:rsid w:val="00B031AD"/>
    <w:rsid w:val="00B0350E"/>
    <w:rsid w:val="00B04838"/>
    <w:rsid w:val="00B05B55"/>
    <w:rsid w:val="00B05D43"/>
    <w:rsid w:val="00B06A2B"/>
    <w:rsid w:val="00B15B4D"/>
    <w:rsid w:val="00B17199"/>
    <w:rsid w:val="00B172EB"/>
    <w:rsid w:val="00B20282"/>
    <w:rsid w:val="00B20D77"/>
    <w:rsid w:val="00B21016"/>
    <w:rsid w:val="00B22018"/>
    <w:rsid w:val="00B25753"/>
    <w:rsid w:val="00B26ACF"/>
    <w:rsid w:val="00B30688"/>
    <w:rsid w:val="00B30AFC"/>
    <w:rsid w:val="00B30DF9"/>
    <w:rsid w:val="00B31391"/>
    <w:rsid w:val="00B315F4"/>
    <w:rsid w:val="00B32D98"/>
    <w:rsid w:val="00B32DC5"/>
    <w:rsid w:val="00B35B8A"/>
    <w:rsid w:val="00B35ED8"/>
    <w:rsid w:val="00B378F7"/>
    <w:rsid w:val="00B407E2"/>
    <w:rsid w:val="00B437C2"/>
    <w:rsid w:val="00B43CD8"/>
    <w:rsid w:val="00B51E56"/>
    <w:rsid w:val="00B525CF"/>
    <w:rsid w:val="00B5277B"/>
    <w:rsid w:val="00B52D21"/>
    <w:rsid w:val="00B5479D"/>
    <w:rsid w:val="00B5529D"/>
    <w:rsid w:val="00B579C5"/>
    <w:rsid w:val="00B60F9B"/>
    <w:rsid w:val="00B639E0"/>
    <w:rsid w:val="00B653E3"/>
    <w:rsid w:val="00B70510"/>
    <w:rsid w:val="00B71FF0"/>
    <w:rsid w:val="00B75676"/>
    <w:rsid w:val="00B759F7"/>
    <w:rsid w:val="00B76C97"/>
    <w:rsid w:val="00B76D8D"/>
    <w:rsid w:val="00B81BE3"/>
    <w:rsid w:val="00B81C33"/>
    <w:rsid w:val="00B81E13"/>
    <w:rsid w:val="00B821D2"/>
    <w:rsid w:val="00B83883"/>
    <w:rsid w:val="00B83BC6"/>
    <w:rsid w:val="00B83F96"/>
    <w:rsid w:val="00B83FC0"/>
    <w:rsid w:val="00B840FD"/>
    <w:rsid w:val="00B84112"/>
    <w:rsid w:val="00B84536"/>
    <w:rsid w:val="00B85C0C"/>
    <w:rsid w:val="00B86C8B"/>
    <w:rsid w:val="00B873A1"/>
    <w:rsid w:val="00B90373"/>
    <w:rsid w:val="00B90484"/>
    <w:rsid w:val="00B96946"/>
    <w:rsid w:val="00BA0D73"/>
    <w:rsid w:val="00BA3D59"/>
    <w:rsid w:val="00BA5819"/>
    <w:rsid w:val="00BA6252"/>
    <w:rsid w:val="00BA7908"/>
    <w:rsid w:val="00BA798D"/>
    <w:rsid w:val="00BB0C03"/>
    <w:rsid w:val="00BB2076"/>
    <w:rsid w:val="00BB3BCE"/>
    <w:rsid w:val="00BB45C6"/>
    <w:rsid w:val="00BB716A"/>
    <w:rsid w:val="00BC0353"/>
    <w:rsid w:val="00BC0D6A"/>
    <w:rsid w:val="00BC3A4B"/>
    <w:rsid w:val="00BC5AE0"/>
    <w:rsid w:val="00BC5C08"/>
    <w:rsid w:val="00BC61A2"/>
    <w:rsid w:val="00BC6FBF"/>
    <w:rsid w:val="00BC7CCA"/>
    <w:rsid w:val="00BC7D8D"/>
    <w:rsid w:val="00BD0CBC"/>
    <w:rsid w:val="00BD12CD"/>
    <w:rsid w:val="00BD44BD"/>
    <w:rsid w:val="00BD66F1"/>
    <w:rsid w:val="00BD7485"/>
    <w:rsid w:val="00BE079E"/>
    <w:rsid w:val="00BE602E"/>
    <w:rsid w:val="00BE756E"/>
    <w:rsid w:val="00BE7645"/>
    <w:rsid w:val="00BF37E8"/>
    <w:rsid w:val="00BF6765"/>
    <w:rsid w:val="00BF6FCD"/>
    <w:rsid w:val="00C01607"/>
    <w:rsid w:val="00C0174B"/>
    <w:rsid w:val="00C018C4"/>
    <w:rsid w:val="00C020B5"/>
    <w:rsid w:val="00C0492A"/>
    <w:rsid w:val="00C06D5C"/>
    <w:rsid w:val="00C079A4"/>
    <w:rsid w:val="00C10B8A"/>
    <w:rsid w:val="00C11E61"/>
    <w:rsid w:val="00C13629"/>
    <w:rsid w:val="00C13654"/>
    <w:rsid w:val="00C145C7"/>
    <w:rsid w:val="00C14E31"/>
    <w:rsid w:val="00C15B26"/>
    <w:rsid w:val="00C207FD"/>
    <w:rsid w:val="00C20D7F"/>
    <w:rsid w:val="00C223AC"/>
    <w:rsid w:val="00C2377F"/>
    <w:rsid w:val="00C23FFD"/>
    <w:rsid w:val="00C243E5"/>
    <w:rsid w:val="00C246FF"/>
    <w:rsid w:val="00C26E1B"/>
    <w:rsid w:val="00C30C01"/>
    <w:rsid w:val="00C32C21"/>
    <w:rsid w:val="00C34C58"/>
    <w:rsid w:val="00C3615D"/>
    <w:rsid w:val="00C40375"/>
    <w:rsid w:val="00C40A3F"/>
    <w:rsid w:val="00C42BCE"/>
    <w:rsid w:val="00C44521"/>
    <w:rsid w:val="00C449BB"/>
    <w:rsid w:val="00C51BDD"/>
    <w:rsid w:val="00C53619"/>
    <w:rsid w:val="00C558C2"/>
    <w:rsid w:val="00C56C94"/>
    <w:rsid w:val="00C60985"/>
    <w:rsid w:val="00C613AC"/>
    <w:rsid w:val="00C61837"/>
    <w:rsid w:val="00C61D3C"/>
    <w:rsid w:val="00C63CE3"/>
    <w:rsid w:val="00C656F8"/>
    <w:rsid w:val="00C6655E"/>
    <w:rsid w:val="00C70C30"/>
    <w:rsid w:val="00C76144"/>
    <w:rsid w:val="00C77699"/>
    <w:rsid w:val="00C800C8"/>
    <w:rsid w:val="00C80E71"/>
    <w:rsid w:val="00C85518"/>
    <w:rsid w:val="00C85650"/>
    <w:rsid w:val="00C858CA"/>
    <w:rsid w:val="00C85E30"/>
    <w:rsid w:val="00C91339"/>
    <w:rsid w:val="00C92998"/>
    <w:rsid w:val="00C94E8A"/>
    <w:rsid w:val="00C94EDE"/>
    <w:rsid w:val="00C97012"/>
    <w:rsid w:val="00C97C28"/>
    <w:rsid w:val="00CA0D7A"/>
    <w:rsid w:val="00CA276C"/>
    <w:rsid w:val="00CA278F"/>
    <w:rsid w:val="00CA5C35"/>
    <w:rsid w:val="00CA7D40"/>
    <w:rsid w:val="00CB069F"/>
    <w:rsid w:val="00CB0962"/>
    <w:rsid w:val="00CB3C96"/>
    <w:rsid w:val="00CB6ABB"/>
    <w:rsid w:val="00CB7C2B"/>
    <w:rsid w:val="00CB7EDD"/>
    <w:rsid w:val="00CC0896"/>
    <w:rsid w:val="00CC1DFB"/>
    <w:rsid w:val="00CC2169"/>
    <w:rsid w:val="00CC47A8"/>
    <w:rsid w:val="00CC51A2"/>
    <w:rsid w:val="00CC72B0"/>
    <w:rsid w:val="00CC7350"/>
    <w:rsid w:val="00CC73F0"/>
    <w:rsid w:val="00CC76B9"/>
    <w:rsid w:val="00CC7D15"/>
    <w:rsid w:val="00CD01AC"/>
    <w:rsid w:val="00CD21B0"/>
    <w:rsid w:val="00CD467D"/>
    <w:rsid w:val="00CD52F9"/>
    <w:rsid w:val="00CD5D97"/>
    <w:rsid w:val="00CD604B"/>
    <w:rsid w:val="00CE00BC"/>
    <w:rsid w:val="00CE0275"/>
    <w:rsid w:val="00CE02A5"/>
    <w:rsid w:val="00CE0FC1"/>
    <w:rsid w:val="00CE17A4"/>
    <w:rsid w:val="00CE28FB"/>
    <w:rsid w:val="00CE2E44"/>
    <w:rsid w:val="00CE3059"/>
    <w:rsid w:val="00CE38E2"/>
    <w:rsid w:val="00CE5A06"/>
    <w:rsid w:val="00CE6DF4"/>
    <w:rsid w:val="00CE6E42"/>
    <w:rsid w:val="00CF0622"/>
    <w:rsid w:val="00CF07C2"/>
    <w:rsid w:val="00CF5C1A"/>
    <w:rsid w:val="00CF60EF"/>
    <w:rsid w:val="00CF7574"/>
    <w:rsid w:val="00CF76A5"/>
    <w:rsid w:val="00CF77CC"/>
    <w:rsid w:val="00D00BBA"/>
    <w:rsid w:val="00D05EA1"/>
    <w:rsid w:val="00D07DE5"/>
    <w:rsid w:val="00D10078"/>
    <w:rsid w:val="00D161C8"/>
    <w:rsid w:val="00D21683"/>
    <w:rsid w:val="00D2407E"/>
    <w:rsid w:val="00D25332"/>
    <w:rsid w:val="00D25FD4"/>
    <w:rsid w:val="00D27E9A"/>
    <w:rsid w:val="00D304F5"/>
    <w:rsid w:val="00D31907"/>
    <w:rsid w:val="00D33C0F"/>
    <w:rsid w:val="00D34486"/>
    <w:rsid w:val="00D35E65"/>
    <w:rsid w:val="00D3688E"/>
    <w:rsid w:val="00D36A88"/>
    <w:rsid w:val="00D36CFC"/>
    <w:rsid w:val="00D36DC2"/>
    <w:rsid w:val="00D402E4"/>
    <w:rsid w:val="00D41B49"/>
    <w:rsid w:val="00D4220F"/>
    <w:rsid w:val="00D46DA5"/>
    <w:rsid w:val="00D46EB2"/>
    <w:rsid w:val="00D47CA8"/>
    <w:rsid w:val="00D52A27"/>
    <w:rsid w:val="00D533DA"/>
    <w:rsid w:val="00D53598"/>
    <w:rsid w:val="00D53E07"/>
    <w:rsid w:val="00D546D4"/>
    <w:rsid w:val="00D558EE"/>
    <w:rsid w:val="00D62B89"/>
    <w:rsid w:val="00D62D9D"/>
    <w:rsid w:val="00D63BE0"/>
    <w:rsid w:val="00D64A20"/>
    <w:rsid w:val="00D65586"/>
    <w:rsid w:val="00D65923"/>
    <w:rsid w:val="00D65C6D"/>
    <w:rsid w:val="00D7013A"/>
    <w:rsid w:val="00D71C7C"/>
    <w:rsid w:val="00D744AA"/>
    <w:rsid w:val="00D82F3C"/>
    <w:rsid w:val="00D8334F"/>
    <w:rsid w:val="00D837D2"/>
    <w:rsid w:val="00D838F2"/>
    <w:rsid w:val="00D86A72"/>
    <w:rsid w:val="00D86B54"/>
    <w:rsid w:val="00D870D3"/>
    <w:rsid w:val="00D9014C"/>
    <w:rsid w:val="00D901A4"/>
    <w:rsid w:val="00D915B8"/>
    <w:rsid w:val="00D9256F"/>
    <w:rsid w:val="00D939BD"/>
    <w:rsid w:val="00D9668D"/>
    <w:rsid w:val="00DA0874"/>
    <w:rsid w:val="00DA09C6"/>
    <w:rsid w:val="00DA4E01"/>
    <w:rsid w:val="00DA582E"/>
    <w:rsid w:val="00DA67CD"/>
    <w:rsid w:val="00DA701C"/>
    <w:rsid w:val="00DA7962"/>
    <w:rsid w:val="00DB117F"/>
    <w:rsid w:val="00DB39DE"/>
    <w:rsid w:val="00DB4F10"/>
    <w:rsid w:val="00DB63F6"/>
    <w:rsid w:val="00DC0696"/>
    <w:rsid w:val="00DC3AAA"/>
    <w:rsid w:val="00DC49C4"/>
    <w:rsid w:val="00DC66DF"/>
    <w:rsid w:val="00DC7080"/>
    <w:rsid w:val="00DD0FBF"/>
    <w:rsid w:val="00DD27EC"/>
    <w:rsid w:val="00DD5452"/>
    <w:rsid w:val="00DD5965"/>
    <w:rsid w:val="00DD6733"/>
    <w:rsid w:val="00DD71FA"/>
    <w:rsid w:val="00DD7EC3"/>
    <w:rsid w:val="00DE2062"/>
    <w:rsid w:val="00DE5662"/>
    <w:rsid w:val="00DE673B"/>
    <w:rsid w:val="00DE71D5"/>
    <w:rsid w:val="00DE7910"/>
    <w:rsid w:val="00DF060B"/>
    <w:rsid w:val="00E01935"/>
    <w:rsid w:val="00E03686"/>
    <w:rsid w:val="00E041E4"/>
    <w:rsid w:val="00E04550"/>
    <w:rsid w:val="00E04A16"/>
    <w:rsid w:val="00E05998"/>
    <w:rsid w:val="00E07BAC"/>
    <w:rsid w:val="00E13C6F"/>
    <w:rsid w:val="00E160C1"/>
    <w:rsid w:val="00E16B0B"/>
    <w:rsid w:val="00E16FCA"/>
    <w:rsid w:val="00E17912"/>
    <w:rsid w:val="00E20D03"/>
    <w:rsid w:val="00E2134E"/>
    <w:rsid w:val="00E2267D"/>
    <w:rsid w:val="00E2394E"/>
    <w:rsid w:val="00E2706B"/>
    <w:rsid w:val="00E2732F"/>
    <w:rsid w:val="00E325C0"/>
    <w:rsid w:val="00E364F1"/>
    <w:rsid w:val="00E36D3B"/>
    <w:rsid w:val="00E374FF"/>
    <w:rsid w:val="00E412E7"/>
    <w:rsid w:val="00E42539"/>
    <w:rsid w:val="00E4271E"/>
    <w:rsid w:val="00E43BC5"/>
    <w:rsid w:val="00E4437F"/>
    <w:rsid w:val="00E44DB6"/>
    <w:rsid w:val="00E45E65"/>
    <w:rsid w:val="00E47048"/>
    <w:rsid w:val="00E47CE1"/>
    <w:rsid w:val="00E47DD7"/>
    <w:rsid w:val="00E51F75"/>
    <w:rsid w:val="00E53E5D"/>
    <w:rsid w:val="00E61FED"/>
    <w:rsid w:val="00E620BC"/>
    <w:rsid w:val="00E627C3"/>
    <w:rsid w:val="00E636CD"/>
    <w:rsid w:val="00E641E3"/>
    <w:rsid w:val="00E65343"/>
    <w:rsid w:val="00E663DD"/>
    <w:rsid w:val="00E71823"/>
    <w:rsid w:val="00E735E9"/>
    <w:rsid w:val="00E74C27"/>
    <w:rsid w:val="00E75E49"/>
    <w:rsid w:val="00E82600"/>
    <w:rsid w:val="00E84012"/>
    <w:rsid w:val="00E848E8"/>
    <w:rsid w:val="00E86B51"/>
    <w:rsid w:val="00E8757D"/>
    <w:rsid w:val="00E8772D"/>
    <w:rsid w:val="00E92C09"/>
    <w:rsid w:val="00E9352E"/>
    <w:rsid w:val="00E95493"/>
    <w:rsid w:val="00E9555B"/>
    <w:rsid w:val="00E9630E"/>
    <w:rsid w:val="00E9779B"/>
    <w:rsid w:val="00E97D34"/>
    <w:rsid w:val="00EA080E"/>
    <w:rsid w:val="00EA2571"/>
    <w:rsid w:val="00EA425F"/>
    <w:rsid w:val="00EA4815"/>
    <w:rsid w:val="00EA5399"/>
    <w:rsid w:val="00EA5E87"/>
    <w:rsid w:val="00EA6089"/>
    <w:rsid w:val="00EA6A16"/>
    <w:rsid w:val="00EA6B54"/>
    <w:rsid w:val="00EA705B"/>
    <w:rsid w:val="00EB014B"/>
    <w:rsid w:val="00EB1D24"/>
    <w:rsid w:val="00EB26B9"/>
    <w:rsid w:val="00EB3AED"/>
    <w:rsid w:val="00EB5F51"/>
    <w:rsid w:val="00EB6EE9"/>
    <w:rsid w:val="00EB73A7"/>
    <w:rsid w:val="00EB7681"/>
    <w:rsid w:val="00EC17FB"/>
    <w:rsid w:val="00EC2096"/>
    <w:rsid w:val="00EC2112"/>
    <w:rsid w:val="00EC23BC"/>
    <w:rsid w:val="00EC3199"/>
    <w:rsid w:val="00EC4D68"/>
    <w:rsid w:val="00EC535B"/>
    <w:rsid w:val="00EC5662"/>
    <w:rsid w:val="00EC58A1"/>
    <w:rsid w:val="00EC7F21"/>
    <w:rsid w:val="00ED1AE6"/>
    <w:rsid w:val="00ED2A14"/>
    <w:rsid w:val="00ED2ABE"/>
    <w:rsid w:val="00ED2C4A"/>
    <w:rsid w:val="00ED2D6A"/>
    <w:rsid w:val="00ED331C"/>
    <w:rsid w:val="00ED3C2A"/>
    <w:rsid w:val="00ED4066"/>
    <w:rsid w:val="00ED5345"/>
    <w:rsid w:val="00ED5621"/>
    <w:rsid w:val="00ED7152"/>
    <w:rsid w:val="00ED73A8"/>
    <w:rsid w:val="00ED76B8"/>
    <w:rsid w:val="00EE0690"/>
    <w:rsid w:val="00EE144A"/>
    <w:rsid w:val="00EE26CF"/>
    <w:rsid w:val="00EE4BD6"/>
    <w:rsid w:val="00EE5781"/>
    <w:rsid w:val="00EE7082"/>
    <w:rsid w:val="00EF052B"/>
    <w:rsid w:val="00EF10C0"/>
    <w:rsid w:val="00EF1CB6"/>
    <w:rsid w:val="00EF2B8A"/>
    <w:rsid w:val="00EF4185"/>
    <w:rsid w:val="00F00CC5"/>
    <w:rsid w:val="00F01FAA"/>
    <w:rsid w:val="00F029BD"/>
    <w:rsid w:val="00F03173"/>
    <w:rsid w:val="00F04200"/>
    <w:rsid w:val="00F04C6B"/>
    <w:rsid w:val="00F04FEF"/>
    <w:rsid w:val="00F05B2F"/>
    <w:rsid w:val="00F10E53"/>
    <w:rsid w:val="00F1178A"/>
    <w:rsid w:val="00F11FB0"/>
    <w:rsid w:val="00F12677"/>
    <w:rsid w:val="00F1385A"/>
    <w:rsid w:val="00F153D4"/>
    <w:rsid w:val="00F15B3D"/>
    <w:rsid w:val="00F15C7F"/>
    <w:rsid w:val="00F17024"/>
    <w:rsid w:val="00F218F6"/>
    <w:rsid w:val="00F21EDC"/>
    <w:rsid w:val="00F220EF"/>
    <w:rsid w:val="00F2244F"/>
    <w:rsid w:val="00F2301F"/>
    <w:rsid w:val="00F233BE"/>
    <w:rsid w:val="00F23F1B"/>
    <w:rsid w:val="00F3147E"/>
    <w:rsid w:val="00F369DE"/>
    <w:rsid w:val="00F416E9"/>
    <w:rsid w:val="00F477A4"/>
    <w:rsid w:val="00F47B7C"/>
    <w:rsid w:val="00F51A58"/>
    <w:rsid w:val="00F528A1"/>
    <w:rsid w:val="00F53F56"/>
    <w:rsid w:val="00F54696"/>
    <w:rsid w:val="00F55625"/>
    <w:rsid w:val="00F56110"/>
    <w:rsid w:val="00F56D8A"/>
    <w:rsid w:val="00F57508"/>
    <w:rsid w:val="00F61067"/>
    <w:rsid w:val="00F618F5"/>
    <w:rsid w:val="00F66D91"/>
    <w:rsid w:val="00F672F5"/>
    <w:rsid w:val="00F70EAA"/>
    <w:rsid w:val="00F729D5"/>
    <w:rsid w:val="00F73AAF"/>
    <w:rsid w:val="00F73AB2"/>
    <w:rsid w:val="00F74EC3"/>
    <w:rsid w:val="00F74F04"/>
    <w:rsid w:val="00F76958"/>
    <w:rsid w:val="00F773CB"/>
    <w:rsid w:val="00F80F63"/>
    <w:rsid w:val="00F8120A"/>
    <w:rsid w:val="00F81F89"/>
    <w:rsid w:val="00F81FA7"/>
    <w:rsid w:val="00F8312D"/>
    <w:rsid w:val="00F83DB0"/>
    <w:rsid w:val="00F83F08"/>
    <w:rsid w:val="00F86CB2"/>
    <w:rsid w:val="00F91ACA"/>
    <w:rsid w:val="00F92DA4"/>
    <w:rsid w:val="00F92F00"/>
    <w:rsid w:val="00F942FC"/>
    <w:rsid w:val="00FA17DD"/>
    <w:rsid w:val="00FA7352"/>
    <w:rsid w:val="00FB035D"/>
    <w:rsid w:val="00FB0F87"/>
    <w:rsid w:val="00FB11C9"/>
    <w:rsid w:val="00FB4702"/>
    <w:rsid w:val="00FB575C"/>
    <w:rsid w:val="00FB5C7F"/>
    <w:rsid w:val="00FB703A"/>
    <w:rsid w:val="00FC47E4"/>
    <w:rsid w:val="00FC4DE2"/>
    <w:rsid w:val="00FC5463"/>
    <w:rsid w:val="00FC5D61"/>
    <w:rsid w:val="00FC7B53"/>
    <w:rsid w:val="00FC7E07"/>
    <w:rsid w:val="00FD070D"/>
    <w:rsid w:val="00FD1C4C"/>
    <w:rsid w:val="00FD3031"/>
    <w:rsid w:val="00FD35F7"/>
    <w:rsid w:val="00FD3F7C"/>
    <w:rsid w:val="00FD50AD"/>
    <w:rsid w:val="00FD65D1"/>
    <w:rsid w:val="00FD6943"/>
    <w:rsid w:val="00FE0B10"/>
    <w:rsid w:val="00FE4BDC"/>
    <w:rsid w:val="00FE505F"/>
    <w:rsid w:val="00FE740D"/>
    <w:rsid w:val="00FF0F0B"/>
    <w:rsid w:val="00FF29D0"/>
    <w:rsid w:val="00FF307B"/>
    <w:rsid w:val="00FF7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1561"/>
  <w15:chartTrackingRefBased/>
  <w15:docId w15:val="{91C7BE04-CF5B-4F16-8746-351BA3C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C10B8A"/>
    <w:pPr>
      <w:ind w:left="720"/>
      <w:contextualSpacing/>
    </w:pPr>
  </w:style>
  <w:style w:type="paragraph" w:styleId="Header">
    <w:name w:val="header"/>
    <w:basedOn w:val="Normal"/>
    <w:link w:val="HeaderChar"/>
    <w:uiPriority w:val="99"/>
    <w:unhideWhenUsed/>
    <w:rsid w:val="00C10B8A"/>
    <w:pPr>
      <w:tabs>
        <w:tab w:val="center" w:pos="4513"/>
        <w:tab w:val="right" w:pos="9026"/>
      </w:tabs>
    </w:pPr>
  </w:style>
  <w:style w:type="character" w:customStyle="1" w:styleId="HeaderChar">
    <w:name w:val="Header Char"/>
    <w:basedOn w:val="DefaultParagraphFont"/>
    <w:link w:val="Header"/>
    <w:uiPriority w:val="99"/>
    <w:rsid w:val="00C10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8A"/>
    <w:pPr>
      <w:tabs>
        <w:tab w:val="center" w:pos="4513"/>
        <w:tab w:val="right" w:pos="9026"/>
      </w:tabs>
    </w:pPr>
  </w:style>
  <w:style w:type="character" w:customStyle="1" w:styleId="FooterChar">
    <w:name w:val="Footer Char"/>
    <w:basedOn w:val="DefaultParagraphFont"/>
    <w:link w:val="Footer"/>
    <w:uiPriority w:val="99"/>
    <w:rsid w:val="00C10B8A"/>
    <w:rPr>
      <w:rFonts w:ascii="Times New Roman" w:eastAsia="Times New Roman" w:hAnsi="Times New Roman" w:cs="Times New Roman"/>
      <w:sz w:val="24"/>
      <w:szCs w:val="24"/>
      <w:lang w:eastAsia="en-GB"/>
    </w:rPr>
  </w:style>
  <w:style w:type="paragraph" w:customStyle="1" w:styleId="Default">
    <w:name w:val="Default"/>
    <w:rsid w:val="00EE144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A5A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1D1E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BC035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2220"/>
    <w:rPr>
      <w:sz w:val="16"/>
      <w:szCs w:val="16"/>
    </w:rPr>
  </w:style>
  <w:style w:type="paragraph" w:styleId="CommentText">
    <w:name w:val="annotation text"/>
    <w:basedOn w:val="Normal"/>
    <w:link w:val="CommentTextChar"/>
    <w:uiPriority w:val="99"/>
    <w:unhideWhenUsed/>
    <w:rsid w:val="009E2220"/>
    <w:rPr>
      <w:sz w:val="20"/>
      <w:szCs w:val="20"/>
    </w:rPr>
  </w:style>
  <w:style w:type="character" w:customStyle="1" w:styleId="CommentTextChar">
    <w:name w:val="Comment Text Char"/>
    <w:basedOn w:val="DefaultParagraphFont"/>
    <w:link w:val="CommentText"/>
    <w:uiPriority w:val="99"/>
    <w:rsid w:val="009E22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2220"/>
    <w:rPr>
      <w:b/>
      <w:bCs/>
    </w:rPr>
  </w:style>
  <w:style w:type="character" w:customStyle="1" w:styleId="CommentSubjectChar">
    <w:name w:val="Comment Subject Char"/>
    <w:basedOn w:val="CommentTextChar"/>
    <w:link w:val="CommentSubject"/>
    <w:uiPriority w:val="99"/>
    <w:semiHidden/>
    <w:rsid w:val="009E222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892DC4"/>
    <w:rPr>
      <w:sz w:val="20"/>
      <w:szCs w:val="20"/>
    </w:rPr>
  </w:style>
  <w:style w:type="character" w:customStyle="1" w:styleId="FootnoteTextChar">
    <w:name w:val="Footnote Text Char"/>
    <w:basedOn w:val="DefaultParagraphFont"/>
    <w:link w:val="FootnoteText"/>
    <w:uiPriority w:val="99"/>
    <w:semiHidden/>
    <w:rsid w:val="00892DC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92DC4"/>
    <w:rPr>
      <w:vertAlign w:val="superscript"/>
    </w:rPr>
  </w:style>
  <w:style w:type="paragraph" w:styleId="EndnoteText">
    <w:name w:val="endnote text"/>
    <w:basedOn w:val="Normal"/>
    <w:link w:val="EndnoteTextChar"/>
    <w:uiPriority w:val="99"/>
    <w:semiHidden/>
    <w:unhideWhenUsed/>
    <w:rsid w:val="007712D2"/>
    <w:rPr>
      <w:sz w:val="20"/>
      <w:szCs w:val="20"/>
    </w:rPr>
  </w:style>
  <w:style w:type="character" w:customStyle="1" w:styleId="EndnoteTextChar">
    <w:name w:val="Endnote Text Char"/>
    <w:basedOn w:val="DefaultParagraphFont"/>
    <w:link w:val="EndnoteText"/>
    <w:uiPriority w:val="99"/>
    <w:semiHidden/>
    <w:rsid w:val="007712D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71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928">
      <w:bodyDiv w:val="1"/>
      <w:marLeft w:val="0"/>
      <w:marRight w:val="0"/>
      <w:marTop w:val="0"/>
      <w:marBottom w:val="0"/>
      <w:divBdr>
        <w:top w:val="none" w:sz="0" w:space="0" w:color="auto"/>
        <w:left w:val="none" w:sz="0" w:space="0" w:color="auto"/>
        <w:bottom w:val="none" w:sz="0" w:space="0" w:color="auto"/>
        <w:right w:val="none" w:sz="0" w:space="0" w:color="auto"/>
      </w:divBdr>
    </w:div>
    <w:div w:id="59257657">
      <w:bodyDiv w:val="1"/>
      <w:marLeft w:val="0"/>
      <w:marRight w:val="0"/>
      <w:marTop w:val="0"/>
      <w:marBottom w:val="0"/>
      <w:divBdr>
        <w:top w:val="none" w:sz="0" w:space="0" w:color="auto"/>
        <w:left w:val="none" w:sz="0" w:space="0" w:color="auto"/>
        <w:bottom w:val="none" w:sz="0" w:space="0" w:color="auto"/>
        <w:right w:val="none" w:sz="0" w:space="0" w:color="auto"/>
      </w:divBdr>
    </w:div>
    <w:div w:id="390227331">
      <w:bodyDiv w:val="1"/>
      <w:marLeft w:val="0"/>
      <w:marRight w:val="0"/>
      <w:marTop w:val="0"/>
      <w:marBottom w:val="0"/>
      <w:divBdr>
        <w:top w:val="none" w:sz="0" w:space="0" w:color="auto"/>
        <w:left w:val="none" w:sz="0" w:space="0" w:color="auto"/>
        <w:bottom w:val="none" w:sz="0" w:space="0" w:color="auto"/>
        <w:right w:val="none" w:sz="0" w:space="0" w:color="auto"/>
      </w:divBdr>
    </w:div>
    <w:div w:id="420221154">
      <w:bodyDiv w:val="1"/>
      <w:marLeft w:val="0"/>
      <w:marRight w:val="0"/>
      <w:marTop w:val="0"/>
      <w:marBottom w:val="0"/>
      <w:divBdr>
        <w:top w:val="none" w:sz="0" w:space="0" w:color="auto"/>
        <w:left w:val="none" w:sz="0" w:space="0" w:color="auto"/>
        <w:bottom w:val="none" w:sz="0" w:space="0" w:color="auto"/>
        <w:right w:val="none" w:sz="0" w:space="0" w:color="auto"/>
      </w:divBdr>
    </w:div>
    <w:div w:id="958950908">
      <w:bodyDiv w:val="1"/>
      <w:marLeft w:val="0"/>
      <w:marRight w:val="0"/>
      <w:marTop w:val="0"/>
      <w:marBottom w:val="0"/>
      <w:divBdr>
        <w:top w:val="none" w:sz="0" w:space="0" w:color="auto"/>
        <w:left w:val="none" w:sz="0" w:space="0" w:color="auto"/>
        <w:bottom w:val="none" w:sz="0" w:space="0" w:color="auto"/>
        <w:right w:val="none" w:sz="0" w:space="0" w:color="auto"/>
      </w:divBdr>
    </w:div>
    <w:div w:id="1002850790">
      <w:bodyDiv w:val="1"/>
      <w:marLeft w:val="0"/>
      <w:marRight w:val="0"/>
      <w:marTop w:val="0"/>
      <w:marBottom w:val="0"/>
      <w:divBdr>
        <w:top w:val="none" w:sz="0" w:space="0" w:color="auto"/>
        <w:left w:val="none" w:sz="0" w:space="0" w:color="auto"/>
        <w:bottom w:val="none" w:sz="0" w:space="0" w:color="auto"/>
        <w:right w:val="none" w:sz="0" w:space="0" w:color="auto"/>
      </w:divBdr>
    </w:div>
    <w:div w:id="1368290190">
      <w:bodyDiv w:val="1"/>
      <w:marLeft w:val="0"/>
      <w:marRight w:val="0"/>
      <w:marTop w:val="0"/>
      <w:marBottom w:val="0"/>
      <w:divBdr>
        <w:top w:val="none" w:sz="0" w:space="0" w:color="auto"/>
        <w:left w:val="none" w:sz="0" w:space="0" w:color="auto"/>
        <w:bottom w:val="none" w:sz="0" w:space="0" w:color="auto"/>
        <w:right w:val="none" w:sz="0" w:space="0" w:color="auto"/>
      </w:divBdr>
    </w:div>
    <w:div w:id="1610352048">
      <w:bodyDiv w:val="1"/>
      <w:marLeft w:val="0"/>
      <w:marRight w:val="0"/>
      <w:marTop w:val="0"/>
      <w:marBottom w:val="0"/>
      <w:divBdr>
        <w:top w:val="none" w:sz="0" w:space="0" w:color="auto"/>
        <w:left w:val="none" w:sz="0" w:space="0" w:color="auto"/>
        <w:bottom w:val="none" w:sz="0" w:space="0" w:color="auto"/>
        <w:right w:val="none" w:sz="0" w:space="0" w:color="auto"/>
      </w:divBdr>
    </w:div>
    <w:div w:id="1735397569">
      <w:bodyDiv w:val="1"/>
      <w:marLeft w:val="0"/>
      <w:marRight w:val="0"/>
      <w:marTop w:val="0"/>
      <w:marBottom w:val="0"/>
      <w:divBdr>
        <w:top w:val="none" w:sz="0" w:space="0" w:color="auto"/>
        <w:left w:val="none" w:sz="0" w:space="0" w:color="auto"/>
        <w:bottom w:val="none" w:sz="0" w:space="0" w:color="auto"/>
        <w:right w:val="none" w:sz="0" w:space="0" w:color="auto"/>
      </w:divBdr>
    </w:div>
    <w:div w:id="1810004269">
      <w:bodyDiv w:val="1"/>
      <w:marLeft w:val="0"/>
      <w:marRight w:val="0"/>
      <w:marTop w:val="0"/>
      <w:marBottom w:val="0"/>
      <w:divBdr>
        <w:top w:val="none" w:sz="0" w:space="0" w:color="auto"/>
        <w:left w:val="none" w:sz="0" w:space="0" w:color="auto"/>
        <w:bottom w:val="none" w:sz="0" w:space="0" w:color="auto"/>
        <w:right w:val="none" w:sz="0" w:space="0" w:color="auto"/>
      </w:divBdr>
    </w:div>
    <w:div w:id="1915317624">
      <w:bodyDiv w:val="1"/>
      <w:marLeft w:val="0"/>
      <w:marRight w:val="0"/>
      <w:marTop w:val="0"/>
      <w:marBottom w:val="0"/>
      <w:divBdr>
        <w:top w:val="none" w:sz="0" w:space="0" w:color="auto"/>
        <w:left w:val="none" w:sz="0" w:space="0" w:color="auto"/>
        <w:bottom w:val="none" w:sz="0" w:space="0" w:color="auto"/>
        <w:right w:val="none" w:sz="0" w:space="0" w:color="auto"/>
      </w:divBdr>
    </w:div>
    <w:div w:id="2009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E5AD3CB1CC224CB4A4DF3437446800" ma:contentTypeVersion="13" ma:contentTypeDescription="Create a new document." ma:contentTypeScope="" ma:versionID="a442458c3cbf985781a5ae9de1288861">
  <xsd:schema xmlns:xsd="http://www.w3.org/2001/XMLSchema" xmlns:xs="http://www.w3.org/2001/XMLSchema" xmlns:p="http://schemas.microsoft.com/office/2006/metadata/properties" xmlns:ns3="414ea89c-ca96-4949-aa90-2d348f3c10a6" xmlns:ns4="99cf10d6-f0d5-49a2-aec7-ae16244133bc" targetNamespace="http://schemas.microsoft.com/office/2006/metadata/properties" ma:root="true" ma:fieldsID="c21c849242a1062d490eaec73c46241a" ns3:_="" ns4:_="">
    <xsd:import namespace="414ea89c-ca96-4949-aa90-2d348f3c10a6"/>
    <xsd:import namespace="99cf10d6-f0d5-49a2-aec7-ae16244133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ea89c-ca96-4949-aa90-2d348f3c1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10d6-f0d5-49a2-aec7-ae1624413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BB01-09D8-4C7F-B9F0-E003E415D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A78A6-7063-4D90-9A3F-E7CAE7A77662}">
  <ds:schemaRefs>
    <ds:schemaRef ds:uri="http://schemas.microsoft.com/sharepoint/v3/contenttype/forms"/>
  </ds:schemaRefs>
</ds:datastoreItem>
</file>

<file path=customXml/itemProps3.xml><?xml version="1.0" encoding="utf-8"?>
<ds:datastoreItem xmlns:ds="http://schemas.openxmlformats.org/officeDocument/2006/customXml" ds:itemID="{119B82DE-27DA-4163-8BE3-B85714C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ea89c-ca96-4949-aa90-2d348f3c10a6"/>
    <ds:schemaRef ds:uri="99cf10d6-f0d5-49a2-aec7-ae162441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BC07F-F865-46E3-8E43-074087E8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4107</Words>
  <Characters>23415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2024-12-16T13:16:00Z</dcterms:created>
  <dcterms:modified xsi:type="dcterms:W3CDTF">2024-12-17T09:59:00Z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MSIP_Label_30823a3f-2604-4291-9498-507e39d8fe41_Enabled">
    <vt:lpwstr>true</vt:lpwstr>
  </property>
  <property fmtid="{D5CDD505-2E9C-101B-9397-08002B2CF9AE}" pid="9" name="MSIP_Label_30823a3f-2604-4291-9498-507e39d8fe41_SetDate">
    <vt:lpwstr>2023-12-05T15:44:34Z</vt:lpwstr>
  </property>
  <property fmtid="{D5CDD505-2E9C-101B-9397-08002B2CF9AE}" pid="10" name="MSIP_Label_30823a3f-2604-4291-9498-507e39d8fe41_Method">
    <vt:lpwstr>Privileged</vt:lpwstr>
  </property>
  <property fmtid="{D5CDD505-2E9C-101B-9397-08002B2CF9AE}" pid="11" name="MSIP_Label_30823a3f-2604-4291-9498-507e39d8fe41_Name">
    <vt:lpwstr>OFFICIAL-SENSITIVE - OFFICIAL-SENSITIVE</vt:lpwstr>
  </property>
  <property fmtid="{D5CDD505-2E9C-101B-9397-08002B2CF9AE}" pid="12" name="MSIP_Label_30823a3f-2604-4291-9498-507e39d8fe41_SiteId">
    <vt:lpwstr>742775df-8077-48d6-81d0-1e82a1f52cb8</vt:lpwstr>
  </property>
  <property fmtid="{D5CDD505-2E9C-101B-9397-08002B2CF9AE}" pid="13" name="MSIP_Label_30823a3f-2604-4291-9498-507e39d8fe41_ActionId">
    <vt:lpwstr>29f50b93-1b7d-45fd-90e3-f4594467d4a5</vt:lpwstr>
  </property>
  <property fmtid="{D5CDD505-2E9C-101B-9397-08002B2CF9AE}" pid="14" name="MSIP_Label_30823a3f-2604-4291-9498-507e39d8fe41_ContentBits">
    <vt:lpwstr>3</vt:lpwstr>
  </property>
  <property fmtid="{D5CDD505-2E9C-101B-9397-08002B2CF9AE}" pid="15" name="ContentTypeId">
    <vt:lpwstr>0x01010056E5AD3CB1CC224CB4A4DF3437446800</vt:lpwstr>
  </property>
</Properties>
</file>