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640"/>
      </w:tblGrid>
      <w:tr w:rsidR="00C20562" w:rsidRPr="00C20562" w14:paraId="6C65111E" w14:textId="77777777" w:rsidTr="006138BD">
        <w:trPr>
          <w:trHeight w:val="1162"/>
        </w:trPr>
        <w:tc>
          <w:tcPr>
            <w:tcW w:w="9640"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C82BBC">
        <w:trPr>
          <w:trHeight w:hRule="exact" w:val="2758"/>
        </w:trPr>
        <w:tc>
          <w:tcPr>
            <w:tcW w:w="9640"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Content>
              <w:p w14:paraId="7C4EA414" w14:textId="05B7CF57" w:rsidR="00D0226A" w:rsidRPr="001E03E1" w:rsidRDefault="0000000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C82BBC">
                      <w:rPr>
                        <w:sz w:val="72"/>
                        <w:szCs w:val="72"/>
                      </w:rPr>
                      <w:t>N</w:t>
                    </w:r>
                    <w:r w:rsidR="007F3B57">
                      <w:rPr>
                        <w:sz w:val="72"/>
                        <w:szCs w:val="72"/>
                      </w:rPr>
                      <w:t>uclear</w:t>
                    </w:r>
                    <w:r w:rsidR="00C82BBC">
                      <w:rPr>
                        <w:sz w:val="72"/>
                        <w:szCs w:val="72"/>
                      </w:rPr>
                      <w:t xml:space="preserve"> </w:t>
                    </w:r>
                    <w:r w:rsidR="000F7739">
                      <w:rPr>
                        <w:sz w:val="72"/>
                        <w:szCs w:val="72"/>
                      </w:rPr>
                      <w:t>S</w:t>
                    </w:r>
                    <w:r w:rsidR="007F3B57">
                      <w:rPr>
                        <w:sz w:val="72"/>
                        <w:szCs w:val="72"/>
                      </w:rPr>
                      <w:t>ecurity</w:t>
                    </w:r>
                    <w:r w:rsidR="000F7739">
                      <w:rPr>
                        <w:sz w:val="72"/>
                        <w:szCs w:val="72"/>
                      </w:rPr>
                      <w:t xml:space="preserve"> I</w:t>
                    </w:r>
                    <w:r w:rsidR="007F3B57">
                      <w:rPr>
                        <w:sz w:val="72"/>
                        <w:szCs w:val="72"/>
                      </w:rPr>
                      <w:t>nspections</w:t>
                    </w:r>
                  </w:sdtContent>
                </w:sdt>
              </w:p>
            </w:sdtContent>
          </w:sdt>
        </w:tc>
      </w:tr>
    </w:tbl>
    <w:p w14:paraId="56A09D10" w14:textId="1CE353B9" w:rsidR="00D0226A" w:rsidRDefault="00D0226A">
      <w:pPr>
        <w:spacing w:after="0"/>
      </w:pPr>
    </w:p>
    <w:p w14:paraId="6AB6425B" w14:textId="2C503A8F" w:rsidR="00D0226A" w:rsidRDefault="00881B6F">
      <w:pPr>
        <w:spacing w:after="0"/>
      </w:pPr>
      <w:r>
        <w:rPr>
          <w:noProof/>
        </w:rPr>
        <w:drawing>
          <wp:anchor distT="0" distB="0" distL="114300" distR="114300" simplePos="0" relativeHeight="251659264" behindDoc="1" locked="0" layoutInCell="1" allowOverlap="1" wp14:anchorId="10B0A4AA" wp14:editId="690EAD54">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2A29B4CB" w14:textId="6DEFD2CB" w:rsidR="00B23A5E" w:rsidRDefault="00B23A5E" w:rsidP="00B23A5E">
      <w:pPr>
        <w:pStyle w:val="InnerCoverTitle"/>
        <w:rPr>
          <w:sz w:val="36"/>
          <w:szCs w:val="36"/>
        </w:rPr>
      </w:pPr>
      <w:r w:rsidRPr="00595C8C">
        <w:rPr>
          <w:sz w:val="36"/>
          <w:szCs w:val="36"/>
        </w:rPr>
        <w:lastRenderedPageBreak/>
        <w:t xml:space="preserve">ONR </w:t>
      </w:r>
      <w:r>
        <w:rPr>
          <w:sz w:val="36"/>
          <w:szCs w:val="36"/>
        </w:rPr>
        <w:t>Technical Inspection Guide (TIG)</w:t>
      </w:r>
    </w:p>
    <w:p w14:paraId="297D790E" w14:textId="65A7FDCD" w:rsidR="00004C16" w:rsidRDefault="00000000" w:rsidP="000F7739">
      <w:pPr>
        <w:pStyle w:val="InnerCoverTitle"/>
      </w:pPr>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color w:val="22413A"/>
          </w:rPr>
        </w:sdtEndPr>
        <w:sdtContent>
          <w:r w:rsidR="007F3B57">
            <w:rPr>
              <w:rStyle w:val="Style2"/>
            </w:rPr>
            <w:t>Nuclear Security Inspections</w:t>
          </w:r>
        </w:sdtContent>
      </w:sdt>
    </w:p>
    <w:p w14:paraId="61A25C0F" w14:textId="77777777" w:rsidR="00004C16" w:rsidRDefault="00004C16" w:rsidP="00004C16">
      <w:pPr>
        <w:rPr>
          <w:sz w:val="28"/>
          <w:szCs w:val="28"/>
        </w:rPr>
      </w:pPr>
    </w:p>
    <w:p w14:paraId="4D99E381" w14:textId="0827FE99" w:rsidR="00004C16" w:rsidRPr="00004C16" w:rsidRDefault="00004C16" w:rsidP="00004C16">
      <w:pPr>
        <w:rPr>
          <w:sz w:val="28"/>
          <w:szCs w:val="28"/>
        </w:rPr>
      </w:pPr>
      <w:r w:rsidRPr="00004C16">
        <w:rPr>
          <w:sz w:val="28"/>
          <w:szCs w:val="28"/>
        </w:rPr>
        <w:t xml:space="preserve">Authored by </w:t>
      </w:r>
      <w:r w:rsidR="008F688A">
        <w:rPr>
          <w:sz w:val="28"/>
          <w:szCs w:val="28"/>
        </w:rPr>
        <w:t xml:space="preserve">- </w:t>
      </w:r>
      <w:r w:rsidR="002C5700">
        <w:rPr>
          <w:sz w:val="28"/>
          <w:szCs w:val="28"/>
        </w:rPr>
        <w:t>Deputy Professional Lead</w:t>
      </w:r>
      <w:r w:rsidR="00764FF3">
        <w:rPr>
          <w:sz w:val="28"/>
          <w:szCs w:val="28"/>
        </w:rPr>
        <w:t xml:space="preserve"> (</w:t>
      </w:r>
      <w:r w:rsidR="00B9179F">
        <w:rPr>
          <w:sz w:val="28"/>
          <w:szCs w:val="28"/>
        </w:rPr>
        <w:t xml:space="preserve">Protective </w:t>
      </w:r>
      <w:r w:rsidR="00764FF3">
        <w:rPr>
          <w:sz w:val="28"/>
          <w:szCs w:val="28"/>
        </w:rPr>
        <w:t>Security)</w:t>
      </w:r>
    </w:p>
    <w:p w14:paraId="23B9A867" w14:textId="0DCCB032" w:rsidR="00004C16" w:rsidRDefault="00004C16" w:rsidP="00004C16">
      <w:pPr>
        <w:rPr>
          <w:sz w:val="28"/>
          <w:szCs w:val="28"/>
        </w:rPr>
      </w:pPr>
      <w:r w:rsidRPr="00004C16">
        <w:rPr>
          <w:sz w:val="28"/>
          <w:szCs w:val="28"/>
        </w:rPr>
        <w:t xml:space="preserve">Approved by </w:t>
      </w:r>
      <w:r w:rsidR="008F688A">
        <w:rPr>
          <w:sz w:val="28"/>
          <w:szCs w:val="28"/>
        </w:rPr>
        <w:t xml:space="preserve">- </w:t>
      </w:r>
      <w:r w:rsidR="00821337">
        <w:rPr>
          <w:sz w:val="28"/>
          <w:szCs w:val="28"/>
        </w:rPr>
        <w:t xml:space="preserve">Professional Lead </w:t>
      </w:r>
      <w:r w:rsidR="00764FF3">
        <w:rPr>
          <w:sz w:val="28"/>
          <w:szCs w:val="28"/>
        </w:rPr>
        <w:t>(</w:t>
      </w:r>
      <w:r w:rsidR="00B9179F">
        <w:rPr>
          <w:sz w:val="28"/>
          <w:szCs w:val="28"/>
        </w:rPr>
        <w:t xml:space="preserve">Protective </w:t>
      </w:r>
      <w:r w:rsidR="00764FF3">
        <w:rPr>
          <w:sz w:val="28"/>
          <w:szCs w:val="28"/>
        </w:rPr>
        <w:t>Security)</w:t>
      </w:r>
    </w:p>
    <w:p w14:paraId="311E19B2" w14:textId="3DCE60CF" w:rsidR="00C82BBC" w:rsidRDefault="00C82BBC" w:rsidP="00C82BBC">
      <w:pPr>
        <w:rPr>
          <w:sz w:val="28"/>
          <w:szCs w:val="28"/>
        </w:rPr>
      </w:pPr>
      <w:r w:rsidRPr="00004C16">
        <w:rPr>
          <w:sz w:val="28"/>
          <w:szCs w:val="28"/>
        </w:rPr>
        <w:t xml:space="preserve">Approved by </w:t>
      </w:r>
      <w:r>
        <w:rPr>
          <w:sz w:val="28"/>
          <w:szCs w:val="28"/>
        </w:rPr>
        <w:t>- Professional Lead (Cyber Security)</w:t>
      </w:r>
    </w:p>
    <w:p w14:paraId="61D9CEB7" w14:textId="597800B1" w:rsidR="00C82BBC" w:rsidRDefault="00C82BBC" w:rsidP="00004C16">
      <w:pPr>
        <w:rPr>
          <w:sz w:val="28"/>
          <w:szCs w:val="28"/>
        </w:rPr>
      </w:pPr>
      <w:r>
        <w:rPr>
          <w:sz w:val="28"/>
          <w:szCs w:val="28"/>
        </w:rPr>
        <w:tab/>
      </w:r>
      <w:r>
        <w:rPr>
          <w:sz w:val="28"/>
          <w:szCs w:val="28"/>
        </w:rPr>
        <w:tab/>
      </w:r>
      <w:r>
        <w:rPr>
          <w:sz w:val="28"/>
          <w:szCs w:val="28"/>
        </w:rPr>
        <w:tab/>
      </w:r>
    </w:p>
    <w:p w14:paraId="1014BEF0" w14:textId="77777777" w:rsidR="00821337" w:rsidRPr="00004C16" w:rsidRDefault="00821337" w:rsidP="00004C16">
      <w:pPr>
        <w:rPr>
          <w:sz w:val="28"/>
          <w:szCs w:val="28"/>
        </w:rPr>
      </w:pPr>
    </w:p>
    <w:p w14:paraId="247E3769" w14:textId="280E3084"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0F7739">
            <w:rPr>
              <w:sz w:val="28"/>
              <w:szCs w:val="28"/>
            </w:rPr>
            <w:t>1</w:t>
          </w:r>
        </w:sdtContent>
      </w:sdt>
    </w:p>
    <w:p w14:paraId="19206F45" w14:textId="2F470C54" w:rsidR="00004C16" w:rsidRDefault="00004C16" w:rsidP="00004C16">
      <w:pPr>
        <w:rPr>
          <w:sz w:val="28"/>
          <w:szCs w:val="28"/>
        </w:rPr>
      </w:pPr>
      <w:r w:rsidRPr="00004C16">
        <w:rPr>
          <w:sz w:val="28"/>
          <w:szCs w:val="28"/>
        </w:rPr>
        <w:t xml:space="preserve">Publication Date: </w:t>
      </w:r>
      <w:r w:rsidR="00594D48">
        <w:rPr>
          <w:sz w:val="28"/>
          <w:szCs w:val="28"/>
        </w:rPr>
        <w:t>Aug</w:t>
      </w:r>
      <w:r w:rsidR="00764FF3">
        <w:rPr>
          <w:sz w:val="28"/>
          <w:szCs w:val="28"/>
        </w:rPr>
        <w:t>-23</w:t>
      </w:r>
    </w:p>
    <w:p w14:paraId="22297511" w14:textId="79A0ECE0" w:rsidR="005C1E52" w:rsidRDefault="005C1E52" w:rsidP="00004C16">
      <w:pPr>
        <w:rPr>
          <w:sz w:val="28"/>
          <w:szCs w:val="28"/>
        </w:rPr>
      </w:pPr>
      <w:r w:rsidRPr="005C1E52">
        <w:rPr>
          <w:sz w:val="28"/>
          <w:szCs w:val="28"/>
        </w:rPr>
        <w:t>Next Major Review Date</w:t>
      </w:r>
      <w:r>
        <w:rPr>
          <w:sz w:val="28"/>
          <w:szCs w:val="28"/>
        </w:rPr>
        <w:t>:</w:t>
      </w:r>
      <w:r w:rsidRPr="005C1E52">
        <w:rPr>
          <w:sz w:val="28"/>
          <w:szCs w:val="28"/>
        </w:rPr>
        <w:t xml:space="preserve"> </w:t>
      </w:r>
      <w:r w:rsidR="00594D48">
        <w:rPr>
          <w:sz w:val="28"/>
          <w:szCs w:val="28"/>
        </w:rPr>
        <w:t>Aug</w:t>
      </w:r>
      <w:r w:rsidR="00764FF3">
        <w:rPr>
          <w:sz w:val="28"/>
          <w:szCs w:val="28"/>
        </w:rPr>
        <w:t>-26</w:t>
      </w:r>
    </w:p>
    <w:p w14:paraId="5C6B9B2F" w14:textId="5AB13A70" w:rsidR="006F7E5F" w:rsidRPr="00004C16" w:rsidRDefault="006F7E5F" w:rsidP="00004C16">
      <w:pPr>
        <w:rPr>
          <w:sz w:val="28"/>
          <w:szCs w:val="28"/>
        </w:rPr>
      </w:pPr>
      <w:r>
        <w:rPr>
          <w:sz w:val="28"/>
          <w:szCs w:val="28"/>
        </w:rPr>
        <w:t xml:space="preserve">Doc. Ref.: </w:t>
      </w:r>
      <w:r w:rsidR="00EA262D" w:rsidRPr="00EA262D">
        <w:rPr>
          <w:sz w:val="28"/>
          <w:szCs w:val="28"/>
        </w:rPr>
        <w:t>CNS-INSP-GD-00</w:t>
      </w:r>
      <w:r w:rsidR="00C901B8">
        <w:rPr>
          <w:sz w:val="28"/>
          <w:szCs w:val="28"/>
        </w:rPr>
        <w:t>1</w:t>
      </w:r>
    </w:p>
    <w:p w14:paraId="55057C62" w14:textId="3318C271" w:rsidR="00004C16" w:rsidRPr="00004C16" w:rsidRDefault="00004C16" w:rsidP="00004C16">
      <w:pPr>
        <w:rPr>
          <w:sz w:val="28"/>
          <w:szCs w:val="28"/>
        </w:rPr>
      </w:pPr>
      <w:r w:rsidRPr="00004C16">
        <w:rPr>
          <w:sz w:val="28"/>
          <w:szCs w:val="28"/>
        </w:rPr>
        <w:t xml:space="preserve">Record Ref. No.: </w:t>
      </w:r>
      <w:r w:rsidR="00190832">
        <w:rPr>
          <w:sz w:val="28"/>
          <w:szCs w:val="28"/>
        </w:rPr>
        <w:t>2023/44672</w:t>
      </w:r>
    </w:p>
    <w:p w14:paraId="39BC0EA4" w14:textId="77777777" w:rsidR="00420A11" w:rsidRDefault="00420A11" w:rsidP="00323E71"/>
    <w:p w14:paraId="02828791" w14:textId="0F8A6761" w:rsidR="00B23A5E" w:rsidRDefault="00B23A5E" w:rsidP="00B23A5E">
      <w:pPr>
        <w:pStyle w:val="Caption"/>
        <w:keepNext/>
      </w:pPr>
      <w:r>
        <w:t xml:space="preserve">Table </w:t>
      </w:r>
      <w:fldSimple w:instr=" SEQ Table \* ARABIC ">
        <w:r>
          <w:rPr>
            <w:noProof/>
          </w:rPr>
          <w:t>1</w:t>
        </w:r>
      </w:fldSimple>
      <w:r>
        <w:t xml:space="preserve"> - Revision commentary</w:t>
      </w:r>
    </w:p>
    <w:tbl>
      <w:tblPr>
        <w:tblStyle w:val="ONRTable1"/>
        <w:tblW w:w="0" w:type="auto"/>
        <w:tblInd w:w="10" w:type="dxa"/>
        <w:tblLook w:val="04A0" w:firstRow="1" w:lastRow="0" w:firstColumn="1" w:lastColumn="0" w:noHBand="0" w:noVBand="1"/>
      </w:tblPr>
      <w:tblGrid>
        <w:gridCol w:w="2503"/>
        <w:gridCol w:w="6513"/>
      </w:tblGrid>
      <w:tr w:rsidR="00595C8C" w:rsidRPr="00B23A5E" w14:paraId="116B87DF" w14:textId="77777777" w:rsidTr="00595C8C">
        <w:trPr>
          <w:cnfStyle w:val="100000000000" w:firstRow="1" w:lastRow="0" w:firstColumn="0" w:lastColumn="0" w:oddVBand="0" w:evenVBand="0" w:oddHBand="0" w:evenHBand="0" w:firstRowFirstColumn="0" w:firstRowLastColumn="0" w:lastRowFirstColumn="0" w:lastRowLastColumn="0"/>
        </w:trPr>
        <w:tc>
          <w:tcPr>
            <w:tcW w:w="2684" w:type="dxa"/>
          </w:tcPr>
          <w:p w14:paraId="72366D01" w14:textId="5285E8FF" w:rsidR="00595C8C" w:rsidRPr="00B23A5E" w:rsidRDefault="00595C8C" w:rsidP="00595C8C">
            <w:pPr>
              <w:spacing w:before="60" w:after="60"/>
              <w:rPr>
                <w:b w:val="0"/>
                <w:bCs/>
              </w:rPr>
            </w:pPr>
            <w:r w:rsidRPr="00B23A5E">
              <w:rPr>
                <w:b w:val="0"/>
                <w:bCs/>
              </w:rPr>
              <w:t>Issue</w:t>
            </w:r>
            <w:r w:rsidR="004E3932" w:rsidRPr="00B23A5E">
              <w:rPr>
                <w:b w:val="0"/>
                <w:bCs/>
              </w:rPr>
              <w:t xml:space="preserve"> No.</w:t>
            </w:r>
          </w:p>
        </w:tc>
        <w:tc>
          <w:tcPr>
            <w:tcW w:w="7052" w:type="dxa"/>
          </w:tcPr>
          <w:p w14:paraId="2D00C3FD" w14:textId="26176D05" w:rsidR="00595C8C" w:rsidRPr="00B23A5E" w:rsidRDefault="00595C8C" w:rsidP="00595C8C">
            <w:pPr>
              <w:spacing w:before="60" w:after="60"/>
              <w:rPr>
                <w:b w:val="0"/>
                <w:bCs/>
              </w:rPr>
            </w:pPr>
            <w:r w:rsidRPr="00B23A5E">
              <w:rPr>
                <w:b w:val="0"/>
                <w:bCs/>
              </w:rPr>
              <w:t>Description of Update(s)</w:t>
            </w:r>
          </w:p>
        </w:tc>
      </w:tr>
      <w:tr w:rsidR="00595C8C" w14:paraId="0B4E4E42" w14:textId="77777777" w:rsidTr="00595C8C">
        <w:tc>
          <w:tcPr>
            <w:tcW w:w="2684" w:type="dxa"/>
          </w:tcPr>
          <w:p w14:paraId="65482A03" w14:textId="1B30997B" w:rsidR="00595C8C" w:rsidRDefault="00764FF3" w:rsidP="00595C8C">
            <w:pPr>
              <w:spacing w:before="60" w:after="60"/>
            </w:pPr>
            <w:r>
              <w:t>1</w:t>
            </w:r>
          </w:p>
        </w:tc>
        <w:tc>
          <w:tcPr>
            <w:tcW w:w="7052" w:type="dxa"/>
          </w:tcPr>
          <w:p w14:paraId="1C80912E" w14:textId="0D28A104" w:rsidR="00595C8C" w:rsidRDefault="00EA0624" w:rsidP="00595C8C">
            <w:pPr>
              <w:spacing w:before="60" w:after="60"/>
            </w:pPr>
            <w:r>
              <w:t xml:space="preserve">Initial issue of integrated </w:t>
            </w:r>
            <w:r w:rsidR="00C82BBC">
              <w:t xml:space="preserve">Nuclear </w:t>
            </w:r>
            <w:r>
              <w:t>Security TIG</w:t>
            </w:r>
          </w:p>
        </w:tc>
      </w:tr>
    </w:tbl>
    <w:p w14:paraId="090AAAF2" w14:textId="77777777" w:rsidR="00595C8C" w:rsidRDefault="00595C8C" w:rsidP="00323E71"/>
    <w:p w14:paraId="7942B3FB" w14:textId="77777777" w:rsidR="000F7739" w:rsidRPr="000F7739" w:rsidRDefault="000F7739" w:rsidP="000F7739"/>
    <w:p w14:paraId="7FB9E2A3" w14:textId="77777777" w:rsidR="000F7739" w:rsidRPr="000F7739" w:rsidRDefault="000F7739" w:rsidP="000F7739"/>
    <w:p w14:paraId="28F202B8" w14:textId="77777777" w:rsidR="000F7739" w:rsidRDefault="000F7739" w:rsidP="000F7739"/>
    <w:p w14:paraId="47AC8123" w14:textId="7E4F98A5" w:rsidR="000F7739" w:rsidRDefault="000F7739" w:rsidP="000F7739">
      <w:pPr>
        <w:tabs>
          <w:tab w:val="left" w:pos="5645"/>
        </w:tabs>
      </w:pPr>
      <w:r>
        <w:tab/>
      </w:r>
    </w:p>
    <w:p w14:paraId="1FDB4B56" w14:textId="3FE2E3F2" w:rsidR="000F7739" w:rsidRPr="000F7739" w:rsidRDefault="000F7739" w:rsidP="000F7739">
      <w:pPr>
        <w:tabs>
          <w:tab w:val="left" w:pos="5645"/>
        </w:tabs>
        <w:sectPr w:rsidR="000F7739" w:rsidRPr="000F7739" w:rsidSect="005D34B8">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r>
        <w:tab/>
      </w: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3FF9CAF4" w14:textId="53601880" w:rsidR="00F026C9" w:rsidRDefault="00AD167C">
      <w:pPr>
        <w:pStyle w:val="TOC1"/>
        <w:tabs>
          <w:tab w:val="left" w:pos="720"/>
        </w:tabs>
        <w:rPr>
          <w:rFonts w:asciiTheme="minorHAnsi" w:eastAsiaTheme="minorEastAsia" w:hAnsiTheme="minorHAnsi" w:cstheme="minorBidi"/>
          <w:sz w:val="22"/>
          <w:lang w:eastAsia="en-GB" w:bidi="ar-SA"/>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143174304" w:history="1">
        <w:r w:rsidR="00F026C9" w:rsidRPr="00A20DC6">
          <w:rPr>
            <w:rStyle w:val="Hyperlink"/>
          </w:rPr>
          <w:t>1.</w:t>
        </w:r>
        <w:r w:rsidR="00F026C9">
          <w:rPr>
            <w:rFonts w:asciiTheme="minorHAnsi" w:eastAsiaTheme="minorEastAsia" w:hAnsiTheme="minorHAnsi" w:cstheme="minorBidi"/>
            <w:sz w:val="22"/>
            <w:lang w:eastAsia="en-GB" w:bidi="ar-SA"/>
          </w:rPr>
          <w:tab/>
        </w:r>
        <w:r w:rsidR="00F026C9" w:rsidRPr="00A20DC6">
          <w:rPr>
            <w:rStyle w:val="Hyperlink"/>
          </w:rPr>
          <w:t>Introduction</w:t>
        </w:r>
        <w:r w:rsidR="00F026C9">
          <w:rPr>
            <w:webHidden/>
          </w:rPr>
          <w:tab/>
        </w:r>
        <w:r w:rsidR="00F026C9">
          <w:rPr>
            <w:webHidden/>
          </w:rPr>
          <w:fldChar w:fldCharType="begin"/>
        </w:r>
        <w:r w:rsidR="00F026C9">
          <w:rPr>
            <w:webHidden/>
          </w:rPr>
          <w:instrText xml:space="preserve"> PAGEREF _Toc143174304 \h </w:instrText>
        </w:r>
        <w:r w:rsidR="00F026C9">
          <w:rPr>
            <w:webHidden/>
          </w:rPr>
        </w:r>
        <w:r w:rsidR="00F026C9">
          <w:rPr>
            <w:webHidden/>
          </w:rPr>
          <w:fldChar w:fldCharType="separate"/>
        </w:r>
        <w:r w:rsidR="00F026C9">
          <w:rPr>
            <w:webHidden/>
          </w:rPr>
          <w:t>4</w:t>
        </w:r>
        <w:r w:rsidR="00F026C9">
          <w:rPr>
            <w:webHidden/>
          </w:rPr>
          <w:fldChar w:fldCharType="end"/>
        </w:r>
      </w:hyperlink>
    </w:p>
    <w:p w14:paraId="6CEBC270" w14:textId="0A339ECC" w:rsidR="00F026C9" w:rsidRDefault="00000000">
      <w:pPr>
        <w:pStyle w:val="TOC2"/>
        <w:tabs>
          <w:tab w:val="left" w:pos="1100"/>
        </w:tabs>
        <w:rPr>
          <w:rFonts w:asciiTheme="minorHAnsi" w:eastAsiaTheme="minorEastAsia" w:hAnsiTheme="minorHAnsi" w:cstheme="minorBidi"/>
          <w:sz w:val="22"/>
          <w:lang w:eastAsia="en-GB" w:bidi="ar-SA"/>
        </w:rPr>
      </w:pPr>
      <w:hyperlink w:anchor="_Toc143174305" w:history="1">
        <w:r w:rsidR="00F026C9" w:rsidRPr="00A20DC6">
          <w:rPr>
            <w:rStyle w:val="Hyperlink"/>
          </w:rPr>
          <w:t>1.1.</w:t>
        </w:r>
        <w:r w:rsidR="00F026C9">
          <w:rPr>
            <w:rFonts w:asciiTheme="minorHAnsi" w:eastAsiaTheme="minorEastAsia" w:hAnsiTheme="minorHAnsi" w:cstheme="minorBidi"/>
            <w:sz w:val="22"/>
            <w:lang w:eastAsia="en-GB" w:bidi="ar-SA"/>
          </w:rPr>
          <w:tab/>
        </w:r>
        <w:r w:rsidR="00F026C9" w:rsidRPr="00A20DC6">
          <w:rPr>
            <w:rStyle w:val="Hyperlink"/>
          </w:rPr>
          <w:t>Purpose</w:t>
        </w:r>
        <w:r w:rsidR="00F026C9">
          <w:rPr>
            <w:webHidden/>
          </w:rPr>
          <w:tab/>
        </w:r>
        <w:r w:rsidR="00F026C9">
          <w:rPr>
            <w:webHidden/>
          </w:rPr>
          <w:fldChar w:fldCharType="begin"/>
        </w:r>
        <w:r w:rsidR="00F026C9">
          <w:rPr>
            <w:webHidden/>
          </w:rPr>
          <w:instrText xml:space="preserve"> PAGEREF _Toc143174305 \h </w:instrText>
        </w:r>
        <w:r w:rsidR="00F026C9">
          <w:rPr>
            <w:webHidden/>
          </w:rPr>
        </w:r>
        <w:r w:rsidR="00F026C9">
          <w:rPr>
            <w:webHidden/>
          </w:rPr>
          <w:fldChar w:fldCharType="separate"/>
        </w:r>
        <w:r w:rsidR="00F026C9">
          <w:rPr>
            <w:webHidden/>
          </w:rPr>
          <w:t>4</w:t>
        </w:r>
        <w:r w:rsidR="00F026C9">
          <w:rPr>
            <w:webHidden/>
          </w:rPr>
          <w:fldChar w:fldCharType="end"/>
        </w:r>
      </w:hyperlink>
    </w:p>
    <w:p w14:paraId="2B8F2DB0" w14:textId="368A03CC" w:rsidR="00F026C9" w:rsidRDefault="00000000">
      <w:pPr>
        <w:pStyle w:val="TOC2"/>
        <w:tabs>
          <w:tab w:val="left" w:pos="1100"/>
        </w:tabs>
        <w:rPr>
          <w:rFonts w:asciiTheme="minorHAnsi" w:eastAsiaTheme="minorEastAsia" w:hAnsiTheme="minorHAnsi" w:cstheme="minorBidi"/>
          <w:sz w:val="22"/>
          <w:lang w:eastAsia="en-GB" w:bidi="ar-SA"/>
        </w:rPr>
      </w:pPr>
      <w:hyperlink w:anchor="_Toc143174306" w:history="1">
        <w:r w:rsidR="00F026C9" w:rsidRPr="00A20DC6">
          <w:rPr>
            <w:rStyle w:val="Hyperlink"/>
          </w:rPr>
          <w:t>1.2.</w:t>
        </w:r>
        <w:r w:rsidR="00F026C9">
          <w:rPr>
            <w:rFonts w:asciiTheme="minorHAnsi" w:eastAsiaTheme="minorEastAsia" w:hAnsiTheme="minorHAnsi" w:cstheme="minorBidi"/>
            <w:sz w:val="22"/>
            <w:lang w:eastAsia="en-GB" w:bidi="ar-SA"/>
          </w:rPr>
          <w:tab/>
        </w:r>
        <w:r w:rsidR="00F026C9" w:rsidRPr="00A20DC6">
          <w:rPr>
            <w:rStyle w:val="Hyperlink"/>
          </w:rPr>
          <w:t>Scope and Applicability</w:t>
        </w:r>
        <w:r w:rsidR="00F026C9">
          <w:rPr>
            <w:webHidden/>
          </w:rPr>
          <w:tab/>
        </w:r>
        <w:r w:rsidR="00F026C9">
          <w:rPr>
            <w:webHidden/>
          </w:rPr>
          <w:fldChar w:fldCharType="begin"/>
        </w:r>
        <w:r w:rsidR="00F026C9">
          <w:rPr>
            <w:webHidden/>
          </w:rPr>
          <w:instrText xml:space="preserve"> PAGEREF _Toc143174306 \h </w:instrText>
        </w:r>
        <w:r w:rsidR="00F026C9">
          <w:rPr>
            <w:webHidden/>
          </w:rPr>
        </w:r>
        <w:r w:rsidR="00F026C9">
          <w:rPr>
            <w:webHidden/>
          </w:rPr>
          <w:fldChar w:fldCharType="separate"/>
        </w:r>
        <w:r w:rsidR="00F026C9">
          <w:rPr>
            <w:webHidden/>
          </w:rPr>
          <w:t>5</w:t>
        </w:r>
        <w:r w:rsidR="00F026C9">
          <w:rPr>
            <w:webHidden/>
          </w:rPr>
          <w:fldChar w:fldCharType="end"/>
        </w:r>
      </w:hyperlink>
    </w:p>
    <w:p w14:paraId="2ED87B1A" w14:textId="397C9747" w:rsidR="00F026C9" w:rsidRDefault="00000000">
      <w:pPr>
        <w:pStyle w:val="TOC2"/>
        <w:tabs>
          <w:tab w:val="left" w:pos="1100"/>
        </w:tabs>
        <w:rPr>
          <w:rFonts w:asciiTheme="minorHAnsi" w:eastAsiaTheme="minorEastAsia" w:hAnsiTheme="minorHAnsi" w:cstheme="minorBidi"/>
          <w:sz w:val="22"/>
          <w:lang w:eastAsia="en-GB" w:bidi="ar-SA"/>
        </w:rPr>
      </w:pPr>
      <w:hyperlink w:anchor="_Toc143174307" w:history="1">
        <w:r w:rsidR="00F026C9" w:rsidRPr="00A20DC6">
          <w:rPr>
            <w:rStyle w:val="Hyperlink"/>
          </w:rPr>
          <w:t>1.3.</w:t>
        </w:r>
        <w:r w:rsidR="00F026C9">
          <w:rPr>
            <w:rFonts w:asciiTheme="minorHAnsi" w:eastAsiaTheme="minorEastAsia" w:hAnsiTheme="minorHAnsi" w:cstheme="minorBidi"/>
            <w:sz w:val="22"/>
            <w:lang w:eastAsia="en-GB" w:bidi="ar-SA"/>
          </w:rPr>
          <w:tab/>
        </w:r>
        <w:r w:rsidR="00F026C9" w:rsidRPr="00A20DC6">
          <w:rPr>
            <w:rStyle w:val="Hyperlink"/>
          </w:rPr>
          <w:t>Definitions</w:t>
        </w:r>
        <w:r w:rsidR="00F026C9">
          <w:rPr>
            <w:webHidden/>
          </w:rPr>
          <w:tab/>
        </w:r>
        <w:r w:rsidR="00F026C9">
          <w:rPr>
            <w:webHidden/>
          </w:rPr>
          <w:fldChar w:fldCharType="begin"/>
        </w:r>
        <w:r w:rsidR="00F026C9">
          <w:rPr>
            <w:webHidden/>
          </w:rPr>
          <w:instrText xml:space="preserve"> PAGEREF _Toc143174307 \h </w:instrText>
        </w:r>
        <w:r w:rsidR="00F026C9">
          <w:rPr>
            <w:webHidden/>
          </w:rPr>
        </w:r>
        <w:r w:rsidR="00F026C9">
          <w:rPr>
            <w:webHidden/>
          </w:rPr>
          <w:fldChar w:fldCharType="separate"/>
        </w:r>
        <w:r w:rsidR="00F026C9">
          <w:rPr>
            <w:webHidden/>
          </w:rPr>
          <w:t>6</w:t>
        </w:r>
        <w:r w:rsidR="00F026C9">
          <w:rPr>
            <w:webHidden/>
          </w:rPr>
          <w:fldChar w:fldCharType="end"/>
        </w:r>
      </w:hyperlink>
    </w:p>
    <w:p w14:paraId="41F756D5" w14:textId="434BBE38" w:rsidR="00F026C9" w:rsidRDefault="00000000">
      <w:pPr>
        <w:pStyle w:val="TOC1"/>
        <w:tabs>
          <w:tab w:val="left" w:pos="720"/>
        </w:tabs>
        <w:rPr>
          <w:rFonts w:asciiTheme="minorHAnsi" w:eastAsiaTheme="minorEastAsia" w:hAnsiTheme="minorHAnsi" w:cstheme="minorBidi"/>
          <w:sz w:val="22"/>
          <w:lang w:eastAsia="en-GB" w:bidi="ar-SA"/>
        </w:rPr>
      </w:pPr>
      <w:hyperlink w:anchor="_Toc143174308" w:history="1">
        <w:r w:rsidR="00F026C9" w:rsidRPr="00A20DC6">
          <w:rPr>
            <w:rStyle w:val="Hyperlink"/>
          </w:rPr>
          <w:t>2.</w:t>
        </w:r>
        <w:r w:rsidR="00F026C9">
          <w:rPr>
            <w:rFonts w:asciiTheme="minorHAnsi" w:eastAsiaTheme="minorEastAsia" w:hAnsiTheme="minorHAnsi" w:cstheme="minorBidi"/>
            <w:sz w:val="22"/>
            <w:lang w:eastAsia="en-GB" w:bidi="ar-SA"/>
          </w:rPr>
          <w:tab/>
        </w:r>
        <w:r w:rsidR="00F026C9" w:rsidRPr="00A20DC6">
          <w:rPr>
            <w:rStyle w:val="Hyperlink"/>
          </w:rPr>
          <w:t>Purpose of Security Inspections</w:t>
        </w:r>
        <w:r w:rsidR="00F026C9">
          <w:rPr>
            <w:webHidden/>
          </w:rPr>
          <w:tab/>
        </w:r>
        <w:r w:rsidR="00F026C9">
          <w:rPr>
            <w:webHidden/>
          </w:rPr>
          <w:fldChar w:fldCharType="begin"/>
        </w:r>
        <w:r w:rsidR="00F026C9">
          <w:rPr>
            <w:webHidden/>
          </w:rPr>
          <w:instrText xml:space="preserve"> PAGEREF _Toc143174308 \h </w:instrText>
        </w:r>
        <w:r w:rsidR="00F026C9">
          <w:rPr>
            <w:webHidden/>
          </w:rPr>
        </w:r>
        <w:r w:rsidR="00F026C9">
          <w:rPr>
            <w:webHidden/>
          </w:rPr>
          <w:fldChar w:fldCharType="separate"/>
        </w:r>
        <w:r w:rsidR="00F026C9">
          <w:rPr>
            <w:webHidden/>
          </w:rPr>
          <w:t>7</w:t>
        </w:r>
        <w:r w:rsidR="00F026C9">
          <w:rPr>
            <w:webHidden/>
          </w:rPr>
          <w:fldChar w:fldCharType="end"/>
        </w:r>
      </w:hyperlink>
    </w:p>
    <w:p w14:paraId="48CB00AC" w14:textId="09ED9B64" w:rsidR="00F026C9" w:rsidRDefault="00000000">
      <w:pPr>
        <w:pStyle w:val="TOC1"/>
        <w:tabs>
          <w:tab w:val="left" w:pos="720"/>
        </w:tabs>
        <w:rPr>
          <w:rFonts w:asciiTheme="minorHAnsi" w:eastAsiaTheme="minorEastAsia" w:hAnsiTheme="minorHAnsi" w:cstheme="minorBidi"/>
          <w:sz w:val="22"/>
          <w:lang w:eastAsia="en-GB" w:bidi="ar-SA"/>
        </w:rPr>
      </w:pPr>
      <w:hyperlink w:anchor="_Toc143174309" w:history="1">
        <w:r w:rsidR="00F026C9" w:rsidRPr="00A20DC6">
          <w:rPr>
            <w:rStyle w:val="Hyperlink"/>
          </w:rPr>
          <w:t>3.</w:t>
        </w:r>
        <w:r w:rsidR="00F026C9">
          <w:rPr>
            <w:rFonts w:asciiTheme="minorHAnsi" w:eastAsiaTheme="minorEastAsia" w:hAnsiTheme="minorHAnsi" w:cstheme="minorBidi"/>
            <w:sz w:val="22"/>
            <w:lang w:eastAsia="en-GB" w:bidi="ar-SA"/>
          </w:rPr>
          <w:tab/>
        </w:r>
        <w:r w:rsidR="00F026C9" w:rsidRPr="00A20DC6">
          <w:rPr>
            <w:rStyle w:val="Hyperlink"/>
          </w:rPr>
          <w:t>Guidance on NISR 2003 compliance</w:t>
        </w:r>
        <w:r w:rsidR="00F026C9">
          <w:rPr>
            <w:webHidden/>
          </w:rPr>
          <w:tab/>
        </w:r>
        <w:r w:rsidR="00F026C9">
          <w:rPr>
            <w:webHidden/>
          </w:rPr>
          <w:fldChar w:fldCharType="begin"/>
        </w:r>
        <w:r w:rsidR="00F026C9">
          <w:rPr>
            <w:webHidden/>
          </w:rPr>
          <w:instrText xml:space="preserve"> PAGEREF _Toc143174309 \h </w:instrText>
        </w:r>
        <w:r w:rsidR="00F026C9">
          <w:rPr>
            <w:webHidden/>
          </w:rPr>
        </w:r>
        <w:r w:rsidR="00F026C9">
          <w:rPr>
            <w:webHidden/>
          </w:rPr>
          <w:fldChar w:fldCharType="separate"/>
        </w:r>
        <w:r w:rsidR="00F026C9">
          <w:rPr>
            <w:webHidden/>
          </w:rPr>
          <w:t>9</w:t>
        </w:r>
        <w:r w:rsidR="00F026C9">
          <w:rPr>
            <w:webHidden/>
          </w:rPr>
          <w:fldChar w:fldCharType="end"/>
        </w:r>
      </w:hyperlink>
    </w:p>
    <w:p w14:paraId="2EE5916A" w14:textId="53CAB2C4" w:rsidR="00F026C9" w:rsidRDefault="00000000">
      <w:pPr>
        <w:pStyle w:val="TOC1"/>
        <w:tabs>
          <w:tab w:val="left" w:pos="720"/>
        </w:tabs>
        <w:rPr>
          <w:rFonts w:asciiTheme="minorHAnsi" w:eastAsiaTheme="minorEastAsia" w:hAnsiTheme="minorHAnsi" w:cstheme="minorBidi"/>
          <w:sz w:val="22"/>
          <w:lang w:eastAsia="en-GB" w:bidi="ar-SA"/>
        </w:rPr>
      </w:pPr>
      <w:hyperlink w:anchor="_Toc143174310" w:history="1">
        <w:r w:rsidR="00F026C9" w:rsidRPr="00A20DC6">
          <w:rPr>
            <w:rStyle w:val="Hyperlink"/>
          </w:rPr>
          <w:t>4.</w:t>
        </w:r>
        <w:r w:rsidR="00F026C9">
          <w:rPr>
            <w:rFonts w:asciiTheme="minorHAnsi" w:eastAsiaTheme="minorEastAsia" w:hAnsiTheme="minorHAnsi" w:cstheme="minorBidi"/>
            <w:sz w:val="22"/>
            <w:lang w:eastAsia="en-GB" w:bidi="ar-SA"/>
          </w:rPr>
          <w:tab/>
        </w:r>
        <w:r w:rsidR="00F026C9" w:rsidRPr="00A20DC6">
          <w:rPr>
            <w:rStyle w:val="Hyperlink"/>
          </w:rPr>
          <w:t>Guidance on inspection of SPA and their implementation</w:t>
        </w:r>
        <w:r w:rsidR="00F026C9">
          <w:rPr>
            <w:webHidden/>
          </w:rPr>
          <w:tab/>
        </w:r>
        <w:r w:rsidR="00F026C9">
          <w:rPr>
            <w:webHidden/>
          </w:rPr>
          <w:fldChar w:fldCharType="begin"/>
        </w:r>
        <w:r w:rsidR="00F026C9">
          <w:rPr>
            <w:webHidden/>
          </w:rPr>
          <w:instrText xml:space="preserve"> PAGEREF _Toc143174310 \h </w:instrText>
        </w:r>
        <w:r w:rsidR="00F026C9">
          <w:rPr>
            <w:webHidden/>
          </w:rPr>
        </w:r>
        <w:r w:rsidR="00F026C9">
          <w:rPr>
            <w:webHidden/>
          </w:rPr>
          <w:fldChar w:fldCharType="separate"/>
        </w:r>
        <w:r w:rsidR="00F026C9">
          <w:rPr>
            <w:webHidden/>
          </w:rPr>
          <w:t>9</w:t>
        </w:r>
        <w:r w:rsidR="00F026C9">
          <w:rPr>
            <w:webHidden/>
          </w:rPr>
          <w:fldChar w:fldCharType="end"/>
        </w:r>
      </w:hyperlink>
    </w:p>
    <w:p w14:paraId="38085B90" w14:textId="19202C04" w:rsidR="00F026C9" w:rsidRDefault="00000000">
      <w:pPr>
        <w:pStyle w:val="TOC2"/>
        <w:tabs>
          <w:tab w:val="left" w:pos="1100"/>
        </w:tabs>
        <w:rPr>
          <w:rFonts w:asciiTheme="minorHAnsi" w:eastAsiaTheme="minorEastAsia" w:hAnsiTheme="minorHAnsi" w:cstheme="minorBidi"/>
          <w:sz w:val="22"/>
          <w:lang w:eastAsia="en-GB" w:bidi="ar-SA"/>
        </w:rPr>
      </w:pPr>
      <w:hyperlink w:anchor="_Toc143174311" w:history="1">
        <w:r w:rsidR="00F026C9" w:rsidRPr="00A20DC6">
          <w:rPr>
            <w:rStyle w:val="Hyperlink"/>
          </w:rPr>
          <w:t>4.1.</w:t>
        </w:r>
        <w:r w:rsidR="00F026C9">
          <w:rPr>
            <w:rFonts w:asciiTheme="minorHAnsi" w:eastAsiaTheme="minorEastAsia" w:hAnsiTheme="minorHAnsi" w:cstheme="minorBidi"/>
            <w:sz w:val="22"/>
            <w:lang w:eastAsia="en-GB" w:bidi="ar-SA"/>
          </w:rPr>
          <w:tab/>
        </w:r>
        <w:r w:rsidR="00F026C9" w:rsidRPr="00A20DC6">
          <w:rPr>
            <w:rStyle w:val="Hyperlink"/>
          </w:rPr>
          <w:t>Guidance on selecting and scoping SPA to inspect</w:t>
        </w:r>
        <w:r w:rsidR="00F026C9">
          <w:rPr>
            <w:webHidden/>
          </w:rPr>
          <w:tab/>
        </w:r>
        <w:r w:rsidR="00F026C9">
          <w:rPr>
            <w:webHidden/>
          </w:rPr>
          <w:fldChar w:fldCharType="begin"/>
        </w:r>
        <w:r w:rsidR="00F026C9">
          <w:rPr>
            <w:webHidden/>
          </w:rPr>
          <w:instrText xml:space="preserve"> PAGEREF _Toc143174311 \h </w:instrText>
        </w:r>
        <w:r w:rsidR="00F026C9">
          <w:rPr>
            <w:webHidden/>
          </w:rPr>
        </w:r>
        <w:r w:rsidR="00F026C9">
          <w:rPr>
            <w:webHidden/>
          </w:rPr>
          <w:fldChar w:fldCharType="separate"/>
        </w:r>
        <w:r w:rsidR="00F026C9">
          <w:rPr>
            <w:webHidden/>
          </w:rPr>
          <w:t>10</w:t>
        </w:r>
        <w:r w:rsidR="00F026C9">
          <w:rPr>
            <w:webHidden/>
          </w:rPr>
          <w:fldChar w:fldCharType="end"/>
        </w:r>
      </w:hyperlink>
    </w:p>
    <w:p w14:paraId="33AD64CD" w14:textId="6A4B0116" w:rsidR="00F026C9" w:rsidRDefault="00000000">
      <w:pPr>
        <w:pStyle w:val="TOC2"/>
        <w:tabs>
          <w:tab w:val="left" w:pos="1100"/>
        </w:tabs>
        <w:rPr>
          <w:rFonts w:asciiTheme="minorHAnsi" w:eastAsiaTheme="minorEastAsia" w:hAnsiTheme="minorHAnsi" w:cstheme="minorBidi"/>
          <w:sz w:val="22"/>
          <w:lang w:eastAsia="en-GB" w:bidi="ar-SA"/>
        </w:rPr>
      </w:pPr>
      <w:hyperlink w:anchor="_Toc143174312" w:history="1">
        <w:r w:rsidR="00F026C9" w:rsidRPr="00A20DC6">
          <w:rPr>
            <w:rStyle w:val="Hyperlink"/>
          </w:rPr>
          <w:t>4.2.</w:t>
        </w:r>
        <w:r w:rsidR="00F026C9">
          <w:rPr>
            <w:rFonts w:asciiTheme="minorHAnsi" w:eastAsiaTheme="minorEastAsia" w:hAnsiTheme="minorHAnsi" w:cstheme="minorBidi"/>
            <w:sz w:val="22"/>
            <w:lang w:eastAsia="en-GB" w:bidi="ar-SA"/>
          </w:rPr>
          <w:tab/>
        </w:r>
        <w:r w:rsidR="00F026C9" w:rsidRPr="00A20DC6">
          <w:rPr>
            <w:rStyle w:val="Hyperlink"/>
          </w:rPr>
          <w:t>Guidance on inspection delivery</w:t>
        </w:r>
        <w:r w:rsidR="00F026C9">
          <w:rPr>
            <w:webHidden/>
          </w:rPr>
          <w:tab/>
        </w:r>
        <w:r w:rsidR="00F026C9">
          <w:rPr>
            <w:webHidden/>
          </w:rPr>
          <w:fldChar w:fldCharType="begin"/>
        </w:r>
        <w:r w:rsidR="00F026C9">
          <w:rPr>
            <w:webHidden/>
          </w:rPr>
          <w:instrText xml:space="preserve"> PAGEREF _Toc143174312 \h </w:instrText>
        </w:r>
        <w:r w:rsidR="00F026C9">
          <w:rPr>
            <w:webHidden/>
          </w:rPr>
        </w:r>
        <w:r w:rsidR="00F026C9">
          <w:rPr>
            <w:webHidden/>
          </w:rPr>
          <w:fldChar w:fldCharType="separate"/>
        </w:r>
        <w:r w:rsidR="00F026C9">
          <w:rPr>
            <w:webHidden/>
          </w:rPr>
          <w:t>12</w:t>
        </w:r>
        <w:r w:rsidR="00F026C9">
          <w:rPr>
            <w:webHidden/>
          </w:rPr>
          <w:fldChar w:fldCharType="end"/>
        </w:r>
      </w:hyperlink>
    </w:p>
    <w:p w14:paraId="1E00DCE0" w14:textId="49A9CF36" w:rsidR="00F026C9" w:rsidRDefault="00000000">
      <w:pPr>
        <w:pStyle w:val="TOC2"/>
        <w:tabs>
          <w:tab w:val="left" w:pos="1100"/>
        </w:tabs>
        <w:rPr>
          <w:rFonts w:asciiTheme="minorHAnsi" w:eastAsiaTheme="minorEastAsia" w:hAnsiTheme="minorHAnsi" w:cstheme="minorBidi"/>
          <w:sz w:val="22"/>
          <w:lang w:eastAsia="en-GB" w:bidi="ar-SA"/>
        </w:rPr>
      </w:pPr>
      <w:hyperlink w:anchor="_Toc143174313" w:history="1">
        <w:r w:rsidR="00F026C9" w:rsidRPr="00A20DC6">
          <w:rPr>
            <w:rStyle w:val="Hyperlink"/>
          </w:rPr>
          <w:t>4.3.</w:t>
        </w:r>
        <w:r w:rsidR="00F026C9">
          <w:rPr>
            <w:rFonts w:asciiTheme="minorHAnsi" w:eastAsiaTheme="minorEastAsia" w:hAnsiTheme="minorHAnsi" w:cstheme="minorBidi"/>
            <w:sz w:val="22"/>
            <w:lang w:eastAsia="en-GB" w:bidi="ar-SA"/>
          </w:rPr>
          <w:tab/>
        </w:r>
        <w:r w:rsidR="00F026C9" w:rsidRPr="00A20DC6">
          <w:rPr>
            <w:rStyle w:val="Hyperlink"/>
          </w:rPr>
          <w:t>Guidance on inspecting strategic enablers</w:t>
        </w:r>
        <w:r w:rsidR="00F026C9">
          <w:rPr>
            <w:webHidden/>
          </w:rPr>
          <w:tab/>
        </w:r>
        <w:r w:rsidR="00F026C9">
          <w:rPr>
            <w:webHidden/>
          </w:rPr>
          <w:fldChar w:fldCharType="begin"/>
        </w:r>
        <w:r w:rsidR="00F026C9">
          <w:rPr>
            <w:webHidden/>
          </w:rPr>
          <w:instrText xml:space="preserve"> PAGEREF _Toc143174313 \h </w:instrText>
        </w:r>
        <w:r w:rsidR="00F026C9">
          <w:rPr>
            <w:webHidden/>
          </w:rPr>
        </w:r>
        <w:r w:rsidR="00F026C9">
          <w:rPr>
            <w:webHidden/>
          </w:rPr>
          <w:fldChar w:fldCharType="separate"/>
        </w:r>
        <w:r w:rsidR="00F026C9">
          <w:rPr>
            <w:webHidden/>
          </w:rPr>
          <w:t>13</w:t>
        </w:r>
        <w:r w:rsidR="00F026C9">
          <w:rPr>
            <w:webHidden/>
          </w:rPr>
          <w:fldChar w:fldCharType="end"/>
        </w:r>
      </w:hyperlink>
    </w:p>
    <w:p w14:paraId="22262D08" w14:textId="50FA7B0F" w:rsidR="00F026C9" w:rsidRDefault="00000000">
      <w:pPr>
        <w:pStyle w:val="TOC2"/>
        <w:tabs>
          <w:tab w:val="left" w:pos="1100"/>
        </w:tabs>
        <w:rPr>
          <w:rFonts w:asciiTheme="minorHAnsi" w:eastAsiaTheme="minorEastAsia" w:hAnsiTheme="minorHAnsi" w:cstheme="minorBidi"/>
          <w:sz w:val="22"/>
          <w:lang w:eastAsia="en-GB" w:bidi="ar-SA"/>
        </w:rPr>
      </w:pPr>
      <w:hyperlink w:anchor="_Toc143174314" w:history="1">
        <w:r w:rsidR="00F026C9" w:rsidRPr="00A20DC6">
          <w:rPr>
            <w:rStyle w:val="Hyperlink"/>
          </w:rPr>
          <w:t>4.4.</w:t>
        </w:r>
        <w:r w:rsidR="00F026C9">
          <w:rPr>
            <w:rFonts w:asciiTheme="minorHAnsi" w:eastAsiaTheme="minorEastAsia" w:hAnsiTheme="minorHAnsi" w:cstheme="minorBidi"/>
            <w:sz w:val="22"/>
            <w:lang w:eastAsia="en-GB" w:bidi="ar-SA"/>
          </w:rPr>
          <w:tab/>
        </w:r>
        <w:r w:rsidR="00F026C9" w:rsidRPr="00A20DC6">
          <w:rPr>
            <w:rStyle w:val="Hyperlink"/>
          </w:rPr>
          <w:t>Chief Nuclear Inspector Themed Inspections</w:t>
        </w:r>
        <w:r w:rsidR="00F026C9">
          <w:rPr>
            <w:webHidden/>
          </w:rPr>
          <w:tab/>
        </w:r>
        <w:r w:rsidR="00F026C9">
          <w:rPr>
            <w:webHidden/>
          </w:rPr>
          <w:fldChar w:fldCharType="begin"/>
        </w:r>
        <w:r w:rsidR="00F026C9">
          <w:rPr>
            <w:webHidden/>
          </w:rPr>
          <w:instrText xml:space="preserve"> PAGEREF _Toc143174314 \h </w:instrText>
        </w:r>
        <w:r w:rsidR="00F026C9">
          <w:rPr>
            <w:webHidden/>
          </w:rPr>
        </w:r>
        <w:r w:rsidR="00F026C9">
          <w:rPr>
            <w:webHidden/>
          </w:rPr>
          <w:fldChar w:fldCharType="separate"/>
        </w:r>
        <w:r w:rsidR="00F026C9">
          <w:rPr>
            <w:webHidden/>
          </w:rPr>
          <w:t>14</w:t>
        </w:r>
        <w:r w:rsidR="00F026C9">
          <w:rPr>
            <w:webHidden/>
          </w:rPr>
          <w:fldChar w:fldCharType="end"/>
        </w:r>
      </w:hyperlink>
    </w:p>
    <w:p w14:paraId="2D9A5377" w14:textId="59D4667E" w:rsidR="00F026C9" w:rsidRDefault="00000000">
      <w:pPr>
        <w:pStyle w:val="TOC1"/>
        <w:tabs>
          <w:tab w:val="left" w:pos="720"/>
        </w:tabs>
        <w:rPr>
          <w:rFonts w:asciiTheme="minorHAnsi" w:eastAsiaTheme="minorEastAsia" w:hAnsiTheme="minorHAnsi" w:cstheme="minorBidi"/>
          <w:sz w:val="22"/>
          <w:lang w:eastAsia="en-GB" w:bidi="ar-SA"/>
        </w:rPr>
      </w:pPr>
      <w:hyperlink w:anchor="_Toc143174315" w:history="1">
        <w:r w:rsidR="00F026C9" w:rsidRPr="00A20DC6">
          <w:rPr>
            <w:rStyle w:val="Hyperlink"/>
          </w:rPr>
          <w:t>5.</w:t>
        </w:r>
        <w:r w:rsidR="00F026C9">
          <w:rPr>
            <w:rFonts w:asciiTheme="minorHAnsi" w:eastAsiaTheme="minorEastAsia" w:hAnsiTheme="minorHAnsi" w:cstheme="minorBidi"/>
            <w:sz w:val="22"/>
            <w:lang w:eastAsia="en-GB" w:bidi="ar-SA"/>
          </w:rPr>
          <w:tab/>
        </w:r>
        <w:r w:rsidR="00F026C9" w:rsidRPr="00A20DC6">
          <w:rPr>
            <w:rStyle w:val="Hyperlink"/>
          </w:rPr>
          <w:t>References</w:t>
        </w:r>
        <w:r w:rsidR="00F026C9">
          <w:rPr>
            <w:webHidden/>
          </w:rPr>
          <w:tab/>
        </w:r>
        <w:r w:rsidR="00F026C9">
          <w:rPr>
            <w:webHidden/>
          </w:rPr>
          <w:fldChar w:fldCharType="begin"/>
        </w:r>
        <w:r w:rsidR="00F026C9">
          <w:rPr>
            <w:webHidden/>
          </w:rPr>
          <w:instrText xml:space="preserve"> PAGEREF _Toc143174315 \h </w:instrText>
        </w:r>
        <w:r w:rsidR="00F026C9">
          <w:rPr>
            <w:webHidden/>
          </w:rPr>
        </w:r>
        <w:r w:rsidR="00F026C9">
          <w:rPr>
            <w:webHidden/>
          </w:rPr>
          <w:fldChar w:fldCharType="separate"/>
        </w:r>
        <w:r w:rsidR="00F026C9">
          <w:rPr>
            <w:webHidden/>
          </w:rPr>
          <w:t>15</w:t>
        </w:r>
        <w:r w:rsidR="00F026C9">
          <w:rPr>
            <w:webHidden/>
          </w:rPr>
          <w:fldChar w:fldCharType="end"/>
        </w:r>
      </w:hyperlink>
    </w:p>
    <w:p w14:paraId="1480C19E" w14:textId="43884475" w:rsidR="00F026C9" w:rsidRDefault="00000000">
      <w:pPr>
        <w:pStyle w:val="TOC1"/>
        <w:rPr>
          <w:rFonts w:asciiTheme="minorHAnsi" w:eastAsiaTheme="minorEastAsia" w:hAnsiTheme="minorHAnsi" w:cstheme="minorBidi"/>
          <w:sz w:val="22"/>
          <w:lang w:eastAsia="en-GB" w:bidi="ar-SA"/>
        </w:rPr>
      </w:pPr>
      <w:hyperlink w:anchor="_Toc143174316" w:history="1">
        <w:r w:rsidR="00F026C9" w:rsidRPr="00A20DC6">
          <w:rPr>
            <w:rStyle w:val="Hyperlink"/>
          </w:rPr>
          <w:t>Appendix A –  Supply Chain / Regulation 22</w:t>
        </w:r>
        <w:r w:rsidR="00F026C9">
          <w:rPr>
            <w:webHidden/>
          </w:rPr>
          <w:tab/>
        </w:r>
        <w:r w:rsidR="00F026C9">
          <w:rPr>
            <w:webHidden/>
          </w:rPr>
          <w:fldChar w:fldCharType="begin"/>
        </w:r>
        <w:r w:rsidR="00F026C9">
          <w:rPr>
            <w:webHidden/>
          </w:rPr>
          <w:instrText xml:space="preserve"> PAGEREF _Toc143174316 \h </w:instrText>
        </w:r>
        <w:r w:rsidR="00F026C9">
          <w:rPr>
            <w:webHidden/>
          </w:rPr>
        </w:r>
        <w:r w:rsidR="00F026C9">
          <w:rPr>
            <w:webHidden/>
          </w:rPr>
          <w:fldChar w:fldCharType="separate"/>
        </w:r>
        <w:r w:rsidR="00F026C9">
          <w:rPr>
            <w:webHidden/>
          </w:rPr>
          <w:t>16</w:t>
        </w:r>
        <w:r w:rsidR="00F026C9">
          <w:rPr>
            <w:webHidden/>
          </w:rPr>
          <w:fldChar w:fldCharType="end"/>
        </w:r>
      </w:hyperlink>
    </w:p>
    <w:p w14:paraId="0CC4B54A" w14:textId="2A908585" w:rsidR="00267815" w:rsidRDefault="00AD167C" w:rsidP="00267815">
      <w:r>
        <w:fldChar w:fldCharType="end"/>
      </w:r>
    </w:p>
    <w:p w14:paraId="716B9A7E" w14:textId="77777777" w:rsidR="003E098E" w:rsidRDefault="003E098E" w:rsidP="00267815"/>
    <w:p w14:paraId="4812BFF8" w14:textId="6F763C7C" w:rsidR="003E098E" w:rsidRDefault="003E098E" w:rsidP="00267815">
      <w:pPr>
        <w:sectPr w:rsidR="003E098E" w:rsidSect="00756790">
          <w:headerReference w:type="even" r:id="rId20"/>
          <w:headerReference w:type="default" r:id="rId21"/>
          <w:footerReference w:type="even" r:id="rId22"/>
          <w:footerReference w:type="default" r:id="rId23"/>
          <w:pgSz w:w="11906" w:h="16838" w:code="9"/>
          <w:pgMar w:top="1440" w:right="1440" w:bottom="1440" w:left="1440" w:header="397" w:footer="397" w:gutter="0"/>
          <w:cols w:space="312"/>
          <w:docGrid w:linePitch="360"/>
        </w:sectPr>
      </w:pPr>
    </w:p>
    <w:p w14:paraId="43A875A4" w14:textId="7F61F835" w:rsidR="008D49A5" w:rsidRPr="00223090" w:rsidRDefault="008D49A5" w:rsidP="00223090">
      <w:pPr>
        <w:pStyle w:val="Heading1"/>
      </w:pPr>
      <w:bookmarkStart w:id="1" w:name="_Toc143174304"/>
      <w:bookmarkEnd w:id="0"/>
      <w:r w:rsidRPr="00223090">
        <w:lastRenderedPageBreak/>
        <w:t>Introduction</w:t>
      </w:r>
      <w:bookmarkEnd w:id="1"/>
    </w:p>
    <w:p w14:paraId="36099D3E" w14:textId="03CA2190" w:rsidR="00E40A2D" w:rsidRPr="00E40A2D" w:rsidRDefault="00E40A2D" w:rsidP="0059042C">
      <w:pPr>
        <w:pStyle w:val="F9-Paragraph"/>
        <w:numPr>
          <w:ilvl w:val="0"/>
          <w:numId w:val="28"/>
        </w:numPr>
        <w:ind w:left="851" w:hanging="851"/>
      </w:pPr>
      <w:r w:rsidRPr="00E40A2D">
        <w:t xml:space="preserve">The Nuclear Industries Security Regulations (NISR) 2003 </w:t>
      </w:r>
      <w:r w:rsidR="009A4112">
        <w:t>(Ref</w:t>
      </w:r>
      <w:r w:rsidR="001E374C">
        <w:t>.</w:t>
      </w:r>
      <w:r w:rsidR="009A4112">
        <w:t xml:space="preserve"> </w:t>
      </w:r>
      <w:sdt>
        <w:sdtPr>
          <w:id w:val="-1351878682"/>
          <w:citation/>
        </w:sdtPr>
        <w:sdtContent>
          <w:r w:rsidR="0050270D">
            <w:fldChar w:fldCharType="begin"/>
          </w:r>
          <w:r w:rsidR="005847B8">
            <w:instrText xml:space="preserve">CITATION NISR2003 \l 2057 </w:instrText>
          </w:r>
          <w:r w:rsidR="0050270D">
            <w:fldChar w:fldCharType="separate"/>
          </w:r>
          <w:r w:rsidR="00F17111" w:rsidRPr="00F17111">
            <w:rPr>
              <w:noProof/>
            </w:rPr>
            <w:t>[1]</w:t>
          </w:r>
          <w:r w:rsidR="0050270D">
            <w:fldChar w:fldCharType="end"/>
          </w:r>
        </w:sdtContent>
      </w:sdt>
      <w:r w:rsidR="009A4112">
        <w:t xml:space="preserve">) </w:t>
      </w:r>
      <w:r w:rsidR="0038452D">
        <w:t xml:space="preserve">requires </w:t>
      </w:r>
      <w:r w:rsidRPr="00E40A2D">
        <w:t>responsible persons to ensure the security of the nuclear premises, Nuclear Material (NM) or Other Radioactive Material (ORM) stored on the premises</w:t>
      </w:r>
      <w:r w:rsidR="00366BBB">
        <w:t xml:space="preserve">. </w:t>
      </w:r>
      <w:r w:rsidR="001C05C3">
        <w:t>NISR 2003</w:t>
      </w:r>
      <w:r w:rsidR="00366BBB">
        <w:t xml:space="preserve"> also places legal requirements on holders of</w:t>
      </w:r>
      <w:r w:rsidRPr="00E40A2D">
        <w:t xml:space="preserve"> Sensitive Nuclear Information (SNI) and </w:t>
      </w:r>
      <w:r w:rsidR="001C05C3">
        <w:t xml:space="preserve">on carriers </w:t>
      </w:r>
      <w:r w:rsidR="005C0408">
        <w:t xml:space="preserve">transporting </w:t>
      </w:r>
      <w:r w:rsidRPr="00E40A2D">
        <w:t xml:space="preserve">Category I - III NM.  </w:t>
      </w:r>
    </w:p>
    <w:p w14:paraId="7DE84610" w14:textId="05B5E406" w:rsidR="00C90791" w:rsidRDefault="00E40A2D" w:rsidP="00D82A4D">
      <w:pPr>
        <w:pStyle w:val="F9-Paragraph"/>
      </w:pPr>
      <w:r w:rsidRPr="00E40A2D">
        <w:t xml:space="preserve">The Office for Nuclear </w:t>
      </w:r>
      <w:r w:rsidR="00A52B15">
        <w:t>R</w:t>
      </w:r>
      <w:r w:rsidRPr="00E40A2D">
        <w:t>egulation (ONR) has established a set of outcome</w:t>
      </w:r>
      <w:r w:rsidR="00A52B15">
        <w:t>-</w:t>
      </w:r>
      <w:r w:rsidRPr="00E40A2D">
        <w:t>focused Security Assessment Principles (SyAPs) (Ref</w:t>
      </w:r>
      <w:r w:rsidR="001E374C">
        <w:t>.</w:t>
      </w:r>
      <w:r w:rsidRPr="00E40A2D">
        <w:t xml:space="preserve"> </w:t>
      </w:r>
      <w:sdt>
        <w:sdtPr>
          <w:id w:val="1669976194"/>
          <w:citation/>
        </w:sdtPr>
        <w:sdtContent>
          <w:r w:rsidR="0050270D">
            <w:fldChar w:fldCharType="begin"/>
          </w:r>
          <w:r w:rsidR="00975732">
            <w:instrText xml:space="preserve">CITATION SyAPs \l 2057 </w:instrText>
          </w:r>
          <w:r w:rsidR="0050270D">
            <w:fldChar w:fldCharType="separate"/>
          </w:r>
          <w:r w:rsidR="00F17111" w:rsidRPr="00F17111">
            <w:rPr>
              <w:noProof/>
            </w:rPr>
            <w:t>[2]</w:t>
          </w:r>
          <w:r w:rsidR="0050270D">
            <w:fldChar w:fldCharType="end"/>
          </w:r>
        </w:sdtContent>
      </w:sdt>
      <w:r w:rsidRPr="00E40A2D">
        <w:t>) which provide</w:t>
      </w:r>
      <w:r w:rsidR="001E5E1A">
        <w:t>s</w:t>
      </w:r>
      <w:r w:rsidRPr="00E40A2D">
        <w:t xml:space="preserve"> a framework to assess security arrangements defined in </w:t>
      </w:r>
      <w:r w:rsidR="00A52B15">
        <w:t xml:space="preserve">each </w:t>
      </w:r>
      <w:r w:rsidR="00285DED">
        <w:t>security plan (</w:t>
      </w:r>
      <w:r w:rsidR="00E916C5">
        <w:t>SP</w:t>
      </w:r>
      <w:r w:rsidR="00285DED">
        <w:t>)</w:t>
      </w:r>
      <w:r w:rsidR="00E916C5">
        <w:t xml:space="preserve"> </w:t>
      </w:r>
      <w:r w:rsidRPr="00E40A2D">
        <w:t xml:space="preserve">and </w:t>
      </w:r>
      <w:r w:rsidR="00AD3ECD" w:rsidRPr="001E5E1A">
        <w:t xml:space="preserve">enables the inspector to </w:t>
      </w:r>
      <w:r w:rsidRPr="00E40A2D">
        <w:t>make consistent regulatory judgements on the adequacy of those arrangements.</w:t>
      </w:r>
    </w:p>
    <w:p w14:paraId="639D09D8" w14:textId="3B929A22" w:rsidR="00E40A2D" w:rsidRDefault="00E40A2D" w:rsidP="003154D8">
      <w:pPr>
        <w:pStyle w:val="F9-Paragraph"/>
      </w:pPr>
      <w:r w:rsidRPr="00E40A2D">
        <w:t>The Fundamental Security Principles (</w:t>
      </w:r>
      <w:proofErr w:type="spellStart"/>
      <w:r w:rsidRPr="00E40A2D">
        <w:t>FSyPs</w:t>
      </w:r>
      <w:proofErr w:type="spellEnd"/>
      <w:r w:rsidRPr="00E40A2D">
        <w:t>) and their underpinning Security Delivery Principles (</w:t>
      </w:r>
      <w:proofErr w:type="spellStart"/>
      <w:r w:rsidRPr="00E40A2D">
        <w:t>SyDPs</w:t>
      </w:r>
      <w:proofErr w:type="spellEnd"/>
      <w:r w:rsidRPr="00E40A2D">
        <w:t xml:space="preserve">) are </w:t>
      </w:r>
      <w:r w:rsidR="00783D4D">
        <w:t xml:space="preserve">outcome-focused </w:t>
      </w:r>
      <w:r w:rsidRPr="00E40A2D">
        <w:t xml:space="preserve">and do not </w:t>
      </w:r>
      <w:r w:rsidR="00BD7C35">
        <w:t>pr</w:t>
      </w:r>
      <w:r w:rsidRPr="00E40A2D">
        <w:t xml:space="preserve">escribe what </w:t>
      </w:r>
      <w:r w:rsidR="00783D4D">
        <w:t xml:space="preserve">a </w:t>
      </w:r>
      <w:r w:rsidRPr="00E40A2D">
        <w:t xml:space="preserve">dutyholder’s </w:t>
      </w:r>
      <w:r w:rsidR="00783D4D">
        <w:t xml:space="preserve">SP </w:t>
      </w:r>
      <w:r w:rsidRPr="00E40A2D">
        <w:t>should contain</w:t>
      </w:r>
      <w:r w:rsidR="00DE4B62">
        <w:t xml:space="preserve">. </w:t>
      </w:r>
      <w:r w:rsidR="00265D14">
        <w:t>D</w:t>
      </w:r>
      <w:r w:rsidRPr="00E40A2D">
        <w:t>utyholder</w:t>
      </w:r>
      <w:r w:rsidR="00DE4B62">
        <w:t>s</w:t>
      </w:r>
      <w:r w:rsidRPr="00E40A2D">
        <w:t xml:space="preserve"> </w:t>
      </w:r>
      <w:r w:rsidR="00265D14">
        <w:t xml:space="preserve">are responsible </w:t>
      </w:r>
      <w:r w:rsidRPr="00E40A2D">
        <w:t xml:space="preserve">for designing, implementing, and assuring the efficacy of their security arrangements. </w:t>
      </w:r>
      <w:r w:rsidR="00DE4B62">
        <w:t xml:space="preserve">The dutyholder </w:t>
      </w:r>
      <w:r w:rsidR="00873CF7">
        <w:t xml:space="preserve">submits </w:t>
      </w:r>
      <w:r w:rsidR="00DF7447">
        <w:t xml:space="preserve">its </w:t>
      </w:r>
      <w:r w:rsidR="00873CF7">
        <w:t>SP to ONR for approval</w:t>
      </w:r>
      <w:r w:rsidR="007144A5">
        <w:t>; o</w:t>
      </w:r>
      <w:r w:rsidRPr="00E40A2D">
        <w:t xml:space="preserve">nce </w:t>
      </w:r>
      <w:r w:rsidR="001C1666">
        <w:t xml:space="preserve">an </w:t>
      </w:r>
      <w:r w:rsidR="00FF3231">
        <w:t xml:space="preserve">SP </w:t>
      </w:r>
      <w:r w:rsidR="007144A5">
        <w:t xml:space="preserve">has been </w:t>
      </w:r>
      <w:r w:rsidRPr="00E40A2D">
        <w:t xml:space="preserve">approved, ONR conducts regular inspections to judge </w:t>
      </w:r>
      <w:r w:rsidR="0056466D">
        <w:t xml:space="preserve">dutyholder </w:t>
      </w:r>
      <w:r w:rsidRPr="00E40A2D">
        <w:t xml:space="preserve">compliance with </w:t>
      </w:r>
      <w:r w:rsidR="00DE5FCE">
        <w:t xml:space="preserve">their approved </w:t>
      </w:r>
      <w:r w:rsidR="00EA2EB9">
        <w:t>SP</w:t>
      </w:r>
      <w:r w:rsidR="00DE5FCE">
        <w:t xml:space="preserve"> (and thus </w:t>
      </w:r>
      <w:r w:rsidR="001C1666">
        <w:t xml:space="preserve">with </w:t>
      </w:r>
      <w:r w:rsidR="00DE5FCE">
        <w:t>NISR 2003)</w:t>
      </w:r>
      <w:r w:rsidRPr="00E40A2D">
        <w:t>.</w:t>
      </w:r>
    </w:p>
    <w:p w14:paraId="6500B330" w14:textId="77777777" w:rsidR="00C205D7" w:rsidRDefault="00C205D7" w:rsidP="00C205D7">
      <w:pPr>
        <w:pStyle w:val="F9-Paragraph"/>
        <w:numPr>
          <w:ilvl w:val="0"/>
          <w:numId w:val="0"/>
        </w:numPr>
        <w:ind w:left="851"/>
      </w:pPr>
    </w:p>
    <w:p w14:paraId="616F197D" w14:textId="77777777" w:rsidR="008D49A5" w:rsidRPr="00FA33FE" w:rsidRDefault="008D49A5" w:rsidP="00EC7D83">
      <w:pPr>
        <w:pStyle w:val="Heading2"/>
        <w:ind w:hanging="792"/>
      </w:pPr>
      <w:bookmarkStart w:id="2" w:name="_Toc143174305"/>
      <w:r w:rsidRPr="00FA33FE">
        <w:t>Purpose</w:t>
      </w:r>
      <w:bookmarkEnd w:id="2"/>
    </w:p>
    <w:p w14:paraId="6A54811F" w14:textId="66C77E92" w:rsidR="004E66AD" w:rsidRDefault="00D73852" w:rsidP="0042080F">
      <w:pPr>
        <w:pStyle w:val="F9-Paragraph"/>
      </w:pPr>
      <w:r>
        <w:t xml:space="preserve">Regulating under NISR 2003 </w:t>
      </w:r>
      <w:r w:rsidR="00A019AD">
        <w:t xml:space="preserve">(Ref </w:t>
      </w:r>
      <w:sdt>
        <w:sdtPr>
          <w:id w:val="1684321736"/>
          <w:citation/>
        </w:sdtPr>
        <w:sdtContent>
          <w:r w:rsidR="00A019AD">
            <w:fldChar w:fldCharType="begin"/>
          </w:r>
          <w:r w:rsidR="00A019AD">
            <w:instrText xml:space="preserve"> CITATION NISR2003 \l 2057 </w:instrText>
          </w:r>
          <w:r w:rsidR="00A019AD">
            <w:fldChar w:fldCharType="separate"/>
          </w:r>
          <w:r w:rsidR="00F17111" w:rsidRPr="00F17111">
            <w:rPr>
              <w:noProof/>
            </w:rPr>
            <w:t>[1]</w:t>
          </w:r>
          <w:r w:rsidR="00A019AD">
            <w:fldChar w:fldCharType="end"/>
          </w:r>
        </w:sdtContent>
      </w:sdt>
      <w:r w:rsidR="00A019AD">
        <w:t xml:space="preserve">) </w:t>
      </w:r>
      <w:r>
        <w:t>entails a two-stage approach</w:t>
      </w:r>
      <w:r w:rsidR="00DC4B51">
        <w:t xml:space="preserve"> and there is a </w:t>
      </w:r>
      <w:r w:rsidR="00900E03">
        <w:t xml:space="preserve">suite of </w:t>
      </w:r>
      <w:r w:rsidR="00DC4B51">
        <w:t xml:space="preserve">supporting </w:t>
      </w:r>
      <w:r w:rsidR="0042080F" w:rsidRPr="00E40A2D">
        <w:t>ONR guidance documentation:</w:t>
      </w:r>
    </w:p>
    <w:p w14:paraId="2DDDFDEE" w14:textId="1EC7B4A9" w:rsidR="004E66AD" w:rsidRPr="002873B5" w:rsidRDefault="0042080F" w:rsidP="006F68D7">
      <w:pPr>
        <w:pStyle w:val="Bulletlist1"/>
      </w:pPr>
      <w:r w:rsidRPr="002873B5">
        <w:t>Technical Assessment Guides (TAGs) assist inspectors in</w:t>
      </w:r>
      <w:r w:rsidR="00BB53AD" w:rsidRPr="002873B5">
        <w:t xml:space="preserve"> assessing and</w:t>
      </w:r>
      <w:r w:rsidRPr="002873B5">
        <w:t xml:space="preserve"> judging the adequacy of </w:t>
      </w:r>
      <w:r w:rsidR="002B4C28">
        <w:t xml:space="preserve">standards, </w:t>
      </w:r>
      <w:proofErr w:type="gramStart"/>
      <w:r w:rsidR="002B4C28">
        <w:t>procedures</w:t>
      </w:r>
      <w:proofErr w:type="gramEnd"/>
      <w:r w:rsidR="002B4C28">
        <w:t xml:space="preserve"> and arrangements (SPA) </w:t>
      </w:r>
      <w:r w:rsidRPr="002873B5">
        <w:t xml:space="preserve">described in a dutyholder’s SP. </w:t>
      </w:r>
    </w:p>
    <w:p w14:paraId="48450E55" w14:textId="4296FE4A" w:rsidR="0042080F" w:rsidRPr="002873B5" w:rsidRDefault="0042080F" w:rsidP="006F68D7">
      <w:pPr>
        <w:pStyle w:val="Bulletlist1"/>
      </w:pPr>
      <w:r w:rsidRPr="002873B5">
        <w:t>Once a</w:t>
      </w:r>
      <w:r w:rsidR="005C6142" w:rsidRPr="002873B5">
        <w:t>n SP</w:t>
      </w:r>
      <w:r w:rsidRPr="002873B5">
        <w:t xml:space="preserve"> has been approved by ONR, this Technical Inspection Guide (TIG) assists inspectors in judging compliance against th</w:t>
      </w:r>
      <w:r w:rsidR="00BB53AD" w:rsidRPr="002873B5">
        <w:t>e</w:t>
      </w:r>
      <w:r w:rsidR="005310E9" w:rsidRPr="002873B5">
        <w:t xml:space="preserve"> </w:t>
      </w:r>
      <w:r w:rsidR="00D14DE0">
        <w:t xml:space="preserve">approved </w:t>
      </w:r>
      <w:r w:rsidRPr="002873B5">
        <w:t>SP.</w:t>
      </w:r>
    </w:p>
    <w:p w14:paraId="20EB9940" w14:textId="4E55C802" w:rsidR="005C0408" w:rsidRDefault="00B26E33" w:rsidP="00C82BBC">
      <w:pPr>
        <w:pStyle w:val="F9-Paragraph"/>
      </w:pPr>
      <w:r w:rsidRPr="00B26E33">
        <w:t xml:space="preserve">The purpose of this TIG is to facilitate a consistent and effective approach to inspecting compliance with SPA described in an approved </w:t>
      </w:r>
      <w:r w:rsidR="005C6142">
        <w:t>SP</w:t>
      </w:r>
      <w:r w:rsidRPr="00B26E33">
        <w:t>.</w:t>
      </w:r>
      <w:r w:rsidR="00C82BBC">
        <w:t xml:space="preserve"> It is applicable across the Nuclear Security purpose and therefore covers both Protective Security and Cyber Security and Information Assurance</w:t>
      </w:r>
      <w:r w:rsidR="0027180D">
        <w:t>,</w:t>
      </w:r>
      <w:r w:rsidR="00C82BBC">
        <w:t xml:space="preserve"> as well as their sub-specialisms.</w:t>
      </w:r>
    </w:p>
    <w:p w14:paraId="02206A6E" w14:textId="77777777" w:rsidR="005C0408" w:rsidRDefault="005C0408">
      <w:pPr>
        <w:spacing w:after="0" w:line="240" w:lineRule="auto"/>
      </w:pPr>
      <w:r>
        <w:br w:type="page"/>
      </w:r>
    </w:p>
    <w:p w14:paraId="546293A4" w14:textId="77777777" w:rsidR="008D49A5" w:rsidRDefault="008D49A5" w:rsidP="00EC7D83">
      <w:pPr>
        <w:pStyle w:val="Heading2"/>
        <w:ind w:hanging="792"/>
      </w:pPr>
      <w:bookmarkStart w:id="3" w:name="_Toc143174306"/>
      <w:r>
        <w:lastRenderedPageBreak/>
        <w:t>Scope and Applicability</w:t>
      </w:r>
      <w:bookmarkEnd w:id="3"/>
    </w:p>
    <w:p w14:paraId="47DAB906" w14:textId="4CD2E787" w:rsidR="00AB299B" w:rsidRPr="00102E82" w:rsidRDefault="00E024D9" w:rsidP="00AB299B">
      <w:pPr>
        <w:pStyle w:val="F9-Paragraph"/>
      </w:pPr>
      <w:r>
        <w:t>T</w:t>
      </w:r>
      <w:r w:rsidR="00AB299B" w:rsidRPr="00102E82">
        <w:t xml:space="preserve">his TIG is </w:t>
      </w:r>
      <w:r w:rsidR="00AB299B">
        <w:t xml:space="preserve">applicable </w:t>
      </w:r>
      <w:r w:rsidR="00AB299B" w:rsidRPr="00102E82">
        <w:t xml:space="preserve">to all </w:t>
      </w:r>
      <w:r w:rsidR="00AB299B">
        <w:t xml:space="preserve">ONR </w:t>
      </w:r>
      <w:r w:rsidR="00AB299B" w:rsidRPr="00102E82">
        <w:t>security</w:t>
      </w:r>
      <w:r w:rsidR="00AB299B">
        <w:t xml:space="preserve"> specialisms and sub-specialisms</w:t>
      </w:r>
      <w:r w:rsidR="00AB299B" w:rsidRPr="00102E82">
        <w:t>:</w:t>
      </w:r>
    </w:p>
    <w:p w14:paraId="0D7DA982" w14:textId="77777777" w:rsidR="00E7263B" w:rsidRDefault="00E7263B" w:rsidP="006F68D7">
      <w:pPr>
        <w:pStyle w:val="Bulletlist1"/>
      </w:pPr>
      <w:r>
        <w:t>Cyber Security and Information Assurance</w:t>
      </w:r>
    </w:p>
    <w:p w14:paraId="28DC97AD" w14:textId="77777777" w:rsidR="00E7263B" w:rsidRDefault="00E7263B" w:rsidP="006F68D7">
      <w:pPr>
        <w:pStyle w:val="Bulletlist2"/>
      </w:pPr>
      <w:r>
        <w:t>Cyber Security</w:t>
      </w:r>
    </w:p>
    <w:p w14:paraId="31B38B36" w14:textId="77777777" w:rsidR="00E7263B" w:rsidRDefault="00E7263B" w:rsidP="006F68D7">
      <w:pPr>
        <w:pStyle w:val="Bulletlist2"/>
      </w:pPr>
      <w:r>
        <w:t>Information Assurance</w:t>
      </w:r>
    </w:p>
    <w:p w14:paraId="4FF05568" w14:textId="77777777" w:rsidR="00E7263B" w:rsidRDefault="00E7263B" w:rsidP="006F68D7">
      <w:pPr>
        <w:pStyle w:val="Bulletlist2"/>
      </w:pPr>
      <w:r>
        <w:t>Supply Chain</w:t>
      </w:r>
    </w:p>
    <w:p w14:paraId="520958DD" w14:textId="77777777" w:rsidR="00E7263B" w:rsidRDefault="00E7263B" w:rsidP="006F68D7">
      <w:pPr>
        <w:pStyle w:val="Bulletlist1"/>
      </w:pPr>
      <w:r>
        <w:t>Protective Security</w:t>
      </w:r>
    </w:p>
    <w:p w14:paraId="4BA2E735" w14:textId="77777777" w:rsidR="00E7263B" w:rsidRDefault="00E7263B" w:rsidP="006F68D7">
      <w:pPr>
        <w:pStyle w:val="Bulletlist2"/>
      </w:pPr>
      <w:r>
        <w:t>Physical Security</w:t>
      </w:r>
    </w:p>
    <w:p w14:paraId="438CBCB0" w14:textId="77777777" w:rsidR="00E7263B" w:rsidRDefault="00E7263B" w:rsidP="006F68D7">
      <w:pPr>
        <w:pStyle w:val="Bulletlist2"/>
      </w:pPr>
      <w:r>
        <w:t>Transport Security</w:t>
      </w:r>
    </w:p>
    <w:p w14:paraId="092F7D03" w14:textId="77777777" w:rsidR="00E7263B" w:rsidRDefault="00E7263B" w:rsidP="006F68D7">
      <w:pPr>
        <w:pStyle w:val="Bulletlist2"/>
      </w:pPr>
      <w:r>
        <w:t>Personnel Security</w:t>
      </w:r>
    </w:p>
    <w:p w14:paraId="0EF5B8D7" w14:textId="166F8F57" w:rsidR="00E024D9" w:rsidRDefault="00E024D9" w:rsidP="00C57DBF">
      <w:pPr>
        <w:pStyle w:val="F9-Paragraph"/>
      </w:pPr>
      <w:r>
        <w:t xml:space="preserve">The term </w:t>
      </w:r>
      <w:r w:rsidRPr="00102E82">
        <w:t>“</w:t>
      </w:r>
      <w:r>
        <w:t>s</w:t>
      </w:r>
      <w:r w:rsidRPr="00102E82">
        <w:t xml:space="preserve">tandards, procedures and arrangements” (SPA) is used extensively throughout NISR 2003 in reference to nuclear </w:t>
      </w:r>
      <w:r w:rsidR="00DC7DA8">
        <w:t>premises</w:t>
      </w:r>
      <w:r w:rsidRPr="00102E82">
        <w:t>, approved carriers</w:t>
      </w:r>
      <w:r>
        <w:t>,</w:t>
      </w:r>
      <w:r w:rsidRPr="00102E82">
        <w:t xml:space="preserve"> and holders of </w:t>
      </w:r>
      <w:r>
        <w:t>SNI</w:t>
      </w:r>
      <w:r w:rsidRPr="00102E82">
        <w:t>. Full explanations and application can be found in NISR 2003</w:t>
      </w:r>
      <w:r w:rsidR="00A019AD">
        <w:t xml:space="preserve"> (Ref </w:t>
      </w:r>
      <w:sdt>
        <w:sdtPr>
          <w:id w:val="1511408628"/>
          <w:citation/>
        </w:sdtPr>
        <w:sdtContent>
          <w:r w:rsidR="00A019AD">
            <w:fldChar w:fldCharType="begin"/>
          </w:r>
          <w:r w:rsidR="00A019AD">
            <w:instrText xml:space="preserve"> CITATION NISR2003 \l 2057 </w:instrText>
          </w:r>
          <w:r w:rsidR="00A019AD">
            <w:fldChar w:fldCharType="separate"/>
          </w:r>
          <w:r w:rsidR="00F17111" w:rsidRPr="00F17111">
            <w:rPr>
              <w:noProof/>
            </w:rPr>
            <w:t>[1]</w:t>
          </w:r>
          <w:r w:rsidR="00A019AD">
            <w:fldChar w:fldCharType="end"/>
          </w:r>
        </w:sdtContent>
      </w:sdt>
      <w:r w:rsidR="00A019AD">
        <w:t>).</w:t>
      </w:r>
    </w:p>
    <w:p w14:paraId="6F0C6248" w14:textId="1D51DFB4" w:rsidR="00C57DBF" w:rsidRDefault="00C57DBF" w:rsidP="00C57DBF">
      <w:pPr>
        <w:pStyle w:val="F9-Paragraph"/>
      </w:pPr>
      <w:r>
        <w:t xml:space="preserve">The judgements made by the inspector will </w:t>
      </w:r>
      <w:r w:rsidR="001254B8">
        <w:t xml:space="preserve">relate </w:t>
      </w:r>
      <w:r>
        <w:t xml:space="preserve">primarily to implementation of </w:t>
      </w:r>
      <w:r w:rsidR="00FE2BEE">
        <w:t>SPA</w:t>
      </w:r>
      <w:r>
        <w:t xml:space="preserve"> described in the </w:t>
      </w:r>
      <w:r w:rsidR="004E028B">
        <w:t>SP,</w:t>
      </w:r>
      <w:r>
        <w:t xml:space="preserve"> to ensure that </w:t>
      </w:r>
      <w:r w:rsidR="00740E88">
        <w:t xml:space="preserve">the written claims, </w:t>
      </w:r>
      <w:proofErr w:type="gramStart"/>
      <w:r w:rsidR="00740E88">
        <w:t>arguments</w:t>
      </w:r>
      <w:proofErr w:type="gramEnd"/>
      <w:r w:rsidR="00740E88">
        <w:t xml:space="preserve"> and evidence </w:t>
      </w:r>
      <w:r w:rsidR="00DC628B">
        <w:t xml:space="preserve">(CAE) </w:t>
      </w:r>
      <w:r w:rsidR="00740E88">
        <w:t>are fully demonstrated on the ground</w:t>
      </w:r>
      <w:r>
        <w:t>. This guide will assist in making consistent regulatory judgements and decisions.</w:t>
      </w:r>
    </w:p>
    <w:p w14:paraId="79B9CF4B" w14:textId="14B50D89" w:rsidR="004F125E" w:rsidRDefault="00C57DBF" w:rsidP="009A479A">
      <w:pPr>
        <w:pStyle w:val="F9-Paragraph"/>
      </w:pPr>
      <w:r>
        <w:t xml:space="preserve">Inspectors are reminded that </w:t>
      </w:r>
      <w:r w:rsidR="00740E88">
        <w:t xml:space="preserve">an </w:t>
      </w:r>
      <w:r>
        <w:t xml:space="preserve">inspection may reasonably require review of the </w:t>
      </w:r>
      <w:r w:rsidR="004E028B">
        <w:t xml:space="preserve">described </w:t>
      </w:r>
      <w:r>
        <w:t xml:space="preserve">SPA </w:t>
      </w:r>
      <w:r w:rsidR="00FE2BEE">
        <w:t xml:space="preserve">themselves </w:t>
      </w:r>
      <w:r w:rsidR="000C6599">
        <w:t>(as distinct from their implementation)</w:t>
      </w:r>
      <w:r w:rsidR="004F125E">
        <w:t>.</w:t>
      </w:r>
      <w:r>
        <w:t xml:space="preserve"> As ONR takes a sampling approach to regulation, it is possible that elements of an approved </w:t>
      </w:r>
      <w:r w:rsidR="00F022A5">
        <w:t>SP</w:t>
      </w:r>
      <w:r>
        <w:t xml:space="preserve"> </w:t>
      </w:r>
      <w:r w:rsidR="00B8043C">
        <w:t xml:space="preserve">have not </w:t>
      </w:r>
      <w:r w:rsidR="00971702">
        <w:t xml:space="preserve">previously </w:t>
      </w:r>
      <w:r w:rsidR="00B8043C">
        <w:t xml:space="preserve">been </w:t>
      </w:r>
      <w:r>
        <w:t>assess</w:t>
      </w:r>
      <w:r w:rsidR="00B8043C">
        <w:t>ed</w:t>
      </w:r>
      <w:r>
        <w:t xml:space="preserve">. </w:t>
      </w:r>
      <w:r w:rsidR="00596CED">
        <w:t xml:space="preserve">It is also possible that a </w:t>
      </w:r>
      <w:r w:rsidR="00A12AF0">
        <w:t xml:space="preserve">security </w:t>
      </w:r>
      <w:r w:rsidR="00596CED">
        <w:t xml:space="preserve">situation may evolve over time. </w:t>
      </w:r>
      <w:r>
        <w:t>Therefore, when reviewing or inspecting evidence as part of a</w:t>
      </w:r>
      <w:r w:rsidR="008A29C4">
        <w:t xml:space="preserve"> compliance inspection</w:t>
      </w:r>
      <w:r>
        <w:t xml:space="preserve">, inspectors may </w:t>
      </w:r>
      <w:r w:rsidR="004F125E">
        <w:t xml:space="preserve">also </w:t>
      </w:r>
      <w:r>
        <w:t xml:space="preserve">form judgements on the adequacy of the SPA described in the approved </w:t>
      </w:r>
      <w:r w:rsidR="000C6599">
        <w:t>SP</w:t>
      </w:r>
      <w:r>
        <w:t>.</w:t>
      </w:r>
    </w:p>
    <w:p w14:paraId="492369AE" w14:textId="438DA045" w:rsidR="00C57DBF" w:rsidRPr="004F125E" w:rsidRDefault="004F125E" w:rsidP="00A01418">
      <w:pPr>
        <w:pStyle w:val="F9-Paragraph"/>
      </w:pPr>
      <w:r>
        <w:t xml:space="preserve">Straightforward judgements might be addressable as part of the inspection, </w:t>
      </w:r>
      <w:r w:rsidR="00341318">
        <w:t>(</w:t>
      </w:r>
      <w:r>
        <w:t xml:space="preserve">for instance through updating supporting documentation referenced in the SP </w:t>
      </w:r>
      <w:proofErr w:type="gramStart"/>
      <w:r>
        <w:t>e.g.</w:t>
      </w:r>
      <w:proofErr w:type="gramEnd"/>
      <w:r>
        <w:t xml:space="preserve"> local working instructions)</w:t>
      </w:r>
      <w:r w:rsidR="00341318">
        <w:t xml:space="preserve"> or through raising a regulatory issue</w:t>
      </w:r>
      <w:r>
        <w:t xml:space="preserve">. Alternatively, inspector observations can </w:t>
      </w:r>
      <w:r w:rsidR="00740E88">
        <w:t xml:space="preserve">provide regulatory intelligence which </w:t>
      </w:r>
      <w:r>
        <w:t>assist</w:t>
      </w:r>
      <w:r w:rsidR="00740E88">
        <w:t>s</w:t>
      </w:r>
      <w:r>
        <w:t xml:space="preserve"> in targeting </w:t>
      </w:r>
      <w:r w:rsidR="0081376A" w:rsidRPr="004F125E">
        <w:t xml:space="preserve">future </w:t>
      </w:r>
      <w:r>
        <w:t xml:space="preserve">ONR </w:t>
      </w:r>
      <w:r w:rsidR="0081376A" w:rsidRPr="004F125E">
        <w:t>assessment activity</w:t>
      </w:r>
      <w:r w:rsidR="0081376A" w:rsidRPr="004F125E">
        <w:rPr>
          <w:i/>
          <w:iCs/>
        </w:rPr>
        <w:t>.</w:t>
      </w:r>
      <w:r w:rsidR="0081376A" w:rsidRPr="004F125E">
        <w:t xml:space="preserve"> </w:t>
      </w:r>
      <w:r w:rsidR="00C57DBF" w:rsidRPr="004F125E">
        <w:t>SyAPs (</w:t>
      </w:r>
      <w:r w:rsidR="00740E88">
        <w:t>Regulatory Assessment of Security Plans (</w:t>
      </w:r>
      <w:proofErr w:type="spellStart"/>
      <w:r w:rsidR="00C57DBF" w:rsidRPr="004F125E">
        <w:t>RAS</w:t>
      </w:r>
      <w:r w:rsidR="00740E88">
        <w:t>y</w:t>
      </w:r>
      <w:r w:rsidR="00C57DBF" w:rsidRPr="004F125E">
        <w:t>P</w:t>
      </w:r>
      <w:proofErr w:type="spellEnd"/>
      <w:r w:rsidR="00740E88">
        <w:t>)</w:t>
      </w:r>
      <w:r w:rsidR="00C57DBF" w:rsidRPr="004F125E">
        <w:t xml:space="preserve"> 7 – Security Plan Maintenance) advises that a</w:t>
      </w:r>
      <w:r w:rsidR="00086931" w:rsidRPr="004F125E">
        <w:t>n</w:t>
      </w:r>
      <w:r w:rsidR="00C57DBF" w:rsidRPr="004F125E">
        <w:t xml:space="preserve"> </w:t>
      </w:r>
      <w:r w:rsidR="00086931" w:rsidRPr="004F125E">
        <w:t xml:space="preserve">SP </w:t>
      </w:r>
      <w:r w:rsidR="00C57DBF" w:rsidRPr="004F125E">
        <w:t>should be actively maintained and reviewed regularly, and dutyholders should welcome regulatory input in the interests of continuous improvement.</w:t>
      </w:r>
    </w:p>
    <w:p w14:paraId="6E9A060F" w14:textId="291115A6" w:rsidR="00C57DBF" w:rsidRDefault="00C57DBF" w:rsidP="00C57DBF">
      <w:pPr>
        <w:pStyle w:val="F9-Paragraph"/>
      </w:pPr>
      <w:r>
        <w:lastRenderedPageBreak/>
        <w:t xml:space="preserve">This TIG should not be regarded as either comprehensive or </w:t>
      </w:r>
      <w:proofErr w:type="gramStart"/>
      <w:r>
        <w:t>mandatory, but</w:t>
      </w:r>
      <w:proofErr w:type="gramEnd"/>
      <w:r>
        <w:t xml:space="preserve"> provides a framework for inspectors on which to base their judgements and discretion during such inspections.</w:t>
      </w:r>
    </w:p>
    <w:p w14:paraId="5300D1EE" w14:textId="58CBF1CB" w:rsidR="007968CA" w:rsidRDefault="008D49A5" w:rsidP="00EC7D83">
      <w:pPr>
        <w:pStyle w:val="Heading2"/>
        <w:ind w:hanging="792"/>
      </w:pPr>
      <w:bookmarkStart w:id="4" w:name="_Toc143174307"/>
      <w:r>
        <w:t>Definitions</w:t>
      </w:r>
      <w:bookmarkEnd w:id="4"/>
    </w:p>
    <w:p w14:paraId="2514A5D4" w14:textId="3A6C4B4C" w:rsidR="00D80F2E" w:rsidRDefault="00D80F2E" w:rsidP="00770AE5">
      <w:pPr>
        <w:pStyle w:val="F9-Paragraph"/>
      </w:pPr>
      <w:r>
        <w:t xml:space="preserve">Within this document, the term </w:t>
      </w:r>
      <w:r w:rsidR="0069154B">
        <w:t>security plan (</w:t>
      </w:r>
      <w:r>
        <w:t>SP</w:t>
      </w:r>
      <w:r w:rsidR="0069154B">
        <w:t>)</w:t>
      </w:r>
      <w:r>
        <w:t xml:space="preserve"> refers primarily to site security plans required under NISR </w:t>
      </w:r>
      <w:r w:rsidR="00967C6A">
        <w:t xml:space="preserve">2003 </w:t>
      </w:r>
      <w:r w:rsidR="00A019AD">
        <w:t xml:space="preserve">(Ref </w:t>
      </w:r>
      <w:sdt>
        <w:sdtPr>
          <w:id w:val="82956758"/>
          <w:citation/>
        </w:sdtPr>
        <w:sdtContent>
          <w:r w:rsidR="00A019AD">
            <w:fldChar w:fldCharType="begin"/>
          </w:r>
          <w:r w:rsidR="00A019AD">
            <w:instrText xml:space="preserve"> CITATION NISR2003 \l 2057 </w:instrText>
          </w:r>
          <w:r w:rsidR="00A019AD">
            <w:fldChar w:fldCharType="separate"/>
          </w:r>
          <w:r w:rsidR="00F17111" w:rsidRPr="00F17111">
            <w:rPr>
              <w:noProof/>
            </w:rPr>
            <w:t>[1]</w:t>
          </w:r>
          <w:r w:rsidR="00A019AD">
            <w:fldChar w:fldCharType="end"/>
          </w:r>
        </w:sdtContent>
      </w:sdt>
      <w:r w:rsidR="00A019AD">
        <w:t xml:space="preserve">) </w:t>
      </w:r>
      <w:r>
        <w:t>Regulation 4</w:t>
      </w:r>
      <w:r w:rsidR="00BD626B">
        <w:t>,</w:t>
      </w:r>
      <w:r>
        <w:t xml:space="preserve"> and </w:t>
      </w:r>
      <w:r w:rsidR="00D472AC">
        <w:t>T</w:t>
      </w:r>
      <w:r>
        <w:t xml:space="preserve">ransport </w:t>
      </w:r>
      <w:r w:rsidR="00D472AC">
        <w:t>S</w:t>
      </w:r>
      <w:r>
        <w:t xml:space="preserve">ecurity </w:t>
      </w:r>
      <w:r w:rsidR="00D472AC">
        <w:t>S</w:t>
      </w:r>
      <w:r>
        <w:t xml:space="preserve">tatements </w:t>
      </w:r>
      <w:r w:rsidR="00B96CBD">
        <w:t xml:space="preserve">(TSS) </w:t>
      </w:r>
      <w:r>
        <w:t xml:space="preserve">required under Regulation 16. It may also apply to written </w:t>
      </w:r>
      <w:r w:rsidR="00496F26">
        <w:t>c</w:t>
      </w:r>
      <w:r>
        <w:t xml:space="preserve">yber security and information assurance arrangements adopted by Regulation 22 dutyholders. </w:t>
      </w:r>
    </w:p>
    <w:p w14:paraId="3FE40DB4" w14:textId="1C206043" w:rsidR="00F32746" w:rsidRPr="00067CB6" w:rsidRDefault="00D80F2E" w:rsidP="00B05296">
      <w:pPr>
        <w:pStyle w:val="F9-Paragraph"/>
        <w:rPr>
          <w:b/>
        </w:rPr>
      </w:pPr>
      <w:r>
        <w:t xml:space="preserve">The term </w:t>
      </w:r>
      <w:r w:rsidR="00180622">
        <w:t>s</w:t>
      </w:r>
      <w:r>
        <w:t xml:space="preserve">tandards, </w:t>
      </w:r>
      <w:proofErr w:type="gramStart"/>
      <w:r w:rsidR="00180622">
        <w:t>p</w:t>
      </w:r>
      <w:r>
        <w:t>rocedures</w:t>
      </w:r>
      <w:proofErr w:type="gramEnd"/>
      <w:r>
        <w:t xml:space="preserve"> and </w:t>
      </w:r>
      <w:r w:rsidR="00180622">
        <w:t>a</w:t>
      </w:r>
      <w:r>
        <w:t>rrangements (SPA) refers to the totality of a SP</w:t>
      </w:r>
      <w:r w:rsidR="00067CB6">
        <w:t>, including SPA explicitly detailed within, relied upon, or referenced by, the plan</w:t>
      </w:r>
      <w:r>
        <w:t xml:space="preserve">. </w:t>
      </w:r>
      <w:r w:rsidR="00A93C62">
        <w:t>For example (not exhaustive) i</w:t>
      </w:r>
      <w:r>
        <w:t>t can be interpreted to cover</w:t>
      </w:r>
      <w:r w:rsidR="00F32746">
        <w:t>:</w:t>
      </w:r>
    </w:p>
    <w:p w14:paraId="1E105364" w14:textId="1EDE2BC9" w:rsidR="00F32746" w:rsidRPr="002873B5" w:rsidRDefault="00D80F2E" w:rsidP="006F68D7">
      <w:pPr>
        <w:pStyle w:val="Bulletlist1"/>
        <w:rPr>
          <w:b/>
        </w:rPr>
      </w:pPr>
      <w:r w:rsidRPr="00C70DA1">
        <w:t>any</w:t>
      </w:r>
      <w:r>
        <w:t xml:space="preserve"> Security </w:t>
      </w:r>
      <w:r w:rsidR="004F125E">
        <w:t xml:space="preserve">System, </w:t>
      </w:r>
      <w:r>
        <w:t>Structure or Component (</w:t>
      </w:r>
      <w:proofErr w:type="spellStart"/>
      <w:r>
        <w:t>SySSC</w:t>
      </w:r>
      <w:proofErr w:type="spellEnd"/>
      <w:r>
        <w:t>) such as a</w:t>
      </w:r>
      <w:r w:rsidR="00767811">
        <w:t>n intrusion detection system</w:t>
      </w:r>
      <w:r>
        <w:t xml:space="preserve">, </w:t>
      </w:r>
      <w:r w:rsidR="004F125E">
        <w:t>IT</w:t>
      </w:r>
      <w:r w:rsidR="001B76BA">
        <w:t xml:space="preserve"> </w:t>
      </w:r>
      <w:r w:rsidR="00565A19">
        <w:t xml:space="preserve">network </w:t>
      </w:r>
      <w:r w:rsidR="001A2A77">
        <w:t>firewall</w:t>
      </w:r>
      <w:r w:rsidR="00767811">
        <w:t>,</w:t>
      </w:r>
      <w:r w:rsidR="00EA78EC">
        <w:t xml:space="preserve"> or sec</w:t>
      </w:r>
      <w:r w:rsidR="001B76BA">
        <w:t>urity camera</w:t>
      </w:r>
      <w:r>
        <w:t xml:space="preserve"> </w:t>
      </w:r>
      <w:r w:rsidR="00597644">
        <w:t>etc.</w:t>
      </w:r>
      <w:r>
        <w:t xml:space="preserve"> </w:t>
      </w:r>
    </w:p>
    <w:p w14:paraId="26DBFC89" w14:textId="4E8AE353" w:rsidR="00F32746" w:rsidRPr="00F32746" w:rsidRDefault="00D80F2E" w:rsidP="006F68D7">
      <w:pPr>
        <w:pStyle w:val="Bulletlist1"/>
        <w:rPr>
          <w:b/>
        </w:rPr>
      </w:pPr>
      <w:r>
        <w:t xml:space="preserve">any Task Important to Nuclear Security (TINS) such as the </w:t>
      </w:r>
      <w:r w:rsidR="00CD125F">
        <w:t xml:space="preserve">conduct of </w:t>
      </w:r>
      <w:r w:rsidR="005A081F">
        <w:t xml:space="preserve">vetting </w:t>
      </w:r>
      <w:r w:rsidR="00CD125F">
        <w:t>checks</w:t>
      </w:r>
      <w:r w:rsidR="0069154B">
        <w:t>,</w:t>
      </w:r>
      <w:r w:rsidR="004F125E">
        <w:t xml:space="preserve"> IT</w:t>
      </w:r>
      <w:r w:rsidR="0069154B">
        <w:t xml:space="preserve"> </w:t>
      </w:r>
      <w:r w:rsidR="00B36B15">
        <w:t xml:space="preserve">network monitoring, </w:t>
      </w:r>
      <w:r w:rsidR="001B76BA">
        <w:t xml:space="preserve">or </w:t>
      </w:r>
      <w:r>
        <w:t>conduct of searching etc</w:t>
      </w:r>
      <w:r w:rsidR="00C06DE0">
        <w:t>.</w:t>
      </w:r>
      <w:r>
        <w:t xml:space="preserve"> </w:t>
      </w:r>
    </w:p>
    <w:p w14:paraId="2307D7C2" w14:textId="4634CC22" w:rsidR="008D49A5" w:rsidRPr="001D1BB5" w:rsidRDefault="00D80F2E" w:rsidP="006F68D7">
      <w:pPr>
        <w:pStyle w:val="Bulletlist1"/>
        <w:rPr>
          <w:b/>
        </w:rPr>
      </w:pPr>
      <w:r>
        <w:t xml:space="preserve">any standard such as </w:t>
      </w:r>
      <w:r w:rsidR="00F32746">
        <w:t xml:space="preserve">a </w:t>
      </w:r>
      <w:r>
        <w:t>social media policy</w:t>
      </w:r>
      <w:r w:rsidR="00BA7260">
        <w:t>, homeworking policy</w:t>
      </w:r>
      <w:r w:rsidR="00465812">
        <w:t xml:space="preserve"> etc</w:t>
      </w:r>
      <w:r>
        <w:t>.</w:t>
      </w:r>
    </w:p>
    <w:p w14:paraId="398D0405" w14:textId="5D7833BE" w:rsidR="001D1BB5" w:rsidRPr="00967C6A" w:rsidRDefault="001D1BB5" w:rsidP="00967C6A">
      <w:pPr>
        <w:pStyle w:val="F9-Paragraph"/>
        <w:rPr>
          <w:bCs/>
        </w:rPr>
      </w:pPr>
      <w:r w:rsidRPr="001D1BB5">
        <w:rPr>
          <w:bCs/>
        </w:rPr>
        <w:t>The term ‘dutyholder’ is used to define ‘responsible persons’ on civil nuclear licensed sites and other nuclear premises subject to security regulation</w:t>
      </w:r>
      <w:r w:rsidR="00535F7A">
        <w:rPr>
          <w:bCs/>
        </w:rPr>
        <w:t>;</w:t>
      </w:r>
      <w:r w:rsidRPr="001D1BB5">
        <w:rPr>
          <w:bCs/>
        </w:rPr>
        <w:t xml:space="preserve"> a ‘developer’ carrying out work on a nuclear construction site</w:t>
      </w:r>
      <w:r w:rsidR="00535F7A">
        <w:rPr>
          <w:bCs/>
        </w:rPr>
        <w:t>;</w:t>
      </w:r>
      <w:r w:rsidRPr="001D1BB5">
        <w:rPr>
          <w:bCs/>
        </w:rPr>
        <w:t xml:space="preserve"> approved carriers, as defined in NISR 2003</w:t>
      </w:r>
      <w:r w:rsidR="00535F7A">
        <w:rPr>
          <w:bCs/>
        </w:rPr>
        <w:t>; and</w:t>
      </w:r>
      <w:r w:rsidRPr="001D1BB5">
        <w:rPr>
          <w:bCs/>
        </w:rPr>
        <w:t xml:space="preserve"> those</w:t>
      </w:r>
      <w:r w:rsidR="00F5623B" w:rsidRPr="00F5623B">
        <w:rPr>
          <w:bCs/>
        </w:rPr>
        <w:t xml:space="preserve"> handling, </w:t>
      </w:r>
      <w:proofErr w:type="gramStart"/>
      <w:r w:rsidR="00F5623B" w:rsidRPr="00F5623B">
        <w:rPr>
          <w:bCs/>
        </w:rPr>
        <w:t>storing</w:t>
      </w:r>
      <w:proofErr w:type="gramEnd"/>
      <w:r w:rsidR="00F5623B" w:rsidRPr="00F5623B">
        <w:rPr>
          <w:bCs/>
        </w:rPr>
        <w:t xml:space="preserve"> and processing (or proposing to do so) </w:t>
      </w:r>
      <w:r w:rsidRPr="001D1BB5">
        <w:rPr>
          <w:bCs/>
        </w:rPr>
        <w:t>SNI.</w:t>
      </w:r>
    </w:p>
    <w:p w14:paraId="1AC3A327" w14:textId="47E1B5DB" w:rsidR="008D49A5" w:rsidRDefault="008D49A5" w:rsidP="008D49A5">
      <w:pPr>
        <w:pStyle w:val="Caption"/>
        <w:keepNext/>
      </w:pPr>
      <w:r>
        <w:t xml:space="preserve">Table </w:t>
      </w:r>
      <w:r w:rsidR="009156CC">
        <w:t>1</w:t>
      </w:r>
      <w:r>
        <w:t xml:space="preserve"> </w:t>
      </w:r>
      <w:r w:rsidR="00DA69C2">
        <w:t>–</w:t>
      </w:r>
      <w:r>
        <w:t xml:space="preserve"> Table</w:t>
      </w:r>
      <w:r w:rsidR="00DA69C2">
        <w:t xml:space="preserve"> </w:t>
      </w:r>
      <w:r>
        <w:t xml:space="preserve">of </w:t>
      </w:r>
      <w:r w:rsidR="00BB53AD">
        <w:t>Acronyms</w:t>
      </w:r>
    </w:p>
    <w:tbl>
      <w:tblPr>
        <w:tblStyle w:val="ONRTable1"/>
        <w:tblW w:w="5000" w:type="pct"/>
        <w:tblInd w:w="0" w:type="dxa"/>
        <w:tblLook w:val="04A0" w:firstRow="1" w:lastRow="0" w:firstColumn="1" w:lastColumn="0" w:noHBand="0" w:noVBand="1"/>
      </w:tblPr>
      <w:tblGrid>
        <w:gridCol w:w="2757"/>
        <w:gridCol w:w="6269"/>
      </w:tblGrid>
      <w:tr w:rsidR="008D49A5" w14:paraId="041543F5" w14:textId="77777777" w:rsidTr="00821337">
        <w:trPr>
          <w:cnfStyle w:val="100000000000" w:firstRow="1" w:lastRow="0" w:firstColumn="0" w:lastColumn="0" w:oddVBand="0" w:evenVBand="0" w:oddHBand="0" w:evenHBand="0" w:firstRowFirstColumn="0" w:firstRowLastColumn="0" w:lastRowFirstColumn="0" w:lastRowLastColumn="0"/>
          <w:tblHeader/>
        </w:trPr>
        <w:tc>
          <w:tcPr>
            <w:tcW w:w="1527" w:type="pct"/>
            <w:hideMark/>
          </w:tcPr>
          <w:p w14:paraId="59486AB2" w14:textId="097A719D" w:rsidR="008D49A5" w:rsidRDefault="008D49A5" w:rsidP="003401B0">
            <w:pPr>
              <w:pStyle w:val="TableText"/>
            </w:pPr>
            <w:r>
              <w:t>Term/Acronym</w:t>
            </w:r>
          </w:p>
        </w:tc>
        <w:tc>
          <w:tcPr>
            <w:tcW w:w="3473" w:type="pct"/>
          </w:tcPr>
          <w:p w14:paraId="4A320AC0" w14:textId="6A83D99E" w:rsidR="008D49A5" w:rsidRDefault="008D49A5" w:rsidP="003401B0">
            <w:pPr>
              <w:pStyle w:val="TableText"/>
            </w:pPr>
            <w:r>
              <w:t>Description</w:t>
            </w:r>
          </w:p>
        </w:tc>
      </w:tr>
      <w:tr w:rsidR="006E6AD1" w14:paraId="204850F5" w14:textId="77777777" w:rsidTr="009E0E52">
        <w:tc>
          <w:tcPr>
            <w:tcW w:w="1527" w:type="pct"/>
          </w:tcPr>
          <w:p w14:paraId="2163D2BB" w14:textId="3E5FB163" w:rsidR="006E6AD1" w:rsidRDefault="006E6AD1" w:rsidP="003401B0">
            <w:pPr>
              <w:pStyle w:val="TableText"/>
            </w:pPr>
            <w:r>
              <w:t>CAE</w:t>
            </w:r>
          </w:p>
        </w:tc>
        <w:tc>
          <w:tcPr>
            <w:tcW w:w="3473" w:type="pct"/>
          </w:tcPr>
          <w:p w14:paraId="0D982175" w14:textId="4116EF5A" w:rsidR="006E6AD1" w:rsidRDefault="006E6AD1" w:rsidP="003401B0">
            <w:pPr>
              <w:pStyle w:val="TableText"/>
            </w:pPr>
            <w:r>
              <w:t>Claims, Arguments and Evidence</w:t>
            </w:r>
          </w:p>
        </w:tc>
      </w:tr>
      <w:tr w:rsidR="00F4423C" w14:paraId="50134B81" w14:textId="77777777" w:rsidTr="009E0E52">
        <w:tc>
          <w:tcPr>
            <w:tcW w:w="1527" w:type="pct"/>
          </w:tcPr>
          <w:p w14:paraId="66855C96" w14:textId="3AE34D00" w:rsidR="00F4423C" w:rsidRDefault="00F4423C" w:rsidP="003401B0">
            <w:pPr>
              <w:pStyle w:val="TableText"/>
            </w:pPr>
            <w:r>
              <w:t>FSyP</w:t>
            </w:r>
          </w:p>
        </w:tc>
        <w:tc>
          <w:tcPr>
            <w:tcW w:w="3473" w:type="pct"/>
          </w:tcPr>
          <w:p w14:paraId="253DD4A4" w14:textId="35B6A55B" w:rsidR="00F4423C" w:rsidRDefault="00F4423C" w:rsidP="003401B0">
            <w:pPr>
              <w:pStyle w:val="TableText"/>
            </w:pPr>
            <w:r>
              <w:t>Fundamental Security Principles (under SyAPs)</w:t>
            </w:r>
          </w:p>
        </w:tc>
      </w:tr>
      <w:tr w:rsidR="00F4423C" w14:paraId="752F415A" w14:textId="77777777" w:rsidTr="009E0E52">
        <w:tc>
          <w:tcPr>
            <w:tcW w:w="1527" w:type="pct"/>
          </w:tcPr>
          <w:p w14:paraId="4EBEF691" w14:textId="6C3AEF82" w:rsidR="00F4423C" w:rsidRDefault="00F4423C" w:rsidP="003401B0">
            <w:pPr>
              <w:pStyle w:val="TableText"/>
            </w:pPr>
            <w:proofErr w:type="spellStart"/>
            <w:r>
              <w:t>KSyPP</w:t>
            </w:r>
            <w:proofErr w:type="spellEnd"/>
          </w:p>
        </w:tc>
        <w:tc>
          <w:tcPr>
            <w:tcW w:w="3473" w:type="pct"/>
          </w:tcPr>
          <w:p w14:paraId="0F060660" w14:textId="52DF971D" w:rsidR="00F4423C" w:rsidRDefault="00F4423C" w:rsidP="003401B0">
            <w:pPr>
              <w:pStyle w:val="TableText"/>
            </w:pPr>
            <w:r>
              <w:t>Key Security Plan Principles (under SyAPs)</w:t>
            </w:r>
          </w:p>
        </w:tc>
      </w:tr>
      <w:tr w:rsidR="006E6AD1" w14:paraId="153B6842" w14:textId="77777777" w:rsidTr="00A527D9">
        <w:tc>
          <w:tcPr>
            <w:tcW w:w="1527" w:type="pct"/>
          </w:tcPr>
          <w:p w14:paraId="00182F22" w14:textId="77777777" w:rsidR="006E6AD1" w:rsidRDefault="006E6AD1" w:rsidP="00A527D9">
            <w:pPr>
              <w:pStyle w:val="TableText"/>
            </w:pPr>
            <w:r>
              <w:t>NISR 2003</w:t>
            </w:r>
          </w:p>
        </w:tc>
        <w:tc>
          <w:tcPr>
            <w:tcW w:w="3473" w:type="pct"/>
          </w:tcPr>
          <w:p w14:paraId="3AD4EAAB" w14:textId="0AC3D1A1" w:rsidR="006E6AD1" w:rsidRDefault="00971A6A" w:rsidP="00A527D9">
            <w:pPr>
              <w:pStyle w:val="TableText"/>
            </w:pPr>
            <w:r>
              <w:t xml:space="preserve">The </w:t>
            </w:r>
            <w:r w:rsidR="006E6AD1">
              <w:t>Nuclear Industries Security Regulations 2003</w:t>
            </w:r>
          </w:p>
        </w:tc>
      </w:tr>
      <w:tr w:rsidR="00332E96" w14:paraId="654B8370" w14:textId="77777777" w:rsidTr="00A527D9">
        <w:tc>
          <w:tcPr>
            <w:tcW w:w="1527" w:type="pct"/>
          </w:tcPr>
          <w:p w14:paraId="580A5580" w14:textId="60229F84" w:rsidR="00332E96" w:rsidRDefault="00332E96" w:rsidP="00A527D9">
            <w:pPr>
              <w:pStyle w:val="TableText"/>
            </w:pPr>
            <w:r>
              <w:t>NM</w:t>
            </w:r>
          </w:p>
        </w:tc>
        <w:tc>
          <w:tcPr>
            <w:tcW w:w="3473" w:type="pct"/>
          </w:tcPr>
          <w:p w14:paraId="1F7EFA0D" w14:textId="5BF1D019" w:rsidR="00332E96" w:rsidRDefault="00332E96" w:rsidP="00A527D9">
            <w:pPr>
              <w:pStyle w:val="TableText"/>
            </w:pPr>
            <w:r>
              <w:t>Nuclear Material</w:t>
            </w:r>
          </w:p>
        </w:tc>
      </w:tr>
      <w:tr w:rsidR="00332E96" w14:paraId="79608738" w14:textId="77777777" w:rsidTr="00A527D9">
        <w:tc>
          <w:tcPr>
            <w:tcW w:w="1527" w:type="pct"/>
          </w:tcPr>
          <w:p w14:paraId="36C4965D" w14:textId="48B41034" w:rsidR="00332E96" w:rsidRDefault="00332E96" w:rsidP="00A527D9">
            <w:pPr>
              <w:pStyle w:val="TableText"/>
            </w:pPr>
            <w:r>
              <w:t>ORM</w:t>
            </w:r>
          </w:p>
        </w:tc>
        <w:tc>
          <w:tcPr>
            <w:tcW w:w="3473" w:type="pct"/>
          </w:tcPr>
          <w:p w14:paraId="2EC93E1C" w14:textId="307C9A94" w:rsidR="00332E96" w:rsidRDefault="00332E96" w:rsidP="00A527D9">
            <w:pPr>
              <w:pStyle w:val="TableText"/>
            </w:pPr>
            <w:r>
              <w:t>Other Radioactive Material</w:t>
            </w:r>
          </w:p>
        </w:tc>
      </w:tr>
      <w:tr w:rsidR="00F4423C" w14:paraId="1EC924A1" w14:textId="77777777" w:rsidTr="00A527D9">
        <w:tc>
          <w:tcPr>
            <w:tcW w:w="1527" w:type="pct"/>
          </w:tcPr>
          <w:p w14:paraId="0B71722D" w14:textId="72EA4B10" w:rsidR="00F4423C" w:rsidRDefault="00F4423C" w:rsidP="00A527D9">
            <w:pPr>
              <w:pStyle w:val="TableText"/>
            </w:pPr>
            <w:proofErr w:type="spellStart"/>
            <w:r>
              <w:t>RASyP</w:t>
            </w:r>
            <w:proofErr w:type="spellEnd"/>
          </w:p>
        </w:tc>
        <w:tc>
          <w:tcPr>
            <w:tcW w:w="3473" w:type="pct"/>
          </w:tcPr>
          <w:p w14:paraId="1A35D8C1" w14:textId="1B346C1C" w:rsidR="00F4423C" w:rsidRDefault="00F4423C" w:rsidP="00A527D9">
            <w:pPr>
              <w:pStyle w:val="TableText"/>
            </w:pPr>
            <w:r>
              <w:t>Regulatory Assessment of Security Plans (under SyAPs)</w:t>
            </w:r>
          </w:p>
        </w:tc>
      </w:tr>
      <w:tr w:rsidR="006A3E1B" w14:paraId="4E81D1F6" w14:textId="77777777" w:rsidTr="00B76034">
        <w:tc>
          <w:tcPr>
            <w:tcW w:w="1527" w:type="pct"/>
          </w:tcPr>
          <w:p w14:paraId="616CFE16" w14:textId="73722C17" w:rsidR="006A3E1B" w:rsidRDefault="006A3E1B" w:rsidP="00B76034">
            <w:pPr>
              <w:pStyle w:val="TableText"/>
            </w:pPr>
            <w:r>
              <w:t>REDE</w:t>
            </w:r>
          </w:p>
        </w:tc>
        <w:tc>
          <w:tcPr>
            <w:tcW w:w="3473" w:type="pct"/>
          </w:tcPr>
          <w:p w14:paraId="2D5C71AD" w14:textId="6D8CD479" w:rsidR="006A3E1B" w:rsidRDefault="00DC5DB6" w:rsidP="00B76034">
            <w:pPr>
              <w:pStyle w:val="TableText"/>
            </w:pPr>
            <w:r w:rsidRPr="00DC5DB6">
              <w:t>Regulator Evaluated Demonstration Exercises</w:t>
            </w:r>
          </w:p>
        </w:tc>
      </w:tr>
      <w:tr w:rsidR="00AC13B6" w14:paraId="6BFDC5D8" w14:textId="77777777" w:rsidTr="00A527D9">
        <w:tc>
          <w:tcPr>
            <w:tcW w:w="1527" w:type="pct"/>
          </w:tcPr>
          <w:p w14:paraId="6E68CE0E" w14:textId="5809DE2C" w:rsidR="00AC13B6" w:rsidRDefault="00AC13B6" w:rsidP="00A527D9">
            <w:pPr>
              <w:pStyle w:val="TableText"/>
            </w:pPr>
            <w:r>
              <w:lastRenderedPageBreak/>
              <w:t>SAPs</w:t>
            </w:r>
          </w:p>
        </w:tc>
        <w:tc>
          <w:tcPr>
            <w:tcW w:w="3473" w:type="pct"/>
          </w:tcPr>
          <w:p w14:paraId="45B5D6C9" w14:textId="2DC7DC40" w:rsidR="00AC13B6" w:rsidRDefault="00AC13B6" w:rsidP="00A527D9">
            <w:pPr>
              <w:pStyle w:val="TableText"/>
            </w:pPr>
            <w:r>
              <w:t>Safety Assessment Principles</w:t>
            </w:r>
          </w:p>
        </w:tc>
      </w:tr>
      <w:tr w:rsidR="00EE1521" w14:paraId="77701F7C" w14:textId="77777777" w:rsidTr="00A527D9">
        <w:tc>
          <w:tcPr>
            <w:tcW w:w="1527" w:type="pct"/>
          </w:tcPr>
          <w:p w14:paraId="2F86EEA2" w14:textId="4B6F7EC1" w:rsidR="00EE1521" w:rsidRDefault="00EE1521" w:rsidP="00A527D9">
            <w:pPr>
              <w:pStyle w:val="TableText"/>
            </w:pPr>
            <w:r>
              <w:t>SIS</w:t>
            </w:r>
          </w:p>
        </w:tc>
        <w:tc>
          <w:tcPr>
            <w:tcW w:w="3473" w:type="pct"/>
          </w:tcPr>
          <w:p w14:paraId="667D7EA3" w14:textId="38240777" w:rsidR="00EE1521" w:rsidRDefault="00EE1521" w:rsidP="00A527D9">
            <w:pPr>
              <w:pStyle w:val="TableText"/>
            </w:pPr>
            <w:r>
              <w:t>Security Improvements Schedule</w:t>
            </w:r>
          </w:p>
        </w:tc>
      </w:tr>
      <w:tr w:rsidR="00FD6EF2" w14:paraId="60BFBA7C" w14:textId="77777777" w:rsidTr="008A7BB3">
        <w:tc>
          <w:tcPr>
            <w:tcW w:w="1527" w:type="pct"/>
          </w:tcPr>
          <w:p w14:paraId="347D5B97" w14:textId="77777777" w:rsidR="00FD6EF2" w:rsidRDefault="00FD6EF2" w:rsidP="008A7BB3">
            <w:pPr>
              <w:pStyle w:val="TableText"/>
            </w:pPr>
            <w:r>
              <w:t>SNI</w:t>
            </w:r>
          </w:p>
        </w:tc>
        <w:tc>
          <w:tcPr>
            <w:tcW w:w="3473" w:type="pct"/>
          </w:tcPr>
          <w:p w14:paraId="482F7C48" w14:textId="77777777" w:rsidR="00FD6EF2" w:rsidRDefault="00FD6EF2" w:rsidP="008A7BB3">
            <w:pPr>
              <w:pStyle w:val="TableText"/>
            </w:pPr>
            <w:r>
              <w:t>Sensitive Nuclear Information</w:t>
            </w:r>
          </w:p>
        </w:tc>
      </w:tr>
      <w:tr w:rsidR="001B4D5A" w14:paraId="3B8700DF" w14:textId="77777777" w:rsidTr="009E0E52">
        <w:tc>
          <w:tcPr>
            <w:tcW w:w="1527" w:type="pct"/>
          </w:tcPr>
          <w:p w14:paraId="5A742E4F" w14:textId="03460D13" w:rsidR="001B4D5A" w:rsidRDefault="009156CC" w:rsidP="003401B0">
            <w:pPr>
              <w:pStyle w:val="TableText"/>
            </w:pPr>
            <w:r>
              <w:t>SP</w:t>
            </w:r>
          </w:p>
        </w:tc>
        <w:tc>
          <w:tcPr>
            <w:tcW w:w="3473" w:type="pct"/>
          </w:tcPr>
          <w:p w14:paraId="36216E08" w14:textId="6B0912B1" w:rsidR="001B4D5A" w:rsidRDefault="009156CC" w:rsidP="003401B0">
            <w:pPr>
              <w:pStyle w:val="TableText"/>
            </w:pPr>
            <w:r>
              <w:t>Security Plan</w:t>
            </w:r>
          </w:p>
        </w:tc>
      </w:tr>
      <w:tr w:rsidR="009156CC" w14:paraId="12A4948B" w14:textId="77777777" w:rsidTr="009E0E52">
        <w:tc>
          <w:tcPr>
            <w:tcW w:w="1527" w:type="pct"/>
          </w:tcPr>
          <w:p w14:paraId="5C993FAD" w14:textId="6FAAF111" w:rsidR="009156CC" w:rsidRDefault="009156CC" w:rsidP="003401B0">
            <w:pPr>
              <w:pStyle w:val="TableText"/>
            </w:pPr>
            <w:r>
              <w:t>SPA</w:t>
            </w:r>
          </w:p>
        </w:tc>
        <w:tc>
          <w:tcPr>
            <w:tcW w:w="3473" w:type="pct"/>
          </w:tcPr>
          <w:p w14:paraId="7E2CAAE2" w14:textId="08B8D688" w:rsidR="009156CC" w:rsidRDefault="009156CC" w:rsidP="003401B0">
            <w:pPr>
              <w:pStyle w:val="TableText"/>
            </w:pPr>
            <w:r>
              <w:t xml:space="preserve">Standards, </w:t>
            </w:r>
            <w:proofErr w:type="gramStart"/>
            <w:r w:rsidR="00967C6A">
              <w:t>p</w:t>
            </w:r>
            <w:r>
              <w:t>rocedures</w:t>
            </w:r>
            <w:proofErr w:type="gramEnd"/>
            <w:r>
              <w:t xml:space="preserve"> and </w:t>
            </w:r>
            <w:r w:rsidR="00967C6A">
              <w:t>a</w:t>
            </w:r>
            <w:r>
              <w:t>rrangements</w:t>
            </w:r>
          </w:p>
        </w:tc>
      </w:tr>
      <w:tr w:rsidR="008339CB" w14:paraId="40BC7EF7" w14:textId="77777777" w:rsidTr="009E0E52">
        <w:tc>
          <w:tcPr>
            <w:tcW w:w="1527" w:type="pct"/>
          </w:tcPr>
          <w:p w14:paraId="5AB1EE0C" w14:textId="187BD476" w:rsidR="008339CB" w:rsidRDefault="008339CB" w:rsidP="003401B0">
            <w:pPr>
              <w:pStyle w:val="TableText"/>
            </w:pPr>
            <w:r>
              <w:t>SyAPs</w:t>
            </w:r>
          </w:p>
        </w:tc>
        <w:tc>
          <w:tcPr>
            <w:tcW w:w="3473" w:type="pct"/>
          </w:tcPr>
          <w:p w14:paraId="77061E12" w14:textId="035CF598" w:rsidR="008339CB" w:rsidRDefault="008339CB" w:rsidP="003401B0">
            <w:pPr>
              <w:pStyle w:val="TableText"/>
            </w:pPr>
            <w:r>
              <w:t>Security Assessment Principles</w:t>
            </w:r>
          </w:p>
        </w:tc>
      </w:tr>
      <w:tr w:rsidR="00F4423C" w14:paraId="7A0A6DB3" w14:textId="77777777" w:rsidTr="009E0E52">
        <w:tc>
          <w:tcPr>
            <w:tcW w:w="1527" w:type="pct"/>
          </w:tcPr>
          <w:p w14:paraId="456D77F6" w14:textId="706BDA67" w:rsidR="00F4423C" w:rsidRDefault="00F4423C" w:rsidP="003401B0">
            <w:pPr>
              <w:pStyle w:val="TableText"/>
            </w:pPr>
            <w:proofErr w:type="spellStart"/>
            <w:r>
              <w:t>SyDPs</w:t>
            </w:r>
            <w:proofErr w:type="spellEnd"/>
          </w:p>
        </w:tc>
        <w:tc>
          <w:tcPr>
            <w:tcW w:w="3473" w:type="pct"/>
          </w:tcPr>
          <w:p w14:paraId="139FF1C2" w14:textId="65455664" w:rsidR="00F4423C" w:rsidRDefault="00F4423C" w:rsidP="003401B0">
            <w:pPr>
              <w:pStyle w:val="TableText"/>
            </w:pPr>
            <w:r>
              <w:t>Security Delivery Principles (under SyAPs)</w:t>
            </w:r>
          </w:p>
        </w:tc>
      </w:tr>
      <w:tr w:rsidR="001B4D5A" w14:paraId="6A333B2A" w14:textId="77777777" w:rsidTr="009E0E52">
        <w:tc>
          <w:tcPr>
            <w:tcW w:w="1527" w:type="pct"/>
          </w:tcPr>
          <w:p w14:paraId="5EEEAC43" w14:textId="4E46DA8C" w:rsidR="001B4D5A" w:rsidRDefault="009156CC" w:rsidP="003401B0">
            <w:pPr>
              <w:pStyle w:val="TableText"/>
            </w:pPr>
            <w:proofErr w:type="spellStart"/>
            <w:r>
              <w:t>SySSC</w:t>
            </w:r>
            <w:proofErr w:type="spellEnd"/>
          </w:p>
        </w:tc>
        <w:tc>
          <w:tcPr>
            <w:tcW w:w="3473" w:type="pct"/>
          </w:tcPr>
          <w:p w14:paraId="05535D69" w14:textId="2A7E0550" w:rsidR="001B4D5A" w:rsidRDefault="009156CC" w:rsidP="003401B0">
            <w:pPr>
              <w:pStyle w:val="TableText"/>
            </w:pPr>
            <w:r>
              <w:t>Security S</w:t>
            </w:r>
            <w:r w:rsidR="004F125E">
              <w:t>ystem, S</w:t>
            </w:r>
            <w:r>
              <w:t>tructure or Component</w:t>
            </w:r>
          </w:p>
        </w:tc>
      </w:tr>
      <w:tr w:rsidR="00F4423C" w14:paraId="1034DD56" w14:textId="77777777" w:rsidTr="009E0E52">
        <w:tc>
          <w:tcPr>
            <w:tcW w:w="1527" w:type="pct"/>
          </w:tcPr>
          <w:p w14:paraId="6EE8FD53" w14:textId="0551B4A8" w:rsidR="00F4423C" w:rsidRDefault="00F4423C" w:rsidP="003401B0">
            <w:pPr>
              <w:pStyle w:val="TableText"/>
            </w:pPr>
            <w:r>
              <w:t>TAG</w:t>
            </w:r>
          </w:p>
        </w:tc>
        <w:tc>
          <w:tcPr>
            <w:tcW w:w="3473" w:type="pct"/>
          </w:tcPr>
          <w:p w14:paraId="7B4B3B74" w14:textId="0C4B15D6" w:rsidR="00F4423C" w:rsidRDefault="00F4423C" w:rsidP="003401B0">
            <w:pPr>
              <w:pStyle w:val="TableText"/>
            </w:pPr>
            <w:r>
              <w:t>Technical Assessment Guide</w:t>
            </w:r>
          </w:p>
        </w:tc>
      </w:tr>
      <w:tr w:rsidR="00F4423C" w14:paraId="3B5FD183" w14:textId="77777777" w:rsidTr="009E0E52">
        <w:tc>
          <w:tcPr>
            <w:tcW w:w="1527" w:type="pct"/>
          </w:tcPr>
          <w:p w14:paraId="0360A0F7" w14:textId="4BDADFF8" w:rsidR="00F4423C" w:rsidRDefault="00F4423C" w:rsidP="003401B0">
            <w:pPr>
              <w:pStyle w:val="TableText"/>
            </w:pPr>
            <w:r>
              <w:t>TIG</w:t>
            </w:r>
          </w:p>
        </w:tc>
        <w:tc>
          <w:tcPr>
            <w:tcW w:w="3473" w:type="pct"/>
          </w:tcPr>
          <w:p w14:paraId="2D0BDE67" w14:textId="138B15FA" w:rsidR="00F4423C" w:rsidRDefault="00F4423C" w:rsidP="003401B0">
            <w:pPr>
              <w:pStyle w:val="TableText"/>
            </w:pPr>
            <w:r>
              <w:t>Technical Inspection Guide</w:t>
            </w:r>
          </w:p>
        </w:tc>
      </w:tr>
      <w:tr w:rsidR="009156CC" w14:paraId="50D282FE" w14:textId="77777777" w:rsidTr="009E0E52">
        <w:tc>
          <w:tcPr>
            <w:tcW w:w="1527" w:type="pct"/>
          </w:tcPr>
          <w:p w14:paraId="58E94DF4" w14:textId="54AF014D" w:rsidR="009156CC" w:rsidRDefault="009156CC" w:rsidP="003401B0">
            <w:pPr>
              <w:pStyle w:val="TableText"/>
            </w:pPr>
            <w:r>
              <w:t>TINS</w:t>
            </w:r>
          </w:p>
        </w:tc>
        <w:tc>
          <w:tcPr>
            <w:tcW w:w="3473" w:type="pct"/>
          </w:tcPr>
          <w:p w14:paraId="09605CBD" w14:textId="36F83D4A" w:rsidR="009156CC" w:rsidRDefault="009156CC" w:rsidP="003401B0">
            <w:pPr>
              <w:pStyle w:val="TableText"/>
            </w:pPr>
            <w:r>
              <w:t>Task Important to Nuclear Security</w:t>
            </w:r>
          </w:p>
        </w:tc>
      </w:tr>
      <w:tr w:rsidR="0070744C" w14:paraId="3113E07D" w14:textId="77777777" w:rsidTr="009E0E52">
        <w:tc>
          <w:tcPr>
            <w:tcW w:w="1527" w:type="pct"/>
          </w:tcPr>
          <w:p w14:paraId="41CA98D2" w14:textId="54905D3C" w:rsidR="0070744C" w:rsidRDefault="0070744C" w:rsidP="003401B0">
            <w:pPr>
              <w:pStyle w:val="TableText"/>
            </w:pPr>
            <w:r>
              <w:t>TSA</w:t>
            </w:r>
          </w:p>
        </w:tc>
        <w:tc>
          <w:tcPr>
            <w:tcW w:w="3473" w:type="pct"/>
          </w:tcPr>
          <w:p w14:paraId="14558D21" w14:textId="48550405" w:rsidR="0070744C" w:rsidRDefault="0070744C" w:rsidP="003401B0">
            <w:pPr>
              <w:pStyle w:val="TableText"/>
            </w:pPr>
            <w:r>
              <w:t>Temporary Security Arrangement</w:t>
            </w:r>
          </w:p>
        </w:tc>
      </w:tr>
      <w:tr w:rsidR="0070744C" w14:paraId="6ADCEDE3" w14:textId="77777777" w:rsidTr="009E0E52">
        <w:tc>
          <w:tcPr>
            <w:tcW w:w="1527" w:type="pct"/>
          </w:tcPr>
          <w:p w14:paraId="7BF98EF6" w14:textId="7DC00633" w:rsidR="0070744C" w:rsidRDefault="0070744C" w:rsidP="003401B0">
            <w:pPr>
              <w:pStyle w:val="TableText"/>
            </w:pPr>
            <w:r>
              <w:t>TSP</w:t>
            </w:r>
          </w:p>
        </w:tc>
        <w:tc>
          <w:tcPr>
            <w:tcW w:w="3473" w:type="pct"/>
          </w:tcPr>
          <w:p w14:paraId="2FEE7A77" w14:textId="4AF49A13" w:rsidR="0070744C" w:rsidRDefault="0070744C" w:rsidP="003401B0">
            <w:pPr>
              <w:pStyle w:val="TableText"/>
            </w:pPr>
            <w:r>
              <w:t>Temporary Security Plan</w:t>
            </w:r>
          </w:p>
        </w:tc>
      </w:tr>
      <w:tr w:rsidR="00B96CBD" w14:paraId="229F88E2" w14:textId="77777777" w:rsidTr="009E0E52">
        <w:tc>
          <w:tcPr>
            <w:tcW w:w="1527" w:type="pct"/>
          </w:tcPr>
          <w:p w14:paraId="6EF7CE9C" w14:textId="284D11A3" w:rsidR="00B96CBD" w:rsidRDefault="00B96CBD" w:rsidP="003401B0">
            <w:pPr>
              <w:pStyle w:val="TableText"/>
            </w:pPr>
            <w:r>
              <w:t>TSS</w:t>
            </w:r>
          </w:p>
        </w:tc>
        <w:tc>
          <w:tcPr>
            <w:tcW w:w="3473" w:type="pct"/>
          </w:tcPr>
          <w:p w14:paraId="33BE3261" w14:textId="4444EFBA" w:rsidR="00B96CBD" w:rsidRDefault="00B96CBD" w:rsidP="003401B0">
            <w:pPr>
              <w:pStyle w:val="TableText"/>
            </w:pPr>
            <w:r>
              <w:t>Transport Security Statement</w:t>
            </w:r>
          </w:p>
        </w:tc>
      </w:tr>
    </w:tbl>
    <w:p w14:paraId="43F09434" w14:textId="77777777" w:rsidR="009E0E52" w:rsidRDefault="009E0E52" w:rsidP="005754AE">
      <w:pPr>
        <w:sectPr w:rsidR="009E0E52" w:rsidSect="005D34B8">
          <w:headerReference w:type="even" r:id="rId24"/>
          <w:headerReference w:type="default" r:id="rId25"/>
          <w:footerReference w:type="even" r:id="rId26"/>
          <w:pgSz w:w="11906" w:h="16838" w:code="9"/>
          <w:pgMar w:top="1440" w:right="1440" w:bottom="1440" w:left="1440" w:header="397" w:footer="397" w:gutter="0"/>
          <w:cols w:space="312"/>
          <w:docGrid w:linePitch="360"/>
        </w:sectPr>
      </w:pPr>
    </w:p>
    <w:p w14:paraId="19CBAE12" w14:textId="60E458D3" w:rsidR="00140E1C" w:rsidRDefault="00D60BCB" w:rsidP="00D60BCB">
      <w:pPr>
        <w:pStyle w:val="Heading1"/>
      </w:pPr>
      <w:bookmarkStart w:id="5" w:name="_Toc143174308"/>
      <w:r>
        <w:t xml:space="preserve">Purpose of </w:t>
      </w:r>
      <w:r w:rsidR="00B05C8F">
        <w:t>Security Inspections</w:t>
      </w:r>
      <w:bookmarkEnd w:id="5"/>
    </w:p>
    <w:p w14:paraId="2DD0123A" w14:textId="701AE27F" w:rsidR="00CF56F4" w:rsidRDefault="00092B1A" w:rsidP="00CF56F4">
      <w:pPr>
        <w:pStyle w:val="F9-Paragraph"/>
      </w:pPr>
      <w:r w:rsidRPr="00CF56F4">
        <w:rPr>
          <w:color w:val="000000" w:themeColor="text1"/>
        </w:rPr>
        <w:t xml:space="preserve">The primary purpose of the inspection is to ensure compliance with </w:t>
      </w:r>
      <w:r w:rsidR="00633FEA" w:rsidRPr="00CF56F4">
        <w:rPr>
          <w:color w:val="000000" w:themeColor="text1"/>
        </w:rPr>
        <w:t>the law</w:t>
      </w:r>
      <w:r w:rsidR="00A024AC" w:rsidRPr="00CF56F4">
        <w:rPr>
          <w:color w:val="000000" w:themeColor="text1"/>
        </w:rPr>
        <w:t>.</w:t>
      </w:r>
      <w:r w:rsidR="00CF56F4" w:rsidRPr="00CF56F4">
        <w:rPr>
          <w:color w:val="000000" w:themeColor="text1"/>
        </w:rPr>
        <w:t xml:space="preserve"> NISR 2003</w:t>
      </w:r>
      <w:r w:rsidR="00A019AD">
        <w:rPr>
          <w:color w:val="000000" w:themeColor="text1"/>
        </w:rPr>
        <w:t xml:space="preserve"> </w:t>
      </w:r>
      <w:r w:rsidR="00A019AD">
        <w:t xml:space="preserve">(Ref </w:t>
      </w:r>
      <w:sdt>
        <w:sdtPr>
          <w:id w:val="123048053"/>
          <w:citation/>
        </w:sdtPr>
        <w:sdtContent>
          <w:r w:rsidR="00A019AD">
            <w:fldChar w:fldCharType="begin"/>
          </w:r>
          <w:r w:rsidR="00A019AD">
            <w:instrText xml:space="preserve"> CITATION NISR2003 \l 2057 </w:instrText>
          </w:r>
          <w:r w:rsidR="00A019AD">
            <w:fldChar w:fldCharType="separate"/>
          </w:r>
          <w:r w:rsidR="00F17111" w:rsidRPr="00F17111">
            <w:rPr>
              <w:noProof/>
            </w:rPr>
            <w:t>[1]</w:t>
          </w:r>
          <w:r w:rsidR="00A019AD">
            <w:fldChar w:fldCharType="end"/>
          </w:r>
        </w:sdtContent>
      </w:sdt>
      <w:r w:rsidR="00A019AD">
        <w:t>)</w:t>
      </w:r>
      <w:r w:rsidR="00CF56F4" w:rsidRPr="00CF56F4">
        <w:rPr>
          <w:color w:val="000000" w:themeColor="text1"/>
        </w:rPr>
        <w:t xml:space="preserve">, Regulation 7 states that the responsible person in relation to </w:t>
      </w:r>
      <w:r w:rsidR="00CF56F4">
        <w:t xml:space="preserve">each nuclear premises must comply with the SPA described in the approved SP for the premises. </w:t>
      </w:r>
      <w:r w:rsidR="00341318" w:rsidRPr="00341318">
        <w:t xml:space="preserve">Similarly, Regulation 17 states that an approved carrier must comply with the SPA described in an approved TSS. </w:t>
      </w:r>
      <w:r w:rsidR="00CF56F4">
        <w:t xml:space="preserve">This is the basis for the majority of ONR security inspections: ensuring </w:t>
      </w:r>
      <w:r w:rsidR="007911BE">
        <w:t xml:space="preserve">the </w:t>
      </w:r>
      <w:r w:rsidR="00CF56F4">
        <w:t xml:space="preserve">dutyholder </w:t>
      </w:r>
      <w:r w:rsidR="00967F18">
        <w:t xml:space="preserve">is </w:t>
      </w:r>
      <w:r w:rsidR="00CF56F4">
        <w:t>complying with the</w:t>
      </w:r>
      <w:r w:rsidR="00B65888">
        <w:t xml:space="preserve"> approved </w:t>
      </w:r>
      <w:r w:rsidR="00CF56F4">
        <w:t>plan.</w:t>
      </w:r>
    </w:p>
    <w:p w14:paraId="4DFBF105" w14:textId="77777777" w:rsidR="004F125E" w:rsidRDefault="004F125E" w:rsidP="004F125E">
      <w:pPr>
        <w:pStyle w:val="F9-Paragraph"/>
      </w:pPr>
      <w:r>
        <w:t>Whilst this principle holds true for the majority of ONR security activity, some specialist areas may deviate slightly and merit additional explanation:</w:t>
      </w:r>
    </w:p>
    <w:p w14:paraId="555A3531" w14:textId="1706D485" w:rsidR="004F125E" w:rsidRDefault="004F125E" w:rsidP="006F68D7">
      <w:pPr>
        <w:pStyle w:val="Bulletlist1"/>
      </w:pPr>
      <w:r w:rsidRPr="00B27071">
        <w:rPr>
          <w:b/>
        </w:rPr>
        <w:t xml:space="preserve">Transport Security – Class B carriers. </w:t>
      </w:r>
      <w:r>
        <w:t>NISR 2003 applies to all approved carriers</w:t>
      </w:r>
      <w:r w:rsidR="00BB53AD">
        <w:t>,</w:t>
      </w:r>
      <w:r>
        <w:t xml:space="preserve"> but ONR takes a proportionate approach in relation to the size and structure of carrier organisations</w:t>
      </w:r>
      <w:r w:rsidR="00594D48">
        <w:t xml:space="preserve"> and the category of NM they are approved to transport</w:t>
      </w:r>
      <w:r>
        <w:t xml:space="preserve">. Class B approved carriers based at UK civil licensed nuclear sites may incorporate </w:t>
      </w:r>
      <w:r w:rsidR="00E45B94">
        <w:t>t</w:t>
      </w:r>
      <w:r>
        <w:t xml:space="preserve">ransport </w:t>
      </w:r>
      <w:r w:rsidR="00E45B94">
        <w:t>s</w:t>
      </w:r>
      <w:r>
        <w:t xml:space="preserve">ecurity arrangements into their approved SP. For other Class B approved carriers, it will be </w:t>
      </w:r>
      <w:r>
        <w:lastRenderedPageBreak/>
        <w:t xml:space="preserve">sufficient that </w:t>
      </w:r>
      <w:r w:rsidR="00BB53AD">
        <w:t xml:space="preserve">SPA </w:t>
      </w:r>
      <w:r>
        <w:t>described in the TSS comply with ‘Guidance for Class B Approved Carriers’</w:t>
      </w:r>
      <w:r w:rsidR="00594D48">
        <w:t xml:space="preserve"> (Ref. </w:t>
      </w:r>
      <w:sdt>
        <w:sdtPr>
          <w:id w:val="-1004193478"/>
          <w:citation/>
        </w:sdtPr>
        <w:sdtContent>
          <w:r w:rsidR="00594D48">
            <w:fldChar w:fldCharType="begin"/>
          </w:r>
          <w:r w:rsidR="00594D48">
            <w:instrText xml:space="preserve"> CITATION ClassB \l 2057 </w:instrText>
          </w:r>
          <w:r w:rsidR="00594D48">
            <w:fldChar w:fldCharType="separate"/>
          </w:r>
          <w:r w:rsidR="00F17111" w:rsidRPr="00F17111">
            <w:rPr>
              <w:noProof/>
            </w:rPr>
            <w:t>[3]</w:t>
          </w:r>
          <w:r w:rsidR="00594D48">
            <w:fldChar w:fldCharType="end"/>
          </w:r>
        </w:sdtContent>
      </w:sdt>
      <w:r w:rsidR="00594D48">
        <w:t>).</w:t>
      </w:r>
    </w:p>
    <w:p w14:paraId="00B7739E" w14:textId="0F9D5550" w:rsidR="004F125E" w:rsidRPr="006D613D" w:rsidRDefault="00295BC2" w:rsidP="006F68D7">
      <w:pPr>
        <w:pStyle w:val="Bulletlist1"/>
      </w:pPr>
      <w:bookmarkStart w:id="6" w:name="_Hlk141872067"/>
      <w:r>
        <w:rPr>
          <w:b/>
        </w:rPr>
        <w:t xml:space="preserve">Personnel Security / </w:t>
      </w:r>
      <w:r w:rsidR="004F125E">
        <w:rPr>
          <w:b/>
        </w:rPr>
        <w:t xml:space="preserve">Workforce Trustworthiness. </w:t>
      </w:r>
      <w:r w:rsidR="00B12A33">
        <w:t xml:space="preserve">ONR ensures dutyholders’ workforce trustworthiness arrangements comply with </w:t>
      </w:r>
      <w:r w:rsidR="00393D39">
        <w:t xml:space="preserve">His Majesty’s Government (HMG) </w:t>
      </w:r>
      <w:r w:rsidR="00B12A33" w:rsidRPr="00393D39">
        <w:t>Government Functional Standard GovS007: Security</w:t>
      </w:r>
      <w:r w:rsidR="00B12A33">
        <w:t xml:space="preserve"> (Ref. </w:t>
      </w:r>
      <w:sdt>
        <w:sdtPr>
          <w:id w:val="951826846"/>
          <w:citation/>
        </w:sdtPr>
        <w:sdtContent>
          <w:r w:rsidR="00B12A33">
            <w:fldChar w:fldCharType="begin"/>
          </w:r>
          <w:r w:rsidR="00975732">
            <w:instrText xml:space="preserve">CITATION HMG1 \l 2057 </w:instrText>
          </w:r>
          <w:r w:rsidR="00B12A33">
            <w:fldChar w:fldCharType="separate"/>
          </w:r>
          <w:r w:rsidR="00F17111" w:rsidRPr="00F17111">
            <w:rPr>
              <w:noProof/>
            </w:rPr>
            <w:t>[4]</w:t>
          </w:r>
          <w:r w:rsidR="00B12A33">
            <w:fldChar w:fldCharType="end"/>
          </w:r>
        </w:sdtContent>
      </w:sdt>
      <w:r w:rsidR="00B12A33">
        <w:t>) and other underpinning documents</w:t>
      </w:r>
      <w:r w:rsidR="00BB53AD">
        <w:t xml:space="preserve"> (</w:t>
      </w:r>
      <w:r w:rsidR="00B12A33">
        <w:t>including the OFFICIAL-SENSITIVE Personnel Security Policy, HMG Personnel Security Controls</w:t>
      </w:r>
      <w:r w:rsidR="00A9590B">
        <w:t>,</w:t>
      </w:r>
      <w:r w:rsidR="00B12A33">
        <w:t xml:space="preserve"> and UK Government guidance on the pre-employment screening of civil servants, members of the armed forces, temporary staff and government contractors</w:t>
      </w:r>
      <w:r w:rsidR="00BB53AD">
        <w:t>)</w:t>
      </w:r>
      <w:r w:rsidR="00B12A33">
        <w:t>.</w:t>
      </w:r>
      <w:r w:rsidR="00A9590B" w:rsidRPr="00A9590B">
        <w:t xml:space="preserve"> Additional areas of mandated workforce trustworthiness compliance exist within ONR SyAPs, specifically annexes </w:t>
      </w:r>
      <w:r w:rsidR="00A9590B">
        <w:t xml:space="preserve">(OFFICIAL-SENSITIVE) </w:t>
      </w:r>
      <w:r w:rsidR="00A9590B" w:rsidRPr="00A9590B">
        <w:t>relating to the mandated clearance levels to be applied, dutyholders’ signing authorities against the Baseline Personnel Security Standard, and visit arrangements</w:t>
      </w:r>
      <w:r w:rsidR="00B12A33">
        <w:t xml:space="preserve">. Such arrangements </w:t>
      </w:r>
      <w:r w:rsidR="00012012">
        <w:t>shall</w:t>
      </w:r>
      <w:r w:rsidR="00B12A33">
        <w:t xml:space="preserve"> be contained within a nuclear site’s </w:t>
      </w:r>
      <w:r w:rsidR="00A5193C">
        <w:t>SP</w:t>
      </w:r>
      <w:r w:rsidR="00B12A33">
        <w:t xml:space="preserve"> or an approved carrier’s </w:t>
      </w:r>
      <w:r w:rsidR="00A9590B">
        <w:t xml:space="preserve">transport </w:t>
      </w:r>
      <w:r w:rsidR="00B12A33">
        <w:t>security statement.</w:t>
      </w:r>
    </w:p>
    <w:bookmarkEnd w:id="6"/>
    <w:p w14:paraId="159FA03C" w14:textId="1C271580" w:rsidR="00B17A93" w:rsidRPr="00393D39" w:rsidRDefault="00B17A93" w:rsidP="006F68D7">
      <w:pPr>
        <w:pStyle w:val="Bulletlist1"/>
      </w:pPr>
      <w:r w:rsidRPr="00F00691">
        <w:rPr>
          <w:b/>
        </w:rPr>
        <w:t xml:space="preserve">Supply Chain </w:t>
      </w:r>
      <w:r w:rsidR="00393D39">
        <w:rPr>
          <w:b/>
        </w:rPr>
        <w:t>-</w:t>
      </w:r>
      <w:r w:rsidRPr="00F00691">
        <w:rPr>
          <w:b/>
        </w:rPr>
        <w:t xml:space="preserve"> Regulation 22</w:t>
      </w:r>
      <w:r w:rsidR="00393D39" w:rsidRPr="00393D39">
        <w:rPr>
          <w:b/>
        </w:rPr>
        <w:t xml:space="preserve"> Dutyholders. </w:t>
      </w:r>
      <w:r w:rsidR="00393D39" w:rsidRPr="00393D39">
        <w:t>As Regulation 22 dutyholders are not required to produce a</w:t>
      </w:r>
      <w:r w:rsidR="00393D39">
        <w:t>n SP</w:t>
      </w:r>
      <w:r w:rsidR="00393D39" w:rsidRPr="00393D39">
        <w:t xml:space="preserve"> for approval, ONR has a different arrangement for gathering assurance regarding their securing of SNI and application of relevant good practice.  This arrangement is detailed in</w:t>
      </w:r>
      <w:r w:rsidRPr="00393D39">
        <w:t xml:space="preserve"> Appendix A.</w:t>
      </w:r>
    </w:p>
    <w:p w14:paraId="768762C8" w14:textId="69606863" w:rsidR="00334107" w:rsidRDefault="00596622" w:rsidP="006F68D7">
      <w:pPr>
        <w:pStyle w:val="Bulletlist1"/>
      </w:pPr>
      <w:r w:rsidRPr="00F00691">
        <w:rPr>
          <w:b/>
        </w:rPr>
        <w:t>Regulator Evaluated Demonstration Exercises</w:t>
      </w:r>
      <w:r w:rsidR="00DB46CB">
        <w:rPr>
          <w:b/>
        </w:rPr>
        <w:t xml:space="preserve"> (REDE)</w:t>
      </w:r>
      <w:r w:rsidRPr="00F00691">
        <w:rPr>
          <w:b/>
        </w:rPr>
        <w:t>.</w:t>
      </w:r>
      <w:r>
        <w:t xml:space="preserve"> </w:t>
      </w:r>
      <w:r w:rsidR="00334107">
        <w:t>REDEs are a means by which a dutyholder must demonstrate that they can: implement effective and integrated emergency preparedness and response arrangements, for all credible events based upon the Design Basis Threat (DBT); achieve the required security outcomes, with the appropriate level of confidence; and effectively manage the consequences of such DBT events.</w:t>
      </w:r>
    </w:p>
    <w:p w14:paraId="2414D18D" w14:textId="77777777" w:rsidR="00393D39" w:rsidRDefault="00334107" w:rsidP="006F68D7">
      <w:pPr>
        <w:pStyle w:val="Bulletlist1"/>
        <w:numPr>
          <w:ilvl w:val="0"/>
          <w:numId w:val="0"/>
        </w:numPr>
        <w:ind w:left="1134"/>
      </w:pPr>
      <w:r>
        <w:t>The scope of a REDE, its associated objectives and supporting scenario should be agreed by the inspection team. A REDE should be evaluated against specific areas and functions and associated performance statements.</w:t>
      </w:r>
    </w:p>
    <w:p w14:paraId="040D741A" w14:textId="6665EBDA" w:rsidR="003A57FB" w:rsidRDefault="00334107" w:rsidP="00497F56">
      <w:pPr>
        <w:pStyle w:val="Bulletlist1"/>
        <w:numPr>
          <w:ilvl w:val="0"/>
          <w:numId w:val="0"/>
        </w:numPr>
        <w:ind w:left="1134"/>
      </w:pPr>
      <w:r>
        <w:t>It is for the inspection team to decide which areas and performance statements are relevant, taking account of the required security outcomes, the characteristics of the site, the challenges presented by the scenario and agreed objectives. The inspection team should not be beholden to</w:t>
      </w:r>
      <w:r w:rsidR="000E443C">
        <w:t>,</w:t>
      </w:r>
      <w:r>
        <w:t xml:space="preserve"> </w:t>
      </w:r>
      <w:r w:rsidR="000E443C">
        <w:t>or</w:t>
      </w:r>
      <w:r>
        <w:t xml:space="preserve"> constrained by</w:t>
      </w:r>
      <w:r w:rsidR="00497F56">
        <w:t>, the</w:t>
      </w:r>
      <w:r>
        <w:t xml:space="preserve"> exercise performance criteria established by the dutyholder. If a REDE is judged to be inadequate, then the inspection team must decide whether a full or partial re-demonstration is required. Further guidance on evaluating REDEs and associated relevant good practice is contained in the associated guidance document </w:t>
      </w:r>
      <w:r w:rsidR="00827913">
        <w:t>‘</w:t>
      </w:r>
      <w:r w:rsidR="00827913" w:rsidRPr="00827913">
        <w:t>Regulator Evaluated Demonstration Exercises – Aide Memoire for Inspectors</w:t>
      </w:r>
      <w:r w:rsidR="00827913">
        <w:t>’</w:t>
      </w:r>
      <w:r w:rsidR="00827913" w:rsidRPr="00827913">
        <w:t xml:space="preserve"> </w:t>
      </w:r>
      <w:r w:rsidR="00B17A93" w:rsidRPr="00B17A93">
        <w:t>(Ref</w:t>
      </w:r>
      <w:r w:rsidR="00B17A93">
        <w:t xml:space="preserve"> </w:t>
      </w:r>
      <w:sdt>
        <w:sdtPr>
          <w:id w:val="-1124763616"/>
          <w:citation/>
        </w:sdtPr>
        <w:sdtContent>
          <w:r w:rsidR="00827913">
            <w:fldChar w:fldCharType="begin"/>
          </w:r>
          <w:r w:rsidR="00F17111">
            <w:instrText xml:space="preserve">CITATION ONR \l 2057 </w:instrText>
          </w:r>
          <w:r w:rsidR="00827913">
            <w:fldChar w:fldCharType="separate"/>
          </w:r>
          <w:r w:rsidR="00F17111" w:rsidRPr="00F17111">
            <w:rPr>
              <w:noProof/>
            </w:rPr>
            <w:t>[5]</w:t>
          </w:r>
          <w:r w:rsidR="00827913">
            <w:fldChar w:fldCharType="end"/>
          </w:r>
        </w:sdtContent>
      </w:sdt>
      <w:r w:rsidR="00B17A93" w:rsidRPr="00B17A93">
        <w:t>)</w:t>
      </w:r>
      <w:r w:rsidR="00B17A93">
        <w:t>.</w:t>
      </w:r>
      <w:r w:rsidR="003A57FB">
        <w:br w:type="page"/>
      </w:r>
    </w:p>
    <w:p w14:paraId="540E3FBF" w14:textId="53D00E3A" w:rsidR="00D60BCB" w:rsidRPr="00F77A5B" w:rsidRDefault="00D60BCB" w:rsidP="00D60BCB">
      <w:pPr>
        <w:pStyle w:val="Heading1"/>
      </w:pPr>
      <w:bookmarkStart w:id="7" w:name="_Toc143174309"/>
      <w:r w:rsidRPr="00F77A5B">
        <w:lastRenderedPageBreak/>
        <w:t xml:space="preserve">Guidance on </w:t>
      </w:r>
      <w:r w:rsidR="002C0094" w:rsidRPr="00F77A5B">
        <w:t>NISR 2003</w:t>
      </w:r>
      <w:r w:rsidR="00226F01">
        <w:t xml:space="preserve"> compliance</w:t>
      </w:r>
      <w:bookmarkEnd w:id="7"/>
    </w:p>
    <w:p w14:paraId="5277BAD1" w14:textId="34F12EFC" w:rsidR="00021702" w:rsidRDefault="00023509" w:rsidP="00BA0EA0">
      <w:pPr>
        <w:pStyle w:val="F9-Paragraph"/>
        <w:spacing w:after="0" w:line="240" w:lineRule="auto"/>
      </w:pPr>
      <w:r w:rsidRPr="00F77A5B">
        <w:t>NISR 2003</w:t>
      </w:r>
      <w:r w:rsidR="00A019AD">
        <w:t xml:space="preserve"> (Ref </w:t>
      </w:r>
      <w:sdt>
        <w:sdtPr>
          <w:id w:val="485059661"/>
          <w:citation/>
        </w:sdtPr>
        <w:sdtContent>
          <w:r w:rsidR="00A019AD">
            <w:fldChar w:fldCharType="begin"/>
          </w:r>
          <w:r w:rsidR="00A019AD">
            <w:instrText xml:space="preserve"> CITATION NISR2003 \l 2057 </w:instrText>
          </w:r>
          <w:r w:rsidR="00A019AD">
            <w:fldChar w:fldCharType="separate"/>
          </w:r>
          <w:r w:rsidR="00F17111" w:rsidRPr="00F17111">
            <w:rPr>
              <w:noProof/>
            </w:rPr>
            <w:t>[1]</w:t>
          </w:r>
          <w:r w:rsidR="00A019AD">
            <w:fldChar w:fldCharType="end"/>
          </w:r>
        </w:sdtContent>
      </w:sdt>
      <w:r w:rsidR="00A019AD">
        <w:t>)</w:t>
      </w:r>
      <w:r w:rsidRPr="00F77A5B">
        <w:t>, Regulation 4</w:t>
      </w:r>
      <w:r w:rsidR="00822002" w:rsidRPr="00F77A5B">
        <w:t xml:space="preserve"> sets out</w:t>
      </w:r>
      <w:r w:rsidR="00822002">
        <w:t xml:space="preserve"> the need for an approved </w:t>
      </w:r>
      <w:r>
        <w:t xml:space="preserve">SP </w:t>
      </w:r>
      <w:r w:rsidR="00822002">
        <w:t xml:space="preserve">to </w:t>
      </w:r>
      <w:proofErr w:type="gramStart"/>
      <w:r w:rsidR="00822002">
        <w:t>be in place at all times</w:t>
      </w:r>
      <w:proofErr w:type="gramEnd"/>
      <w:r w:rsidR="00822002">
        <w:t xml:space="preserve"> which describes the </w:t>
      </w:r>
      <w:r>
        <w:t xml:space="preserve">SPA </w:t>
      </w:r>
      <w:r w:rsidR="00822002">
        <w:t xml:space="preserve">to ensure the security of the elements specified within this regulation and which are applicable to the dutyholder. It further describes </w:t>
      </w:r>
      <w:proofErr w:type="gramStart"/>
      <w:r w:rsidR="00822002">
        <w:t>a number of</w:t>
      </w:r>
      <w:proofErr w:type="gramEnd"/>
      <w:r w:rsidR="00822002">
        <w:t xml:space="preserve"> key aspects that require additional and specific consideration: </w:t>
      </w:r>
      <w:r w:rsidR="003A57FB">
        <w:t xml:space="preserve">pre-employment checks and national security </w:t>
      </w:r>
      <w:r w:rsidR="00822002">
        <w:t xml:space="preserve">vetting; movement of </w:t>
      </w:r>
      <w:r w:rsidR="00332E96">
        <w:t>NM</w:t>
      </w:r>
      <w:r w:rsidR="00822002">
        <w:t>; equipment and software used in connection with activities involving nuclear material / ORM; policing and guarding</w:t>
      </w:r>
      <w:r w:rsidR="00622753">
        <w:t>,</w:t>
      </w:r>
      <w:r w:rsidR="00822002">
        <w:t xml:space="preserve"> and contingency plans. Finally, it covers the consideration of threats posed to existing sites by plant and machinery being used during construction of an adjacent site.</w:t>
      </w:r>
    </w:p>
    <w:p w14:paraId="6F137F0F" w14:textId="3A807F16" w:rsidR="00B96CBD" w:rsidRDefault="0099509F" w:rsidP="00B96CBD">
      <w:pPr>
        <w:pStyle w:val="F9-Paragraph"/>
      </w:pPr>
      <w:r>
        <w:rPr>
          <w:b/>
          <w:bCs/>
        </w:rPr>
        <w:t xml:space="preserve">Nuclear premises: </w:t>
      </w:r>
      <w:r w:rsidR="00B96CBD">
        <w:t>Regulation 7 states that the responsible person in relation to each nuclear premises must comply with the SPA described in the approved SP for the premises.</w:t>
      </w:r>
      <w:r w:rsidR="00C8586D">
        <w:t xml:space="preserve"> Regulation 9 states that specified personnel must have been assessed to be of suitable character and integrity.</w:t>
      </w:r>
    </w:p>
    <w:p w14:paraId="339BF558" w14:textId="126DF05B" w:rsidR="00941CCF" w:rsidRDefault="0099509F" w:rsidP="0099509F">
      <w:pPr>
        <w:pStyle w:val="F9-Paragraph"/>
      </w:pPr>
      <w:r>
        <w:rPr>
          <w:b/>
          <w:bCs/>
        </w:rPr>
        <w:t>Transport security and a</w:t>
      </w:r>
      <w:r w:rsidR="00B96CBD">
        <w:rPr>
          <w:b/>
          <w:bCs/>
        </w:rPr>
        <w:t xml:space="preserve">pproved carriers: </w:t>
      </w:r>
      <w:r w:rsidR="00B96CBD">
        <w:t xml:space="preserve">Regulation 17 states that an approved carrier must comply with the SPA described in </w:t>
      </w:r>
      <w:r w:rsidR="0049015E">
        <w:t>an</w:t>
      </w:r>
      <w:r w:rsidR="00B96CBD">
        <w:t xml:space="preserve"> approved TSS.</w:t>
      </w:r>
      <w:r w:rsidR="00C10203">
        <w:t xml:space="preserve"> (See also paragraph 15 regarding Class B carriers.)</w:t>
      </w:r>
    </w:p>
    <w:p w14:paraId="26EF4B92" w14:textId="78816B7F" w:rsidR="00941CCF" w:rsidRPr="001C21DC" w:rsidRDefault="00B96CBD" w:rsidP="0099509F">
      <w:pPr>
        <w:pStyle w:val="F9-Paragraph"/>
        <w:rPr>
          <w:rFonts w:asciiTheme="minorHAnsi" w:hAnsiTheme="minorHAnsi" w:cstheme="minorHAnsi"/>
        </w:rPr>
      </w:pPr>
      <w:r w:rsidRPr="0099509F">
        <w:rPr>
          <w:rFonts w:asciiTheme="minorHAnsi" w:hAnsiTheme="minorHAnsi" w:cstheme="minorHAnsi"/>
          <w:b/>
          <w:bCs/>
          <w:lang w:eastAsia="en-GB" w:bidi="ar-SA"/>
        </w:rPr>
        <w:t xml:space="preserve">Regulation of </w:t>
      </w:r>
      <w:r w:rsidR="003A57FB">
        <w:rPr>
          <w:rFonts w:asciiTheme="minorHAnsi" w:hAnsiTheme="minorHAnsi" w:cstheme="minorHAnsi"/>
          <w:b/>
          <w:bCs/>
          <w:lang w:eastAsia="en-GB" w:bidi="ar-SA"/>
        </w:rPr>
        <w:t>SNI</w:t>
      </w:r>
      <w:r w:rsidRPr="0099509F">
        <w:rPr>
          <w:rFonts w:asciiTheme="minorHAnsi" w:hAnsiTheme="minorHAnsi" w:cstheme="minorHAnsi"/>
          <w:b/>
          <w:bCs/>
          <w:lang w:eastAsia="en-GB" w:bidi="ar-SA"/>
        </w:rPr>
        <w:t>, uranium enrichment equipment and software</w:t>
      </w:r>
      <w:r w:rsidRPr="0099509F">
        <w:rPr>
          <w:rFonts w:asciiTheme="minorHAnsi" w:hAnsiTheme="minorHAnsi" w:cstheme="minorHAnsi"/>
          <w:b/>
          <w:bCs/>
        </w:rPr>
        <w:t>:</w:t>
      </w:r>
      <w:r w:rsidRPr="0099509F">
        <w:rPr>
          <w:rFonts w:asciiTheme="minorHAnsi" w:hAnsiTheme="minorHAnsi" w:cstheme="minorHAnsi"/>
        </w:rPr>
        <w:t xml:space="preserve"> Regulation 22 </w:t>
      </w:r>
      <w:r w:rsidR="0099509F" w:rsidRPr="0099509F">
        <w:rPr>
          <w:rFonts w:asciiTheme="minorHAnsi" w:hAnsiTheme="minorHAnsi" w:cstheme="minorHAnsi"/>
        </w:rPr>
        <w:t xml:space="preserve">sets out the need for those specified to </w:t>
      </w:r>
      <w:r w:rsidR="0099509F" w:rsidRPr="0099509F">
        <w:rPr>
          <w:rFonts w:asciiTheme="minorHAnsi" w:hAnsiTheme="minorHAnsi" w:cstheme="minorHAnsi"/>
          <w:szCs w:val="24"/>
          <w:lang w:eastAsia="en-GB" w:bidi="ar-SA"/>
        </w:rPr>
        <w:t xml:space="preserve">maintain such security SPA as are necessary for the purpose of minimising the risk of loss, </w:t>
      </w:r>
      <w:proofErr w:type="gramStart"/>
      <w:r w:rsidR="0099509F" w:rsidRPr="0099509F">
        <w:rPr>
          <w:rFonts w:asciiTheme="minorHAnsi" w:hAnsiTheme="minorHAnsi" w:cstheme="minorHAnsi"/>
          <w:szCs w:val="24"/>
          <w:lang w:eastAsia="en-GB" w:bidi="ar-SA"/>
        </w:rPr>
        <w:t>theft</w:t>
      </w:r>
      <w:proofErr w:type="gramEnd"/>
      <w:r w:rsidR="0099509F" w:rsidRPr="0099509F">
        <w:rPr>
          <w:rFonts w:asciiTheme="minorHAnsi" w:hAnsiTheme="minorHAnsi" w:cstheme="minorHAnsi"/>
          <w:szCs w:val="24"/>
          <w:lang w:eastAsia="en-GB" w:bidi="ar-SA"/>
        </w:rPr>
        <w:t xml:space="preserve"> or unauthorised disclosure of, or unauthorised access to, any sensitive nuclear information, uranium </w:t>
      </w:r>
      <w:r w:rsidR="0099509F" w:rsidRPr="001C21DC">
        <w:rPr>
          <w:rFonts w:asciiTheme="minorHAnsi" w:hAnsiTheme="minorHAnsi" w:cstheme="minorHAnsi"/>
          <w:szCs w:val="24"/>
          <w:lang w:eastAsia="en-GB" w:bidi="ar-SA"/>
        </w:rPr>
        <w:t xml:space="preserve">enrichment equipment or uranium enrichment software within </w:t>
      </w:r>
      <w:r w:rsidR="00AA060A">
        <w:rPr>
          <w:rFonts w:asciiTheme="minorHAnsi" w:hAnsiTheme="minorHAnsi" w:cstheme="minorHAnsi"/>
          <w:szCs w:val="24"/>
          <w:lang w:eastAsia="en-GB" w:bidi="ar-SA"/>
        </w:rPr>
        <w:t>their</w:t>
      </w:r>
      <w:r w:rsidR="0099509F" w:rsidRPr="001C21DC">
        <w:rPr>
          <w:rFonts w:asciiTheme="minorHAnsi" w:hAnsiTheme="minorHAnsi" w:cstheme="minorHAnsi"/>
          <w:szCs w:val="24"/>
          <w:lang w:eastAsia="en-GB" w:bidi="ar-SA"/>
        </w:rPr>
        <w:t xml:space="preserve"> possession or control</w:t>
      </w:r>
      <w:r w:rsidR="00F77A5B" w:rsidRPr="001C21DC">
        <w:rPr>
          <w:rFonts w:asciiTheme="minorHAnsi" w:hAnsiTheme="minorHAnsi" w:cstheme="minorHAnsi"/>
          <w:szCs w:val="24"/>
          <w:lang w:eastAsia="en-GB" w:bidi="ar-SA"/>
        </w:rPr>
        <w:t>.</w:t>
      </w:r>
      <w:r w:rsidR="00255CBC">
        <w:rPr>
          <w:rFonts w:asciiTheme="minorHAnsi" w:hAnsiTheme="minorHAnsi" w:cstheme="minorHAnsi"/>
          <w:szCs w:val="24"/>
          <w:lang w:eastAsia="en-GB" w:bidi="ar-SA"/>
        </w:rPr>
        <w:t xml:space="preserve"> </w:t>
      </w:r>
      <w:r w:rsidR="00255CBC" w:rsidRPr="00255CBC">
        <w:rPr>
          <w:rFonts w:asciiTheme="minorHAnsi" w:hAnsiTheme="minorHAnsi" w:cstheme="minorHAnsi"/>
          <w:szCs w:val="24"/>
          <w:lang w:eastAsia="en-GB" w:bidi="ar-SA"/>
        </w:rPr>
        <w:t xml:space="preserve">Details of how ONR determines </w:t>
      </w:r>
      <w:proofErr w:type="gramStart"/>
      <w:r w:rsidR="00255CBC" w:rsidRPr="00255CBC">
        <w:rPr>
          <w:rFonts w:asciiTheme="minorHAnsi" w:hAnsiTheme="minorHAnsi" w:cstheme="minorHAnsi"/>
          <w:szCs w:val="24"/>
          <w:lang w:eastAsia="en-GB" w:bidi="ar-SA"/>
        </w:rPr>
        <w:t>whether or not</w:t>
      </w:r>
      <w:proofErr w:type="gramEnd"/>
      <w:r w:rsidR="00255CBC" w:rsidRPr="00255CBC">
        <w:rPr>
          <w:rFonts w:asciiTheme="minorHAnsi" w:hAnsiTheme="minorHAnsi" w:cstheme="minorHAnsi"/>
          <w:szCs w:val="24"/>
          <w:lang w:eastAsia="en-GB" w:bidi="ar-SA"/>
        </w:rPr>
        <w:t xml:space="preserve"> the risk has been minimised are contained in Appendix A.</w:t>
      </w:r>
    </w:p>
    <w:p w14:paraId="77599815" w14:textId="77D56B1E" w:rsidR="00941CCF" w:rsidRPr="001C21DC" w:rsidRDefault="00941CCF" w:rsidP="00BA0EA0">
      <w:pPr>
        <w:pStyle w:val="F9-Paragraph"/>
        <w:spacing w:after="0" w:line="240" w:lineRule="auto"/>
      </w:pPr>
      <w:r w:rsidRPr="001C21DC">
        <w:t xml:space="preserve">Full </w:t>
      </w:r>
      <w:r w:rsidR="0099509F" w:rsidRPr="001C21DC">
        <w:t xml:space="preserve">wording </w:t>
      </w:r>
      <w:r w:rsidR="00B65888" w:rsidRPr="001C21DC">
        <w:t xml:space="preserve">can be found in </w:t>
      </w:r>
      <w:r w:rsidRPr="001C21DC">
        <w:t>NISR 2003</w:t>
      </w:r>
      <w:r w:rsidR="0099509F" w:rsidRPr="001C21DC">
        <w:t xml:space="preserve">, and comprehensive guidance on interpretation of the law is </w:t>
      </w:r>
      <w:r w:rsidR="00561ED2" w:rsidRPr="001C21DC">
        <w:t xml:space="preserve">provided </w:t>
      </w:r>
      <w:r w:rsidR="0099509F" w:rsidRPr="001C21DC">
        <w:t xml:space="preserve">in </w:t>
      </w:r>
      <w:r w:rsidR="006E78EA" w:rsidRPr="001C21DC">
        <w:t>ONR</w:t>
      </w:r>
      <w:r w:rsidR="00561ED2" w:rsidRPr="001C21DC">
        <w:t xml:space="preserve"> publication</w:t>
      </w:r>
      <w:r w:rsidR="006E78EA" w:rsidRPr="001C21DC">
        <w:t xml:space="preserve"> </w:t>
      </w:r>
      <w:r w:rsidR="00332E96" w:rsidRPr="001C21DC">
        <w:t>‘</w:t>
      </w:r>
      <w:r w:rsidR="00B65888" w:rsidRPr="001C21DC">
        <w:rPr>
          <w:b/>
          <w:bCs/>
        </w:rPr>
        <w:t xml:space="preserve">Nuclear Industries Security Regulations 2003 </w:t>
      </w:r>
      <w:r w:rsidR="00561ED2" w:rsidRPr="001C21DC">
        <w:rPr>
          <w:b/>
          <w:bCs/>
        </w:rPr>
        <w:t>-</w:t>
      </w:r>
      <w:r w:rsidR="00B65888" w:rsidRPr="001C21DC">
        <w:rPr>
          <w:b/>
          <w:bCs/>
        </w:rPr>
        <w:t xml:space="preserve"> Guidance for Inspectors</w:t>
      </w:r>
      <w:r w:rsidR="00332E96" w:rsidRPr="001C21DC">
        <w:t>’</w:t>
      </w:r>
      <w:r w:rsidR="00B65888" w:rsidRPr="001C21DC">
        <w:t xml:space="preserve"> (Ref.</w:t>
      </w:r>
      <w:r w:rsidR="00676A90" w:rsidRPr="001C21DC">
        <w:t xml:space="preserve"> </w:t>
      </w:r>
      <w:sdt>
        <w:sdtPr>
          <w:id w:val="-465352999"/>
          <w:citation/>
        </w:sdtPr>
        <w:sdtContent>
          <w:r w:rsidR="0050270D" w:rsidRPr="001C21DC">
            <w:fldChar w:fldCharType="begin"/>
          </w:r>
          <w:r w:rsidR="00975732">
            <w:instrText xml:space="preserve">CITATION NISRguidance \l 2057 </w:instrText>
          </w:r>
          <w:r w:rsidR="0050270D" w:rsidRPr="001C21DC">
            <w:fldChar w:fldCharType="separate"/>
          </w:r>
          <w:r w:rsidR="00F17111" w:rsidRPr="00F17111">
            <w:rPr>
              <w:noProof/>
            </w:rPr>
            <w:t>[6]</w:t>
          </w:r>
          <w:r w:rsidR="0050270D" w:rsidRPr="001C21DC">
            <w:fldChar w:fldCharType="end"/>
          </w:r>
        </w:sdtContent>
      </w:sdt>
      <w:r w:rsidR="00676A90" w:rsidRPr="001C21DC">
        <w:t>).</w:t>
      </w:r>
    </w:p>
    <w:p w14:paraId="317A5897" w14:textId="31556803" w:rsidR="00D60BCB" w:rsidRPr="006E759A" w:rsidRDefault="00D60BCB" w:rsidP="00255CBC">
      <w:pPr>
        <w:pStyle w:val="F9-Paragraph"/>
        <w:numPr>
          <w:ilvl w:val="0"/>
          <w:numId w:val="0"/>
        </w:numPr>
        <w:ind w:left="851"/>
        <w:rPr>
          <w:highlight w:val="yellow"/>
        </w:rPr>
      </w:pPr>
    </w:p>
    <w:p w14:paraId="41C3DA1C" w14:textId="1DC5FF0E" w:rsidR="00D60BCB" w:rsidRDefault="00425179" w:rsidP="00300CCB">
      <w:pPr>
        <w:pStyle w:val="Heading1"/>
        <w:ind w:left="0" w:firstLine="0"/>
      </w:pPr>
      <w:bookmarkStart w:id="8" w:name="_Toc143174310"/>
      <w:r>
        <w:t xml:space="preserve">Guidance </w:t>
      </w:r>
      <w:r w:rsidR="00D60BCB">
        <w:t xml:space="preserve">on </w:t>
      </w:r>
      <w:r w:rsidR="00300CCB">
        <w:t>i</w:t>
      </w:r>
      <w:r w:rsidR="00D60BCB">
        <w:t xml:space="preserve">nspection of </w:t>
      </w:r>
      <w:r w:rsidR="00513AFD">
        <w:t>SPA</w:t>
      </w:r>
      <w:r w:rsidR="00D60BCB">
        <w:t xml:space="preserve"> and their </w:t>
      </w:r>
      <w:r w:rsidR="00300CCB">
        <w:t>i</w:t>
      </w:r>
      <w:r w:rsidR="00D60BCB">
        <w:t>mplementation</w:t>
      </w:r>
      <w:bookmarkEnd w:id="8"/>
    </w:p>
    <w:p w14:paraId="7DDFACFF" w14:textId="462A4254" w:rsidR="00EC7D83" w:rsidRDefault="00EC7D83" w:rsidP="00110719">
      <w:pPr>
        <w:pStyle w:val="F9-Paragraph"/>
      </w:pPr>
      <w:r>
        <w:t>This TIG should be read in conjunction with existing ONR guidance on inspection activity, which is both detailed and comprehensive</w:t>
      </w:r>
      <w:r w:rsidR="00EA0E66">
        <w:t>:</w:t>
      </w:r>
    </w:p>
    <w:p w14:paraId="2A472383" w14:textId="51E9CEBE" w:rsidR="00110719" w:rsidRDefault="00300CCB" w:rsidP="006F68D7">
      <w:pPr>
        <w:pStyle w:val="Bulletlist1"/>
      </w:pPr>
      <w:r w:rsidRPr="00300CCB">
        <w:rPr>
          <w:b/>
        </w:rPr>
        <w:t>ONR-INSP-GD-059</w:t>
      </w:r>
      <w:r>
        <w:t xml:space="preserve"> (Guidance for Inspection Strategy Planning and Recording – Ref. </w:t>
      </w:r>
      <w:sdt>
        <w:sdtPr>
          <w:id w:val="1007012679"/>
          <w:citation/>
        </w:sdtPr>
        <w:sdtContent>
          <w:r w:rsidR="0050270D">
            <w:fldChar w:fldCharType="begin"/>
          </w:r>
          <w:r w:rsidR="00975732">
            <w:instrText xml:space="preserve">CITATION GD059 \l 2057 </w:instrText>
          </w:r>
          <w:r w:rsidR="0050270D">
            <w:fldChar w:fldCharType="separate"/>
          </w:r>
          <w:r w:rsidR="00F17111" w:rsidRPr="00F17111">
            <w:rPr>
              <w:noProof/>
            </w:rPr>
            <w:t>[7]</w:t>
          </w:r>
          <w:r w:rsidR="0050270D">
            <w:fldChar w:fldCharType="end"/>
          </w:r>
        </w:sdtContent>
      </w:sdt>
      <w:r>
        <w:t>) covers t</w:t>
      </w:r>
      <w:r w:rsidR="00110719">
        <w:t>he production of annual inspection plans</w:t>
      </w:r>
      <w:r w:rsidR="00D82C1D">
        <w:t>, regulatory attention levels,</w:t>
      </w:r>
      <w:r w:rsidR="00110719">
        <w:t xml:space="preserve"> </w:t>
      </w:r>
      <w:r w:rsidR="00DB5792">
        <w:t xml:space="preserve">resource allocation, </w:t>
      </w:r>
      <w:r w:rsidR="009D360C">
        <w:t xml:space="preserve">the integrated intervention strategy, </w:t>
      </w:r>
      <w:r w:rsidR="00B85A50">
        <w:t xml:space="preserve">inspection types, </w:t>
      </w:r>
      <w:r w:rsidR="00110719">
        <w:t>and associated governance arrangements</w:t>
      </w:r>
      <w:r>
        <w:t>.</w:t>
      </w:r>
    </w:p>
    <w:p w14:paraId="062A2ED6" w14:textId="27D5EF37" w:rsidR="00110719" w:rsidRDefault="00300CCB" w:rsidP="006F68D7">
      <w:pPr>
        <w:pStyle w:val="Bulletlist1"/>
      </w:pPr>
      <w:r w:rsidRPr="00300CCB">
        <w:rPr>
          <w:b/>
        </w:rPr>
        <w:lastRenderedPageBreak/>
        <w:t xml:space="preserve">ONR-INSP-GD-064 </w:t>
      </w:r>
      <w:r w:rsidRPr="00300CCB">
        <w:t xml:space="preserve">(General Inspection Guide – Ref. </w:t>
      </w:r>
      <w:sdt>
        <w:sdtPr>
          <w:id w:val="143016993"/>
          <w:citation/>
        </w:sdtPr>
        <w:sdtContent>
          <w:r w:rsidR="0050270D">
            <w:fldChar w:fldCharType="begin"/>
          </w:r>
          <w:r w:rsidR="00975732">
            <w:instrText xml:space="preserve">CITATION GD064 \l 2057 </w:instrText>
          </w:r>
          <w:r w:rsidR="0050270D">
            <w:fldChar w:fldCharType="separate"/>
          </w:r>
          <w:r w:rsidR="00F17111" w:rsidRPr="00F17111">
            <w:rPr>
              <w:noProof/>
            </w:rPr>
            <w:t>[8]</w:t>
          </w:r>
          <w:r w:rsidR="0050270D">
            <w:fldChar w:fldCharType="end"/>
          </w:r>
        </w:sdtContent>
      </w:sdt>
      <w:r w:rsidRPr="00300CCB">
        <w:t>)</w:t>
      </w:r>
      <w:r w:rsidR="00110719">
        <w:t xml:space="preserve"> </w:t>
      </w:r>
      <w:r w:rsidR="00110719" w:rsidRPr="00BE79F6">
        <w:t>covers the stages of the inspection process</w:t>
      </w:r>
      <w:r w:rsidR="00BE79F6" w:rsidRPr="00BE79F6">
        <w:t xml:space="preserve"> – Planning, Preparation, Delivery and Record.</w:t>
      </w:r>
      <w:r w:rsidR="00110719" w:rsidRPr="00BE79F6">
        <w:t xml:space="preserve"> </w:t>
      </w:r>
      <w:r w:rsidR="00BE79F6" w:rsidRPr="00BE79F6">
        <w:t xml:space="preserve">This guidance applies to </w:t>
      </w:r>
      <w:r w:rsidR="005B5AD0">
        <w:t xml:space="preserve">all </w:t>
      </w:r>
      <w:r w:rsidR="00BE79F6" w:rsidRPr="00BE79F6">
        <w:t xml:space="preserve">security </w:t>
      </w:r>
      <w:r w:rsidR="00110719" w:rsidRPr="00BE79F6">
        <w:t>compliance inspections, whether planned or reactive.</w:t>
      </w:r>
      <w:r w:rsidR="00EC7D83" w:rsidRPr="00BE79F6">
        <w:t xml:space="preserve"> </w:t>
      </w:r>
      <w:r w:rsidR="00EC7D83">
        <w:t xml:space="preserve">It provides detailed advice on a variety of important topics such as </w:t>
      </w:r>
      <w:r>
        <w:t xml:space="preserve">use of the </w:t>
      </w:r>
      <w:r w:rsidR="00EC7D83">
        <w:t>WIReD</w:t>
      </w:r>
      <w:r>
        <w:t xml:space="preserve"> system</w:t>
      </w:r>
      <w:r w:rsidR="00EC7D83">
        <w:t xml:space="preserve">, inspection ratings, </w:t>
      </w:r>
      <w:r w:rsidR="0011299F">
        <w:t xml:space="preserve">Regulatory </w:t>
      </w:r>
      <w:proofErr w:type="gramStart"/>
      <w:r w:rsidR="0011299F">
        <w:t>Issues</w:t>
      </w:r>
      <w:proofErr w:type="gramEnd"/>
      <w:r w:rsidR="0011299F">
        <w:t xml:space="preserve"> </w:t>
      </w:r>
      <w:r w:rsidR="00EC7D83">
        <w:t>and the Enforcement Management Model</w:t>
      </w:r>
      <w:r w:rsidR="00C7172A">
        <w:t xml:space="preserve"> (EMM)</w:t>
      </w:r>
      <w:r w:rsidR="00EC7D83">
        <w:t>.</w:t>
      </w:r>
    </w:p>
    <w:p w14:paraId="7E29BFCD" w14:textId="25A841B8" w:rsidR="002A0603" w:rsidRDefault="002A0603">
      <w:pPr>
        <w:spacing w:after="0" w:line="240" w:lineRule="auto"/>
      </w:pPr>
    </w:p>
    <w:p w14:paraId="5118016F" w14:textId="0F17EB55" w:rsidR="004414B4" w:rsidRPr="00E15122" w:rsidRDefault="00E41D8C" w:rsidP="00EC7D83">
      <w:pPr>
        <w:pStyle w:val="Heading2"/>
        <w:ind w:hanging="792"/>
      </w:pPr>
      <w:bookmarkStart w:id="9" w:name="_Toc137562709"/>
      <w:bookmarkStart w:id="10" w:name="_Toc143174311"/>
      <w:r w:rsidRPr="00E15122">
        <w:t xml:space="preserve">Guidance on selecting </w:t>
      </w:r>
      <w:r w:rsidR="00F95654">
        <w:t xml:space="preserve">and scoping </w:t>
      </w:r>
      <w:r w:rsidR="00E15122" w:rsidRPr="00E15122">
        <w:t xml:space="preserve">SPA </w:t>
      </w:r>
      <w:r w:rsidRPr="00E15122">
        <w:t xml:space="preserve">to </w:t>
      </w:r>
      <w:proofErr w:type="gramStart"/>
      <w:r w:rsidRPr="00E15122">
        <w:t>inspect</w:t>
      </w:r>
      <w:bookmarkEnd w:id="9"/>
      <w:bookmarkEnd w:id="10"/>
      <w:proofErr w:type="gramEnd"/>
      <w:r w:rsidRPr="00E15122">
        <w:t xml:space="preserve"> </w:t>
      </w:r>
    </w:p>
    <w:p w14:paraId="20FBD0B3" w14:textId="19AFDEDF" w:rsidR="004414B4" w:rsidRPr="00BB29E5" w:rsidRDefault="009E3B13" w:rsidP="00821496">
      <w:pPr>
        <w:pStyle w:val="F9-Paragraph"/>
      </w:pPr>
      <w:r>
        <w:t>C</w:t>
      </w:r>
      <w:r w:rsidR="004414B4" w:rsidRPr="00BB29E5">
        <w:t xml:space="preserve">ompliance inspections are an essential element of ONR's overall intervention strategy on nuclear </w:t>
      </w:r>
      <w:r w:rsidR="00C7172A">
        <w:t>premises</w:t>
      </w:r>
      <w:r w:rsidR="004414B4" w:rsidRPr="00BB29E5">
        <w:t>. The</w:t>
      </w:r>
      <w:r w:rsidR="00EA0E66">
        <w:t xml:space="preserve">se </w:t>
      </w:r>
      <w:r w:rsidR="004414B4" w:rsidRPr="00BB29E5">
        <w:t xml:space="preserve">are intended to establish that the arrangements within the </w:t>
      </w:r>
      <w:r>
        <w:t xml:space="preserve">SP </w:t>
      </w:r>
      <w:r w:rsidR="004414B4" w:rsidRPr="00BB29E5">
        <w:t>have been effectively implemented</w:t>
      </w:r>
      <w:r w:rsidR="00EA0E66">
        <w:t>,</w:t>
      </w:r>
      <w:r w:rsidR="004414B4" w:rsidRPr="00BB29E5">
        <w:t xml:space="preserve"> such that they are fit for purpose and will fulfil their security functional requirements</w:t>
      </w:r>
      <w:r w:rsidR="00821E3B">
        <w:t>,</w:t>
      </w:r>
      <w:r w:rsidR="004414B4" w:rsidRPr="00BB29E5">
        <w:t xml:space="preserve"> in support of achieving the required security outcome. </w:t>
      </w:r>
    </w:p>
    <w:p w14:paraId="7782208A" w14:textId="2C2EB260" w:rsidR="004414B4" w:rsidRDefault="004414B4" w:rsidP="003C60EF">
      <w:pPr>
        <w:pStyle w:val="F9-Paragraph"/>
      </w:pPr>
      <w:r w:rsidRPr="00BB29E5">
        <w:t xml:space="preserve">Whilst it is recognised that all nuclear premises </w:t>
      </w:r>
      <w:r w:rsidR="00C7172A">
        <w:t xml:space="preserve">are required by law to </w:t>
      </w:r>
      <w:r w:rsidRPr="00BB29E5">
        <w:t xml:space="preserve">have an approved </w:t>
      </w:r>
      <w:r w:rsidR="009E3B13">
        <w:t>SP</w:t>
      </w:r>
      <w:r w:rsidRPr="00BB29E5">
        <w:t>, there will be considerable variation between, for example</w:t>
      </w:r>
      <w:r w:rsidR="008237A9">
        <w:t>,</w:t>
      </w:r>
      <w:r w:rsidRPr="00BB29E5">
        <w:t xml:space="preserve"> </w:t>
      </w:r>
      <w:r w:rsidR="0099509F">
        <w:t xml:space="preserve">SPA </w:t>
      </w:r>
      <w:r w:rsidRPr="00BB29E5">
        <w:t xml:space="preserve">for an operational reactor site versus a site </w:t>
      </w:r>
      <w:r w:rsidR="00262A72">
        <w:t xml:space="preserve">holding only Cat IV material and </w:t>
      </w:r>
      <w:r w:rsidRPr="00BB29E5">
        <w:t xml:space="preserve">undergoing decommissioning. </w:t>
      </w:r>
      <w:r w:rsidR="00D6087C" w:rsidRPr="00BB29E5">
        <w:t xml:space="preserve">ONR is a sampling </w:t>
      </w:r>
      <w:proofErr w:type="gramStart"/>
      <w:r w:rsidR="00D6087C" w:rsidRPr="00BB29E5">
        <w:t>organisation</w:t>
      </w:r>
      <w:proofErr w:type="gramEnd"/>
      <w:r w:rsidR="00D6087C" w:rsidRPr="00BB29E5">
        <w:t xml:space="preserve"> and it would not be </w:t>
      </w:r>
      <w:r w:rsidR="00366746">
        <w:t>appropriate</w:t>
      </w:r>
      <w:r w:rsidR="00D6087C" w:rsidRPr="00BB29E5">
        <w:t xml:space="preserve"> to inspect every aspect of SPA compliance with all aspects of </w:t>
      </w:r>
      <w:r w:rsidR="00271012">
        <w:t>every</w:t>
      </w:r>
      <w:r w:rsidR="00D6087C" w:rsidRPr="00BB29E5">
        <w:t xml:space="preserve"> </w:t>
      </w:r>
      <w:r w:rsidR="00D6087C">
        <w:t>SP</w:t>
      </w:r>
      <w:r w:rsidR="00D6087C" w:rsidRPr="00BB29E5">
        <w:t>.</w:t>
      </w:r>
    </w:p>
    <w:p w14:paraId="3DA31925" w14:textId="1D9AC638" w:rsidR="00A368AB" w:rsidRPr="00A16FD4" w:rsidRDefault="00A368AB" w:rsidP="00A368AB">
      <w:pPr>
        <w:pStyle w:val="F9-Paragraph"/>
      </w:pPr>
      <w:r w:rsidRPr="00A16FD4">
        <w:t xml:space="preserve">The purpose and principles of enforcement, as set out in the ONR Enforcement Policy Statement (ref. </w:t>
      </w:r>
      <w:sdt>
        <w:sdtPr>
          <w:id w:val="-312952427"/>
          <w:citation/>
        </w:sdtPr>
        <w:sdtContent>
          <w:r w:rsidRPr="00A16FD4">
            <w:fldChar w:fldCharType="begin"/>
          </w:r>
          <w:r w:rsidR="00975732">
            <w:instrText xml:space="preserve">CITATION EPS \l 2057 </w:instrText>
          </w:r>
          <w:r w:rsidRPr="00A16FD4">
            <w:fldChar w:fldCharType="separate"/>
          </w:r>
          <w:r w:rsidR="00F17111" w:rsidRPr="00F17111">
            <w:rPr>
              <w:noProof/>
            </w:rPr>
            <w:t>[9]</w:t>
          </w:r>
          <w:r w:rsidRPr="00A16FD4">
            <w:fldChar w:fldCharType="end"/>
          </w:r>
        </w:sdtContent>
      </w:sdt>
      <w:r w:rsidRPr="00A16FD4">
        <w:t xml:space="preserve">), should be at the forefront of an inspector’s mind when undertaking all stages of compliance inspection. </w:t>
      </w:r>
      <w:proofErr w:type="gramStart"/>
      <w:r w:rsidRPr="00A16FD4">
        <w:t>In particular, security</w:t>
      </w:r>
      <w:proofErr w:type="gramEnd"/>
      <w:r w:rsidRPr="00A16FD4">
        <w:t xml:space="preserve"> inspectors should ensure that inspections are targeted according to relevant factors such as </w:t>
      </w:r>
      <w:r w:rsidR="001E6276">
        <w:t>r</w:t>
      </w:r>
      <w:r w:rsidRPr="00A16FD4">
        <w:t xml:space="preserve">egulatory </w:t>
      </w:r>
      <w:r w:rsidR="001E6276">
        <w:t>a</w:t>
      </w:r>
      <w:r w:rsidRPr="00A16FD4">
        <w:t xml:space="preserve">ttention </w:t>
      </w:r>
      <w:r w:rsidR="001E6276">
        <w:t>l</w:t>
      </w:r>
      <w:r w:rsidRPr="00A16FD4">
        <w:t>evel, regulatory strategy, level of risk, and regulatory intelligence.</w:t>
      </w:r>
    </w:p>
    <w:p w14:paraId="7578828A" w14:textId="12BC4868" w:rsidR="00077B5C" w:rsidRDefault="00A368AB" w:rsidP="001E763D">
      <w:pPr>
        <w:pStyle w:val="F9-Paragraph"/>
      </w:pPr>
      <w:r w:rsidRPr="00ED6D58">
        <w:t xml:space="preserve">Through interrogation of CAE in the approved SP, inspectors will be able to identify appropriate SPA, their intended function, and the contribution they make towards meeting required security outcomes. Inspectors can then shape the inspection scope, to </w:t>
      </w:r>
      <w:r>
        <w:t>obtain</w:t>
      </w:r>
      <w:r w:rsidRPr="00ED6D58">
        <w:t xml:space="preserve"> assurance that SPA have been implemented in accordance with the approved SP and are achieving the necessary effect.</w:t>
      </w:r>
    </w:p>
    <w:p w14:paraId="18CA17AE" w14:textId="2790799E" w:rsidR="009D60F0" w:rsidRPr="00A50371" w:rsidRDefault="009B2722" w:rsidP="00816D84">
      <w:pPr>
        <w:pStyle w:val="F9-Paragraph"/>
      </w:pPr>
      <w:proofErr w:type="spellStart"/>
      <w:r>
        <w:t>SyAPs</w:t>
      </w:r>
      <w:proofErr w:type="spellEnd"/>
      <w:r>
        <w:t xml:space="preserve"> broadly divides </w:t>
      </w:r>
      <w:proofErr w:type="spellStart"/>
      <w:r w:rsidR="004B49BC">
        <w:t>FSyPs</w:t>
      </w:r>
      <w:proofErr w:type="spellEnd"/>
      <w:r w:rsidR="004B49BC">
        <w:t xml:space="preserve"> </w:t>
      </w:r>
      <w:r w:rsidR="004D232E">
        <w:t>into two categories: Strategic Enablers (</w:t>
      </w:r>
      <w:proofErr w:type="spellStart"/>
      <w:r w:rsidR="004D232E">
        <w:t>FSyPs</w:t>
      </w:r>
      <w:proofErr w:type="spellEnd"/>
      <w:r w:rsidR="004D232E">
        <w:t xml:space="preserve"> 1-5) and Secure Operations (</w:t>
      </w:r>
      <w:proofErr w:type="spellStart"/>
      <w:r w:rsidR="004D232E">
        <w:t>FSyPs</w:t>
      </w:r>
      <w:proofErr w:type="spellEnd"/>
      <w:r w:rsidR="004D232E">
        <w:t xml:space="preserve"> 6-10).</w:t>
      </w:r>
      <w:r w:rsidR="00210CE2">
        <w:t xml:space="preserve"> </w:t>
      </w:r>
      <w:r w:rsidR="00D77693">
        <w:t>Many</w:t>
      </w:r>
      <w:r w:rsidR="00CC698C">
        <w:t xml:space="preserve"> compliance inspections will </w:t>
      </w:r>
      <w:r w:rsidR="007D5B2A">
        <w:t xml:space="preserve">include the sampling of </w:t>
      </w:r>
      <w:r w:rsidR="00490DFA">
        <w:t xml:space="preserve">selected </w:t>
      </w:r>
      <w:r w:rsidR="00F61532">
        <w:t xml:space="preserve">elements from </w:t>
      </w:r>
      <w:proofErr w:type="spellStart"/>
      <w:r w:rsidR="001F5370">
        <w:t>FSyPs</w:t>
      </w:r>
      <w:proofErr w:type="spellEnd"/>
      <w:r w:rsidR="001F5370">
        <w:t xml:space="preserve"> 6-10</w:t>
      </w:r>
      <w:r w:rsidR="007D5B2A">
        <w:t xml:space="preserve"> (depending on security specialism)</w:t>
      </w:r>
      <w:r w:rsidR="00210CE2">
        <w:t xml:space="preserve">, </w:t>
      </w:r>
      <w:r w:rsidR="00D77693">
        <w:t xml:space="preserve">which </w:t>
      </w:r>
      <w:r w:rsidR="001F5370">
        <w:t xml:space="preserve">focus upon </w:t>
      </w:r>
      <w:r w:rsidR="00A50371" w:rsidRPr="00A50371">
        <w:t xml:space="preserve">the </w:t>
      </w:r>
      <w:r w:rsidR="000F66D2">
        <w:t xml:space="preserve">operational </w:t>
      </w:r>
      <w:r w:rsidR="00A50371" w:rsidRPr="00A50371">
        <w:t>implementation and maintenance of nuclear security:</w:t>
      </w:r>
    </w:p>
    <w:p w14:paraId="1BFB2F67" w14:textId="3CC313D1" w:rsidR="009D60F0" w:rsidRPr="009A111C" w:rsidRDefault="009D60F0" w:rsidP="006F68D7">
      <w:pPr>
        <w:pStyle w:val="Bulletlist1"/>
        <w:rPr>
          <w:sz w:val="28"/>
          <w:szCs w:val="24"/>
        </w:rPr>
      </w:pPr>
      <w:r w:rsidRPr="009A111C">
        <w:rPr>
          <w:b/>
        </w:rPr>
        <w:lastRenderedPageBreak/>
        <w:t>FSyP 6: Physical Protection Systems</w:t>
      </w:r>
      <w:r w:rsidR="00392885" w:rsidRPr="00392885">
        <w:rPr>
          <w:rStyle w:val="FootnoteReference"/>
          <w:bCs w:val="0"/>
        </w:rPr>
        <w:footnoteReference w:id="2"/>
      </w:r>
      <w:r w:rsidRPr="009A111C">
        <w:t xml:space="preserve"> (Categorisation for Theft; Categorisation for Sabotage; Physical Protection System Design; Vulnerability Assessments; Adjacent or Enclave Nuclear Premises; Nuclear Construction Sites</w:t>
      </w:r>
      <w:r w:rsidRPr="009A111C">
        <w:rPr>
          <w:sz w:val="22"/>
        </w:rPr>
        <w:t xml:space="preserve">; </w:t>
      </w:r>
      <w:r w:rsidRPr="009A111C">
        <w:rPr>
          <w:szCs w:val="24"/>
        </w:rPr>
        <w:t>Protection of Nuclear Material During Offsite Transportation).</w:t>
      </w:r>
    </w:p>
    <w:p w14:paraId="0E5636F2" w14:textId="5DD69151" w:rsidR="009D60F0" w:rsidRPr="009A111C" w:rsidRDefault="009D60F0" w:rsidP="006F68D7">
      <w:pPr>
        <w:pStyle w:val="Bulletlist1"/>
      </w:pPr>
      <w:r w:rsidRPr="009A111C">
        <w:rPr>
          <w:b/>
        </w:rPr>
        <w:t xml:space="preserve">FSyP 7: Cyber Security and Information Assurance </w:t>
      </w:r>
      <w:r w:rsidRPr="009A111C">
        <w:t xml:space="preserve">(Effective Cyber and Information Risk Management; Information Security; Protection of Nuclear Technology and Operations; Physical Protection of Information; </w:t>
      </w:r>
      <w:r w:rsidRPr="009020CB">
        <w:t>Preparation for and Response to Cyber Security Incidents</w:t>
      </w:r>
      <w:r w:rsidRPr="009A111C">
        <w:t>).</w:t>
      </w:r>
    </w:p>
    <w:p w14:paraId="1C86A20E" w14:textId="77777777" w:rsidR="009D60F0" w:rsidRPr="009A111C" w:rsidRDefault="009D60F0" w:rsidP="006F68D7">
      <w:pPr>
        <w:pStyle w:val="Bulletlist1"/>
      </w:pPr>
      <w:r w:rsidRPr="009A111C">
        <w:rPr>
          <w:b/>
        </w:rPr>
        <w:t xml:space="preserve">FSyP 8 - Workforce Trustworthiness </w:t>
      </w:r>
      <w:r w:rsidRPr="009A111C">
        <w:t>(Cooperation of Departments with Responsibility for Delivering Screening, Vetting and Ongoing Personnel Security; Pre-employment Screening and National Security Vetting; Ongoing Personnel Security).</w:t>
      </w:r>
    </w:p>
    <w:p w14:paraId="7403B924" w14:textId="7C30FE6D" w:rsidR="009D60F0" w:rsidRPr="009A111C" w:rsidRDefault="009D60F0" w:rsidP="006F68D7">
      <w:pPr>
        <w:pStyle w:val="Bulletlist1"/>
      </w:pPr>
      <w:r w:rsidRPr="00392885">
        <w:rPr>
          <w:b/>
        </w:rPr>
        <w:t>FSyP 9 - Policing and Guarding</w:t>
      </w:r>
      <w:r w:rsidR="00392885" w:rsidRPr="00392885">
        <w:rPr>
          <w:vertAlign w:val="superscript"/>
        </w:rPr>
        <w:t>1</w:t>
      </w:r>
      <w:r w:rsidRPr="00392885">
        <w:rPr>
          <w:b/>
        </w:rPr>
        <w:t xml:space="preserve"> </w:t>
      </w:r>
      <w:r w:rsidRPr="009A111C">
        <w:t>(CNC Response Force; Local Police Operations in Support of the Dutyholder; Security Guard Services).</w:t>
      </w:r>
    </w:p>
    <w:p w14:paraId="4DE293E9" w14:textId="1F2BB38A" w:rsidR="009D60F0" w:rsidRPr="009A111C" w:rsidRDefault="009D60F0" w:rsidP="006F68D7">
      <w:pPr>
        <w:pStyle w:val="Bulletlist1"/>
      </w:pPr>
      <w:r w:rsidRPr="009A111C">
        <w:rPr>
          <w:b/>
        </w:rPr>
        <w:t>FSyP 10 - Emergency Preparedness and Response</w:t>
      </w:r>
      <w:r w:rsidR="00392885" w:rsidRPr="00392885">
        <w:rPr>
          <w:vertAlign w:val="superscript"/>
        </w:rPr>
        <w:t>1</w:t>
      </w:r>
      <w:r w:rsidRPr="009A111C">
        <w:rPr>
          <w:b/>
        </w:rPr>
        <w:t xml:space="preserve"> </w:t>
      </w:r>
      <w:r w:rsidRPr="009A111C">
        <w:t>(Counter Terrorism Measures, Emergency Preparedness and Response Planning; Testing and Exercising the Security Response; Clarity of Command, Control and Communications Arrangements During and Post a Nuclear Security Event).</w:t>
      </w:r>
    </w:p>
    <w:p w14:paraId="2C6F1099" w14:textId="3B96F8BC" w:rsidR="00D009C6" w:rsidRDefault="00D009C6" w:rsidP="00D009C6">
      <w:pPr>
        <w:pStyle w:val="F9-Paragraph"/>
      </w:pPr>
      <w:r>
        <w:t>Inspectors should also consider the SyAPs Key Security Plan Principles (</w:t>
      </w:r>
      <w:proofErr w:type="spellStart"/>
      <w:r>
        <w:t>KSyPP</w:t>
      </w:r>
      <w:proofErr w:type="spellEnd"/>
      <w:r>
        <w:t>), which ought to be applied across the breadth of an approved SP. Applying these principles requires judgement and proportionality</w:t>
      </w:r>
      <w:r w:rsidR="002401AC">
        <w:t>,</w:t>
      </w:r>
      <w:r>
        <w:t xml:space="preserve"> in deciding which are relevant to a situation and the adequacy of compliance:</w:t>
      </w:r>
    </w:p>
    <w:p w14:paraId="3BDC7986" w14:textId="77777777" w:rsidR="00D009C6" w:rsidRPr="00990585" w:rsidRDefault="00D009C6" w:rsidP="006F68D7">
      <w:pPr>
        <w:pStyle w:val="Bulletlist1"/>
      </w:pPr>
      <w:proofErr w:type="spellStart"/>
      <w:r w:rsidRPr="00990585">
        <w:t>KSyPP</w:t>
      </w:r>
      <w:proofErr w:type="spellEnd"/>
      <w:r w:rsidRPr="00990585">
        <w:t xml:space="preserve"> 1: Secure by Design</w:t>
      </w:r>
    </w:p>
    <w:p w14:paraId="142EEF83" w14:textId="77777777" w:rsidR="00D009C6" w:rsidRPr="00990585" w:rsidRDefault="00D009C6" w:rsidP="006F68D7">
      <w:pPr>
        <w:pStyle w:val="Bulletlist1"/>
      </w:pPr>
      <w:proofErr w:type="spellStart"/>
      <w:r w:rsidRPr="00990585">
        <w:t>KSyPP</w:t>
      </w:r>
      <w:proofErr w:type="spellEnd"/>
      <w:r w:rsidRPr="00990585">
        <w:t xml:space="preserve"> 2: The Threat</w:t>
      </w:r>
    </w:p>
    <w:p w14:paraId="67A7224B" w14:textId="77777777" w:rsidR="00D009C6" w:rsidRPr="00990585" w:rsidRDefault="00D009C6" w:rsidP="006F68D7">
      <w:pPr>
        <w:pStyle w:val="Bulletlist1"/>
      </w:pPr>
      <w:proofErr w:type="spellStart"/>
      <w:r w:rsidRPr="00990585">
        <w:t>KSyPP</w:t>
      </w:r>
      <w:proofErr w:type="spellEnd"/>
      <w:r w:rsidRPr="00990585">
        <w:t xml:space="preserve"> 3: The Graded Approach</w:t>
      </w:r>
    </w:p>
    <w:p w14:paraId="11DB8FCF" w14:textId="77777777" w:rsidR="00D009C6" w:rsidRPr="00990585" w:rsidRDefault="00D009C6" w:rsidP="006F68D7">
      <w:pPr>
        <w:pStyle w:val="Bulletlist1"/>
      </w:pPr>
      <w:proofErr w:type="spellStart"/>
      <w:r w:rsidRPr="00990585">
        <w:t>KSyPP</w:t>
      </w:r>
      <w:proofErr w:type="spellEnd"/>
      <w:r w:rsidRPr="00990585">
        <w:t xml:space="preserve"> 4: Defence in Depth</w:t>
      </w:r>
    </w:p>
    <w:p w14:paraId="2F28B5A4" w14:textId="77777777" w:rsidR="00D009C6" w:rsidRPr="00990585" w:rsidRDefault="00D009C6" w:rsidP="006F68D7">
      <w:pPr>
        <w:pStyle w:val="Bulletlist1"/>
      </w:pPr>
      <w:proofErr w:type="spellStart"/>
      <w:r w:rsidRPr="00990585">
        <w:t>KSyPP</w:t>
      </w:r>
      <w:proofErr w:type="spellEnd"/>
      <w:r w:rsidRPr="00990585">
        <w:t xml:space="preserve"> 5: Security Functional Categorisation and Classification</w:t>
      </w:r>
    </w:p>
    <w:p w14:paraId="47CD2C52" w14:textId="53E91566" w:rsidR="00D009C6" w:rsidRPr="00990585" w:rsidRDefault="00D009C6" w:rsidP="006F68D7">
      <w:pPr>
        <w:pStyle w:val="Bulletlist1"/>
      </w:pPr>
      <w:proofErr w:type="spellStart"/>
      <w:r w:rsidRPr="00990585">
        <w:t>KSyPP</w:t>
      </w:r>
      <w:proofErr w:type="spellEnd"/>
      <w:r w:rsidRPr="00990585">
        <w:t xml:space="preserve"> 6: Managing Changes to </w:t>
      </w:r>
      <w:r w:rsidR="00037B9C">
        <w:t xml:space="preserve">Security </w:t>
      </w:r>
      <w:r w:rsidRPr="00990585">
        <w:t>SPA</w:t>
      </w:r>
    </w:p>
    <w:p w14:paraId="252A142B" w14:textId="77777777" w:rsidR="00D009C6" w:rsidRPr="00990585" w:rsidRDefault="00D009C6" w:rsidP="006F68D7">
      <w:pPr>
        <w:pStyle w:val="Bulletlist1"/>
      </w:pPr>
      <w:proofErr w:type="spellStart"/>
      <w:r w:rsidRPr="00990585">
        <w:t>KSyPP</w:t>
      </w:r>
      <w:proofErr w:type="spellEnd"/>
      <w:r w:rsidRPr="00990585">
        <w:t xml:space="preserve"> 7: Codes and Standards</w:t>
      </w:r>
    </w:p>
    <w:p w14:paraId="6103511E" w14:textId="60257979" w:rsidR="00C57BE9" w:rsidRPr="00ED6D58" w:rsidRDefault="00C57BE9" w:rsidP="00AD5202">
      <w:pPr>
        <w:pStyle w:val="F9-Paragraph"/>
      </w:pPr>
      <w:r w:rsidRPr="00ED6D58">
        <w:lastRenderedPageBreak/>
        <w:t>Th</w:t>
      </w:r>
      <w:r w:rsidR="002401AC">
        <w:t>e</w:t>
      </w:r>
      <w:r w:rsidRPr="00ED6D58">
        <w:t xml:space="preserve"> </w:t>
      </w:r>
      <w:r w:rsidR="00D6087C" w:rsidRPr="00ED6D58">
        <w:t xml:space="preserve">process should </w:t>
      </w:r>
      <w:r w:rsidR="002401AC">
        <w:t xml:space="preserve">also </w:t>
      </w:r>
      <w:r w:rsidR="00D6087C" w:rsidRPr="00ED6D58">
        <w:t xml:space="preserve">highlight </w:t>
      </w:r>
      <w:r w:rsidR="005F1B3D">
        <w:t>likely</w:t>
      </w:r>
      <w:r w:rsidR="00D60784" w:rsidRPr="00ED6D58">
        <w:t xml:space="preserve"> </w:t>
      </w:r>
      <w:r w:rsidR="0096366C" w:rsidRPr="00ED6D58">
        <w:t xml:space="preserve">resource </w:t>
      </w:r>
      <w:r w:rsidR="00D60784" w:rsidRPr="00ED6D58">
        <w:t>require</w:t>
      </w:r>
      <w:r w:rsidR="0096366C" w:rsidRPr="00ED6D58">
        <w:t xml:space="preserve">ments </w:t>
      </w:r>
      <w:proofErr w:type="gramStart"/>
      <w:r w:rsidR="0096366C" w:rsidRPr="00ED6D58">
        <w:t>e.g.</w:t>
      </w:r>
      <w:proofErr w:type="gramEnd"/>
      <w:r w:rsidR="0096366C" w:rsidRPr="00ED6D58">
        <w:t xml:space="preserve"> support </w:t>
      </w:r>
      <w:r w:rsidRPr="00ED6D58">
        <w:t xml:space="preserve">from </w:t>
      </w:r>
      <w:r w:rsidR="0096366C" w:rsidRPr="00ED6D58">
        <w:t>other ONR specialisms</w:t>
      </w:r>
      <w:r w:rsidR="00D6087C" w:rsidRPr="00ED6D58">
        <w:t xml:space="preserve"> or purposes</w:t>
      </w:r>
      <w:r w:rsidR="00D60784" w:rsidRPr="00ED6D58">
        <w:t>.</w:t>
      </w:r>
      <w:r w:rsidRPr="00ED6D58">
        <w:t xml:space="preserve"> Inspectors should consider an integrated</w:t>
      </w:r>
      <w:r w:rsidR="0096366C" w:rsidRPr="00ED6D58">
        <w:t xml:space="preserve"> </w:t>
      </w:r>
      <w:r w:rsidRPr="00ED6D58">
        <w:t>approach</w:t>
      </w:r>
      <w:r w:rsidR="0096366C" w:rsidRPr="00ED6D58">
        <w:t>,</w:t>
      </w:r>
      <w:r w:rsidRPr="00ED6D58">
        <w:t xml:space="preserve"> particularly when inspecting SyAPs strategic enablers (see Section 4.3). The level of </w:t>
      </w:r>
      <w:r w:rsidR="0096366C" w:rsidRPr="00ED6D58">
        <w:t>resource</w:t>
      </w:r>
      <w:r w:rsidRPr="00ED6D58">
        <w:t xml:space="preserve"> </w:t>
      </w:r>
      <w:r w:rsidR="00D6087C" w:rsidRPr="00ED6D58">
        <w:t xml:space="preserve">support </w:t>
      </w:r>
      <w:r w:rsidRPr="00ED6D58">
        <w:t>could vary, for example:</w:t>
      </w:r>
    </w:p>
    <w:p w14:paraId="6CB7155A" w14:textId="531BBFAD" w:rsidR="0096366C" w:rsidRPr="009A111C" w:rsidRDefault="00D96024" w:rsidP="006F68D7">
      <w:pPr>
        <w:pStyle w:val="Bulletlist1"/>
      </w:pPr>
      <w:r w:rsidRPr="00ED6D58">
        <w:t>Before inspecting b</w:t>
      </w:r>
      <w:r w:rsidR="00AE7DFA" w:rsidRPr="00ED6D58">
        <w:t>ackup power for security systems</w:t>
      </w:r>
      <w:r w:rsidRPr="00ED6D58">
        <w:t>, the</w:t>
      </w:r>
      <w:r w:rsidR="00AE7DFA" w:rsidRPr="00ED6D58">
        <w:t xml:space="preserve"> inspector </w:t>
      </w:r>
      <w:r w:rsidRPr="00ED6D58">
        <w:t>might</w:t>
      </w:r>
      <w:r w:rsidRPr="009A111C">
        <w:t xml:space="preserve"> </w:t>
      </w:r>
      <w:r w:rsidR="00AE7DFA" w:rsidRPr="009A111C">
        <w:t xml:space="preserve">ask an </w:t>
      </w:r>
      <w:r w:rsidR="001B1147" w:rsidRPr="009A111C">
        <w:t>ONR e</w:t>
      </w:r>
      <w:r w:rsidR="00AE7DFA" w:rsidRPr="009A111C">
        <w:t xml:space="preserve">lectrical </w:t>
      </w:r>
      <w:r w:rsidR="001B1147" w:rsidRPr="009A111C">
        <w:t>e</w:t>
      </w:r>
      <w:r w:rsidR="00AE7DFA" w:rsidRPr="009A111C">
        <w:t xml:space="preserve">ngineering specialist </w:t>
      </w:r>
      <w:r w:rsidR="0096366C" w:rsidRPr="009A111C">
        <w:t xml:space="preserve">to </w:t>
      </w:r>
      <w:r w:rsidR="00AE7DFA" w:rsidRPr="009A111C">
        <w:t xml:space="preserve">review SPA </w:t>
      </w:r>
      <w:r w:rsidRPr="009A111C">
        <w:t>in the SP</w:t>
      </w:r>
      <w:r w:rsidR="007C2742">
        <w:t>,</w:t>
      </w:r>
      <w:r w:rsidRPr="009A111C">
        <w:t xml:space="preserve"> </w:t>
      </w:r>
      <w:r w:rsidR="00A00F4F">
        <w:t>and to</w:t>
      </w:r>
      <w:r w:rsidR="00AE7DFA" w:rsidRPr="009A111C">
        <w:t xml:space="preserve"> </w:t>
      </w:r>
      <w:r w:rsidR="0096366C" w:rsidRPr="009A111C">
        <w:t xml:space="preserve">provide </w:t>
      </w:r>
      <w:r w:rsidR="00AE7DFA" w:rsidRPr="009A111C">
        <w:t xml:space="preserve">advice on how </w:t>
      </w:r>
      <w:r w:rsidR="001B1147" w:rsidRPr="009A111C">
        <w:t xml:space="preserve">the </w:t>
      </w:r>
      <w:r w:rsidR="007C2742">
        <w:t xml:space="preserve">security </w:t>
      </w:r>
      <w:r w:rsidR="001B1147" w:rsidRPr="009A111C">
        <w:t xml:space="preserve">inspector can verify </w:t>
      </w:r>
      <w:r w:rsidR="00AE7DFA" w:rsidRPr="009A111C">
        <w:t>compliance</w:t>
      </w:r>
      <w:r w:rsidR="0096366C" w:rsidRPr="009A111C">
        <w:t>.</w:t>
      </w:r>
    </w:p>
    <w:p w14:paraId="6E58D856" w14:textId="3E9D33D3" w:rsidR="00C57BE9" w:rsidRPr="009A111C" w:rsidRDefault="000B4907" w:rsidP="006F68D7">
      <w:pPr>
        <w:pStyle w:val="Bulletlist1"/>
      </w:pPr>
      <w:r w:rsidRPr="009A111C">
        <w:t xml:space="preserve">To inspect </w:t>
      </w:r>
      <w:r w:rsidR="001B1147" w:rsidRPr="009A111C">
        <w:t xml:space="preserve">SPA concerning </w:t>
      </w:r>
      <w:r w:rsidRPr="009A111C">
        <w:t xml:space="preserve">human performance in a security control room, </w:t>
      </w:r>
      <w:r w:rsidR="001B1147" w:rsidRPr="009A111C">
        <w:t xml:space="preserve">the </w:t>
      </w:r>
      <w:r w:rsidR="004E59B2">
        <w:t xml:space="preserve">security </w:t>
      </w:r>
      <w:r w:rsidR="001B1147" w:rsidRPr="009A111C">
        <w:t xml:space="preserve">inspector might propose </w:t>
      </w:r>
      <w:r w:rsidRPr="009A111C">
        <w:t xml:space="preserve">a </w:t>
      </w:r>
      <w:r w:rsidR="00251362">
        <w:t xml:space="preserve">full, </w:t>
      </w:r>
      <w:r w:rsidRPr="009A111C">
        <w:t xml:space="preserve">joint inspection with </w:t>
      </w:r>
      <w:r w:rsidR="00251362">
        <w:t xml:space="preserve">an </w:t>
      </w:r>
      <w:r w:rsidR="001B1147" w:rsidRPr="009A111C">
        <w:t>ONR</w:t>
      </w:r>
      <w:r w:rsidRPr="009A111C">
        <w:t xml:space="preserve"> </w:t>
      </w:r>
      <w:r w:rsidR="00AE7DFA" w:rsidRPr="009A111C">
        <w:t>Human Factors specialist</w:t>
      </w:r>
      <w:r w:rsidR="00C57BE9" w:rsidRPr="009A111C">
        <w:t>.</w:t>
      </w:r>
    </w:p>
    <w:p w14:paraId="3F75B913" w14:textId="72E14EB8" w:rsidR="00C00CFA" w:rsidRPr="00374367" w:rsidRDefault="00EE1521" w:rsidP="00C00CFA">
      <w:pPr>
        <w:pStyle w:val="F9-Paragraph"/>
      </w:pPr>
      <w:r>
        <w:t xml:space="preserve">During </w:t>
      </w:r>
      <w:r w:rsidR="00C00CFA" w:rsidRPr="00374367">
        <w:t xml:space="preserve">the preparation phase, it </w:t>
      </w:r>
      <w:r w:rsidR="003532B5">
        <w:t xml:space="preserve">is </w:t>
      </w:r>
      <w:r w:rsidR="00DB60E5">
        <w:t>often</w:t>
      </w:r>
      <w:r w:rsidR="00C00CFA" w:rsidRPr="00374367">
        <w:t xml:space="preserve"> appropriate to obtain </w:t>
      </w:r>
      <w:r>
        <w:t xml:space="preserve">and review </w:t>
      </w:r>
      <w:r w:rsidR="00C00CFA" w:rsidRPr="00374367">
        <w:t xml:space="preserve">evidence </w:t>
      </w:r>
      <w:r w:rsidR="00C00CFA">
        <w:t>from the dutyholder. R</w:t>
      </w:r>
      <w:r w:rsidR="00C00CFA" w:rsidRPr="00374367">
        <w:t xml:space="preserve">eview </w:t>
      </w:r>
      <w:r w:rsidR="00C00CFA">
        <w:t xml:space="preserve">of </w:t>
      </w:r>
      <w:r>
        <w:t xml:space="preserve">such </w:t>
      </w:r>
      <w:r w:rsidR="00C00CFA">
        <w:t xml:space="preserve">evidence </w:t>
      </w:r>
      <w:r>
        <w:t xml:space="preserve">in advance </w:t>
      </w:r>
      <w:r w:rsidR="003F4D56">
        <w:t xml:space="preserve">may </w:t>
      </w:r>
      <w:r w:rsidR="00C00CFA">
        <w:t xml:space="preserve">help </w:t>
      </w:r>
      <w:r w:rsidR="003F4D56">
        <w:t xml:space="preserve">focus </w:t>
      </w:r>
      <w:r>
        <w:t xml:space="preserve">the </w:t>
      </w:r>
      <w:r w:rsidR="00C00CFA" w:rsidRPr="00374367">
        <w:t>inspection</w:t>
      </w:r>
      <w:r w:rsidR="00C00CFA">
        <w:t xml:space="preserve"> </w:t>
      </w:r>
      <w:r>
        <w:t xml:space="preserve">and </w:t>
      </w:r>
      <w:r w:rsidR="003F4D56">
        <w:t xml:space="preserve">allow more time for targeted </w:t>
      </w:r>
      <w:r>
        <w:t>activity on site.</w:t>
      </w:r>
    </w:p>
    <w:p w14:paraId="2249EFFC" w14:textId="60B58461" w:rsidR="00C00CFA" w:rsidRPr="00374367" w:rsidRDefault="00C00CFA" w:rsidP="00C00CFA">
      <w:pPr>
        <w:pStyle w:val="F9-Paragraph"/>
      </w:pPr>
      <w:r w:rsidRPr="00374367">
        <w:t xml:space="preserve">It is recommended that requirements </w:t>
      </w:r>
      <w:r w:rsidR="008A7C53">
        <w:t xml:space="preserve">for </w:t>
      </w:r>
      <w:r w:rsidRPr="00374367">
        <w:t xml:space="preserve">the delivery phase </w:t>
      </w:r>
      <w:r w:rsidR="008A7C53">
        <w:t xml:space="preserve">be </w:t>
      </w:r>
      <w:r w:rsidRPr="00374367">
        <w:t xml:space="preserve">clearly identified to the dutyholder </w:t>
      </w:r>
      <w:r>
        <w:t xml:space="preserve">in advance, </w:t>
      </w:r>
      <w:r w:rsidRPr="00374367">
        <w:t xml:space="preserve">to </w:t>
      </w:r>
      <w:r>
        <w:t xml:space="preserve">allow them to </w:t>
      </w:r>
      <w:r w:rsidRPr="00374367">
        <w:t xml:space="preserve">prepare effectively. The inspector should make </w:t>
      </w:r>
      <w:r>
        <w:t xml:space="preserve">the dutyholder </w:t>
      </w:r>
      <w:r w:rsidRPr="00374367">
        <w:t xml:space="preserve">aware of the staff and stakeholders that they </w:t>
      </w:r>
      <w:r>
        <w:t xml:space="preserve">will </w:t>
      </w:r>
      <w:r w:rsidRPr="00374367">
        <w:t xml:space="preserve">need to see as part of the </w:t>
      </w:r>
      <w:r w:rsidR="0070744C">
        <w:t>inspection</w:t>
      </w:r>
      <w:r w:rsidRPr="00374367">
        <w:t>.</w:t>
      </w:r>
      <w:r w:rsidR="00E7079B">
        <w:t xml:space="preserve"> </w:t>
      </w:r>
      <w:r w:rsidR="006211B3">
        <w:t>More d</w:t>
      </w:r>
      <w:r w:rsidR="00E7079B">
        <w:t>etailed guidance is contained in ONR-INSP-GD-064</w:t>
      </w:r>
      <w:r w:rsidR="0070744C">
        <w:t xml:space="preserve"> (Ref</w:t>
      </w:r>
      <w:sdt>
        <w:sdtPr>
          <w:id w:val="-492648657"/>
          <w:citation/>
        </w:sdtPr>
        <w:sdtContent>
          <w:r w:rsidR="0070744C">
            <w:fldChar w:fldCharType="begin"/>
          </w:r>
          <w:r w:rsidR="00975732">
            <w:instrText xml:space="preserve">CITATION GD064 \l 2057 </w:instrText>
          </w:r>
          <w:r w:rsidR="0070744C">
            <w:fldChar w:fldCharType="separate"/>
          </w:r>
          <w:r w:rsidR="00F17111">
            <w:rPr>
              <w:noProof/>
            </w:rPr>
            <w:t xml:space="preserve"> </w:t>
          </w:r>
          <w:r w:rsidR="00F17111" w:rsidRPr="00F17111">
            <w:rPr>
              <w:noProof/>
            </w:rPr>
            <w:t>[8]</w:t>
          </w:r>
          <w:r w:rsidR="0070744C">
            <w:fldChar w:fldCharType="end"/>
          </w:r>
        </w:sdtContent>
      </w:sdt>
      <w:r w:rsidR="0070744C">
        <w:t>)</w:t>
      </w:r>
      <w:r w:rsidR="00E7079B">
        <w:t>.</w:t>
      </w:r>
    </w:p>
    <w:p w14:paraId="7527EDD8" w14:textId="0002EA78" w:rsidR="009F5CB7" w:rsidRDefault="009F5CB7" w:rsidP="009F5CB7">
      <w:pPr>
        <w:pStyle w:val="F9-Paragraph"/>
      </w:pPr>
      <w:r w:rsidRPr="00EA0E66">
        <w:t xml:space="preserve">In addition to </w:t>
      </w:r>
      <w:r>
        <w:t xml:space="preserve">examining a specific theme or subject, certain activities may form a routine component of most </w:t>
      </w:r>
      <w:r w:rsidR="00E7079B">
        <w:t xml:space="preserve">security </w:t>
      </w:r>
      <w:r>
        <w:t>inspections. These might include:</w:t>
      </w:r>
    </w:p>
    <w:p w14:paraId="17DC76B3" w14:textId="77777777" w:rsidR="009F5CB7" w:rsidRDefault="009F5CB7" w:rsidP="006F68D7">
      <w:pPr>
        <w:pStyle w:val="Bulletlist1"/>
      </w:pPr>
      <w:r>
        <w:t>Meetings with key personnel or departments (</w:t>
      </w:r>
      <w:proofErr w:type="gramStart"/>
      <w:r>
        <w:t>e.g.</w:t>
      </w:r>
      <w:proofErr w:type="gramEnd"/>
      <w:r>
        <w:t xml:space="preserve"> internal regulator)</w:t>
      </w:r>
    </w:p>
    <w:p w14:paraId="7FC274FC" w14:textId="5FC2D7D0" w:rsidR="009F5CB7" w:rsidRDefault="009F5CB7" w:rsidP="006F68D7">
      <w:pPr>
        <w:pStyle w:val="Bulletlist1"/>
      </w:pPr>
      <w:r>
        <w:t>Review of open Regulatory Issues</w:t>
      </w:r>
    </w:p>
    <w:p w14:paraId="50DE3814" w14:textId="664919C7" w:rsidR="0070744C" w:rsidRPr="002B7172" w:rsidRDefault="0070744C" w:rsidP="006F68D7">
      <w:pPr>
        <w:pStyle w:val="Bulletlist1"/>
      </w:pPr>
      <w:r w:rsidRPr="002B7172">
        <w:t xml:space="preserve">Review of ongoing permissioning activities </w:t>
      </w:r>
      <w:proofErr w:type="gramStart"/>
      <w:r w:rsidRPr="002B7172">
        <w:t>e.g.</w:t>
      </w:r>
      <w:proofErr w:type="gramEnd"/>
      <w:r w:rsidRPr="002B7172">
        <w:t xml:space="preserve"> Temporary Security Plans (TSP) / Temporary Security Arrangements (TSA)</w:t>
      </w:r>
    </w:p>
    <w:p w14:paraId="620EDE15" w14:textId="77777777" w:rsidR="009F5CB7" w:rsidRDefault="009F5CB7" w:rsidP="006F68D7">
      <w:pPr>
        <w:pStyle w:val="Bulletlist1"/>
      </w:pPr>
      <w:r>
        <w:t>Review of reportable incidents under NISR Regulations 10, 18 or 22</w:t>
      </w:r>
    </w:p>
    <w:p w14:paraId="6F6AB341" w14:textId="77777777" w:rsidR="009F5CB7" w:rsidRDefault="009F5CB7" w:rsidP="006F68D7">
      <w:pPr>
        <w:pStyle w:val="Bulletlist1"/>
      </w:pPr>
      <w:r>
        <w:t>Review of dutyholder records for incidents deemed non-</w:t>
      </w:r>
      <w:proofErr w:type="gramStart"/>
      <w:r>
        <w:t>reportable</w:t>
      </w:r>
      <w:proofErr w:type="gramEnd"/>
    </w:p>
    <w:p w14:paraId="48692B67" w14:textId="52028C32" w:rsidR="000B4907" w:rsidRPr="00677A03" w:rsidRDefault="009F5CB7" w:rsidP="006F68D7">
      <w:pPr>
        <w:pStyle w:val="Bulletlist1"/>
      </w:pPr>
      <w:r>
        <w:t>Review of Security Improvements Schedule (or equivalent) commitments</w:t>
      </w:r>
    </w:p>
    <w:p w14:paraId="06B523FE" w14:textId="77777777" w:rsidR="00EC7D83" w:rsidRDefault="00EC7D83" w:rsidP="00EC7D83">
      <w:pPr>
        <w:pStyle w:val="F9-Paragraph"/>
        <w:numPr>
          <w:ilvl w:val="0"/>
          <w:numId w:val="0"/>
        </w:numPr>
        <w:ind w:left="851"/>
      </w:pPr>
    </w:p>
    <w:p w14:paraId="7AFCC4F5" w14:textId="77777777" w:rsidR="00EC7D83" w:rsidRPr="00EC7D83" w:rsidRDefault="00EC7D83" w:rsidP="00EC7D83">
      <w:pPr>
        <w:pStyle w:val="Heading2"/>
        <w:ind w:hanging="792"/>
      </w:pPr>
      <w:bookmarkStart w:id="11" w:name="_Toc143174312"/>
      <w:r>
        <w:t>Guidance on inspection delivery</w:t>
      </w:r>
      <w:bookmarkEnd w:id="11"/>
      <w:r w:rsidRPr="00EC7D83">
        <w:rPr>
          <w:b/>
          <w:bCs/>
        </w:rPr>
        <w:t xml:space="preserve"> </w:t>
      </w:r>
    </w:p>
    <w:p w14:paraId="64D17D97" w14:textId="3F2B8988" w:rsidR="009F5CB7" w:rsidRPr="006E2CEC" w:rsidRDefault="009F5CB7" w:rsidP="009F5CB7">
      <w:pPr>
        <w:pStyle w:val="F9-Paragraph"/>
        <w:rPr>
          <w:szCs w:val="24"/>
        </w:rPr>
      </w:pPr>
      <w:r>
        <w:t>Inspectors will inspect SPA as set out in the approved SP</w:t>
      </w:r>
      <w:r w:rsidR="00D95B9A">
        <w:t>,</w:t>
      </w:r>
      <w:r>
        <w:t xml:space="preserve"> review the implementation of those SPA</w:t>
      </w:r>
      <w:r w:rsidR="00D95B9A">
        <w:t>,</w:t>
      </w:r>
      <w:r>
        <w:t xml:space="preserve"> and judge whether the </w:t>
      </w:r>
      <w:r>
        <w:rPr>
          <w:color w:val="000000" w:themeColor="text1"/>
        </w:rPr>
        <w:t xml:space="preserve">dutyholder is </w:t>
      </w:r>
      <w:r>
        <w:t>complying with the SPA described in the approved SP (NISR 2003, Regulation 7</w:t>
      </w:r>
      <w:r w:rsidR="00736027">
        <w:t xml:space="preserve"> (Ref </w:t>
      </w:r>
      <w:sdt>
        <w:sdtPr>
          <w:id w:val="1930156527"/>
          <w:citation/>
        </w:sdtPr>
        <w:sdtContent>
          <w:r w:rsidR="00736027">
            <w:fldChar w:fldCharType="begin"/>
          </w:r>
          <w:r w:rsidR="00736027">
            <w:instrText xml:space="preserve"> CITATION NISR2003 \l 2057 </w:instrText>
          </w:r>
          <w:r w:rsidR="00736027">
            <w:fldChar w:fldCharType="separate"/>
          </w:r>
          <w:r w:rsidR="00F17111" w:rsidRPr="00F17111">
            <w:rPr>
              <w:noProof/>
            </w:rPr>
            <w:t>[1]</w:t>
          </w:r>
          <w:r w:rsidR="00736027">
            <w:fldChar w:fldCharType="end"/>
          </w:r>
        </w:sdtContent>
      </w:sdt>
      <w:r>
        <w:t xml:space="preserve">). </w:t>
      </w:r>
    </w:p>
    <w:p w14:paraId="7411B3A3" w14:textId="68A30188" w:rsidR="006E2CEC" w:rsidRPr="00736027" w:rsidRDefault="009F5CB7" w:rsidP="00E26315">
      <w:pPr>
        <w:pStyle w:val="F9-Paragraph"/>
        <w:rPr>
          <w:szCs w:val="24"/>
        </w:rPr>
      </w:pPr>
      <w:r w:rsidRPr="00736027">
        <w:rPr>
          <w:color w:val="000000" w:themeColor="text1"/>
        </w:rPr>
        <w:t xml:space="preserve">ONR requires inspectors to conduct compliance inspections in accordance with ONR guidance, policy and with an enabling approach (Ref. </w:t>
      </w:r>
      <w:sdt>
        <w:sdtPr>
          <w:rPr>
            <w:color w:val="000000" w:themeColor="text1"/>
          </w:rPr>
          <w:id w:val="-832372923"/>
          <w:citation/>
        </w:sdtPr>
        <w:sdtContent>
          <w:r w:rsidRPr="00736027">
            <w:rPr>
              <w:color w:val="000000" w:themeColor="text1"/>
            </w:rPr>
            <w:fldChar w:fldCharType="begin"/>
          </w:r>
          <w:r w:rsidR="00975732">
            <w:rPr>
              <w:color w:val="000000" w:themeColor="text1"/>
            </w:rPr>
            <w:instrText xml:space="preserve">CITATION ONR18 \l 2057 </w:instrText>
          </w:r>
          <w:r w:rsidRPr="00736027">
            <w:rPr>
              <w:color w:val="000000" w:themeColor="text1"/>
            </w:rPr>
            <w:fldChar w:fldCharType="separate"/>
          </w:r>
          <w:r w:rsidR="00F17111" w:rsidRPr="00F17111">
            <w:rPr>
              <w:noProof/>
              <w:color w:val="000000" w:themeColor="text1"/>
            </w:rPr>
            <w:t>[10]</w:t>
          </w:r>
          <w:r w:rsidRPr="00736027">
            <w:rPr>
              <w:color w:val="000000" w:themeColor="text1"/>
            </w:rPr>
            <w:fldChar w:fldCharType="end"/>
          </w:r>
        </w:sdtContent>
      </w:sdt>
      <w:r w:rsidRPr="00736027">
        <w:rPr>
          <w:color w:val="000000" w:themeColor="text1"/>
        </w:rPr>
        <w:t>) which satisfies the provisions of the Regulators Code (Ref.</w:t>
      </w:r>
      <w:sdt>
        <w:sdtPr>
          <w:rPr>
            <w:color w:val="000000" w:themeColor="text1"/>
          </w:rPr>
          <w:id w:val="1635899419"/>
          <w:citation/>
        </w:sdtPr>
        <w:sdtContent>
          <w:r w:rsidRPr="00736027">
            <w:rPr>
              <w:color w:val="000000" w:themeColor="text1"/>
            </w:rPr>
            <w:fldChar w:fldCharType="begin"/>
          </w:r>
          <w:r w:rsidRPr="00736027">
            <w:rPr>
              <w:color w:val="000000" w:themeColor="text1"/>
            </w:rPr>
            <w:instrText xml:space="preserve">CITATION RegCod \l 2057 </w:instrText>
          </w:r>
          <w:r w:rsidRPr="00736027">
            <w:rPr>
              <w:color w:val="000000" w:themeColor="text1"/>
            </w:rPr>
            <w:fldChar w:fldCharType="separate"/>
          </w:r>
          <w:r w:rsidR="00F17111">
            <w:rPr>
              <w:noProof/>
              <w:color w:val="000000" w:themeColor="text1"/>
            </w:rPr>
            <w:t xml:space="preserve"> </w:t>
          </w:r>
          <w:r w:rsidR="00F17111" w:rsidRPr="00F17111">
            <w:rPr>
              <w:noProof/>
              <w:color w:val="000000" w:themeColor="text1"/>
            </w:rPr>
            <w:t>[11]</w:t>
          </w:r>
          <w:r w:rsidRPr="00736027">
            <w:rPr>
              <w:color w:val="000000" w:themeColor="text1"/>
            </w:rPr>
            <w:fldChar w:fldCharType="end"/>
          </w:r>
        </w:sdtContent>
      </w:sdt>
      <w:r w:rsidRPr="00736027">
        <w:rPr>
          <w:color w:val="000000" w:themeColor="text1"/>
        </w:rPr>
        <w:t xml:space="preserve">). The inspector </w:t>
      </w:r>
      <w:r w:rsidRPr="00736027">
        <w:rPr>
          <w:color w:val="000000" w:themeColor="text1"/>
        </w:rPr>
        <w:lastRenderedPageBreak/>
        <w:t>should apply the detailed guidance in the ‘General Inspection Guide’ ONR- INSP-GD-064</w:t>
      </w:r>
      <w:r w:rsidR="00522EE6" w:rsidRPr="00736027">
        <w:rPr>
          <w:color w:val="000000" w:themeColor="text1"/>
        </w:rPr>
        <w:t xml:space="preserve"> (Ref </w:t>
      </w:r>
      <w:sdt>
        <w:sdtPr>
          <w:rPr>
            <w:color w:val="000000" w:themeColor="text1"/>
          </w:rPr>
          <w:id w:val="949593387"/>
          <w:citation/>
        </w:sdtPr>
        <w:sdtContent>
          <w:r w:rsidR="00522EE6" w:rsidRPr="00736027">
            <w:rPr>
              <w:color w:val="000000" w:themeColor="text1"/>
            </w:rPr>
            <w:fldChar w:fldCharType="begin"/>
          </w:r>
          <w:r w:rsidR="00975732">
            <w:rPr>
              <w:color w:val="000000" w:themeColor="text1"/>
            </w:rPr>
            <w:instrText xml:space="preserve">CITATION GD064 \l 2057 </w:instrText>
          </w:r>
          <w:r w:rsidR="00522EE6" w:rsidRPr="00736027">
            <w:rPr>
              <w:color w:val="000000" w:themeColor="text1"/>
            </w:rPr>
            <w:fldChar w:fldCharType="separate"/>
          </w:r>
          <w:r w:rsidR="00F17111" w:rsidRPr="00F17111">
            <w:rPr>
              <w:noProof/>
              <w:color w:val="000000" w:themeColor="text1"/>
            </w:rPr>
            <w:t>[8]</w:t>
          </w:r>
          <w:r w:rsidR="00522EE6" w:rsidRPr="00736027">
            <w:rPr>
              <w:color w:val="000000" w:themeColor="text1"/>
            </w:rPr>
            <w:fldChar w:fldCharType="end"/>
          </w:r>
        </w:sdtContent>
      </w:sdt>
      <w:r w:rsidR="00522EE6" w:rsidRPr="00736027">
        <w:rPr>
          <w:color w:val="000000" w:themeColor="text1"/>
        </w:rPr>
        <w:t>)</w:t>
      </w:r>
      <w:r w:rsidRPr="00736027">
        <w:rPr>
          <w:color w:val="000000" w:themeColor="text1"/>
        </w:rPr>
        <w:t xml:space="preserve">. </w:t>
      </w:r>
      <w:r w:rsidR="00736027">
        <w:rPr>
          <w:color w:val="000000" w:themeColor="text1"/>
        </w:rPr>
        <w:t xml:space="preserve">These documents </w:t>
      </w:r>
      <w:r w:rsidR="0082096E">
        <w:t xml:space="preserve">explain a </w:t>
      </w:r>
      <w:r w:rsidR="006E2CEC">
        <w:t xml:space="preserve">range of regulatory </w:t>
      </w:r>
      <w:r w:rsidR="0078226B">
        <w:t xml:space="preserve">tools </w:t>
      </w:r>
      <w:r w:rsidR="001F5673">
        <w:t xml:space="preserve">and approaches </w:t>
      </w:r>
      <w:r w:rsidR="0082096E">
        <w:t>available to inspectors</w:t>
      </w:r>
      <w:r w:rsidR="006E2CEC">
        <w:t xml:space="preserve">, from </w:t>
      </w:r>
      <w:r w:rsidR="0082096E">
        <w:t xml:space="preserve">influence and persuasion </w:t>
      </w:r>
      <w:r w:rsidR="006E2CEC">
        <w:t>through to formal enforcement.</w:t>
      </w:r>
      <w:r w:rsidR="001F5673">
        <w:t xml:space="preserve"> Evaluation of compliance is covered in detail under section 5 (Delivery) of ONR-INSP-GD-064.</w:t>
      </w:r>
    </w:p>
    <w:p w14:paraId="560C6F7D" w14:textId="4D330D53" w:rsidR="00EE1521" w:rsidRPr="00B91022" w:rsidRDefault="006E2CEC" w:rsidP="00361E35">
      <w:pPr>
        <w:pStyle w:val="F9-Paragraph"/>
      </w:pPr>
      <w:r>
        <w:t xml:space="preserve">One additional tool for security inspections is available under </w:t>
      </w:r>
      <w:r w:rsidR="00EE1521">
        <w:t>NISR 2003</w:t>
      </w:r>
      <w:r w:rsidR="00736027">
        <w:t xml:space="preserve"> (Ref </w:t>
      </w:r>
      <w:sdt>
        <w:sdtPr>
          <w:id w:val="96685631"/>
          <w:citation/>
        </w:sdtPr>
        <w:sdtContent>
          <w:r w:rsidR="00736027">
            <w:fldChar w:fldCharType="begin"/>
          </w:r>
          <w:r w:rsidR="00736027">
            <w:instrText xml:space="preserve"> CITATION NISR2003 \l 2057 </w:instrText>
          </w:r>
          <w:r w:rsidR="00736027">
            <w:fldChar w:fldCharType="separate"/>
          </w:r>
          <w:r w:rsidR="00F17111" w:rsidRPr="00F17111">
            <w:rPr>
              <w:noProof/>
            </w:rPr>
            <w:t>[1]</w:t>
          </w:r>
          <w:r w:rsidR="00736027">
            <w:fldChar w:fldCharType="end"/>
          </w:r>
        </w:sdtContent>
      </w:sdt>
      <w:r w:rsidR="00736027">
        <w:t>)</w:t>
      </w:r>
      <w:r>
        <w:t>.</w:t>
      </w:r>
      <w:r w:rsidR="00EE1521">
        <w:t xml:space="preserve"> Regulation </w:t>
      </w:r>
      <w:proofErr w:type="gramStart"/>
      <w:r w:rsidR="00EE1521">
        <w:t>4.(</w:t>
      </w:r>
      <w:proofErr w:type="gramEnd"/>
      <w:r w:rsidR="00EE1521">
        <w:t>2) states that an SP must describe the SPA “</w:t>
      </w:r>
      <w:r w:rsidR="00EE1521" w:rsidRPr="00EE1521">
        <w:rPr>
          <w:szCs w:val="24"/>
        </w:rPr>
        <w:t>adopted</w:t>
      </w:r>
      <w:r w:rsidR="00EE1521">
        <w:rPr>
          <w:szCs w:val="24"/>
        </w:rPr>
        <w:t xml:space="preserve"> </w:t>
      </w:r>
      <w:r w:rsidR="00EE1521" w:rsidRPr="00EE1521">
        <w:rPr>
          <w:szCs w:val="24"/>
        </w:rPr>
        <w:t>or to be adopted</w:t>
      </w:r>
      <w:r w:rsidR="00EE1521">
        <w:t xml:space="preserve">…” </w:t>
      </w:r>
      <w:r w:rsidR="00CF46C9">
        <w:t xml:space="preserve">(or for a TSS, Regulation 16.(2)). </w:t>
      </w:r>
      <w:r w:rsidR="00EE1521">
        <w:t xml:space="preserve">Measures </w:t>
      </w:r>
      <w:r w:rsidR="00EE1521" w:rsidRPr="00017614">
        <w:rPr>
          <w:i/>
          <w:iCs/>
        </w:rPr>
        <w:t>to be adopted</w:t>
      </w:r>
      <w:r w:rsidR="00EE1521">
        <w:t xml:space="preserve"> are recorded as a regulatory commitment in the </w:t>
      </w:r>
      <w:r w:rsidR="0082096E">
        <w:t xml:space="preserve">dutyholder’s </w:t>
      </w:r>
      <w:r w:rsidR="00EE1521">
        <w:t xml:space="preserve">“Security Improvement Schedule” (or equivalent title), a </w:t>
      </w:r>
      <w:r w:rsidR="003F4D56">
        <w:t xml:space="preserve">key </w:t>
      </w:r>
      <w:r w:rsidR="00EE1521">
        <w:t xml:space="preserve">supporting document which forms part of </w:t>
      </w:r>
      <w:r w:rsidR="0082096E">
        <w:t xml:space="preserve">the </w:t>
      </w:r>
      <w:r w:rsidR="00EE1521">
        <w:t xml:space="preserve">approved SP. </w:t>
      </w:r>
      <w:r>
        <w:t xml:space="preserve">It lists regulatory commitments with deadlines for delivery, against which dutyholders can be held </w:t>
      </w:r>
      <w:r w:rsidR="0082096E">
        <w:t xml:space="preserve">to </w:t>
      </w:r>
      <w:r>
        <w:t>account under NISR 2003.</w:t>
      </w:r>
      <w:r w:rsidR="00CF46C9">
        <w:t xml:space="preserve"> </w:t>
      </w:r>
    </w:p>
    <w:p w14:paraId="23906CB9" w14:textId="6CB9538A" w:rsidR="00EC7D83" w:rsidRDefault="00EC7D83" w:rsidP="0055360A">
      <w:pPr>
        <w:pStyle w:val="F9-Paragraph"/>
        <w:rPr>
          <w:szCs w:val="24"/>
        </w:rPr>
      </w:pPr>
      <w:r w:rsidRPr="00004037">
        <w:rPr>
          <w:szCs w:val="24"/>
        </w:rPr>
        <w:t>The inspector should adopt a proportionate and graded approach</w:t>
      </w:r>
      <w:r w:rsidR="00004037">
        <w:rPr>
          <w:szCs w:val="24"/>
        </w:rPr>
        <w:t>,</w:t>
      </w:r>
      <w:r w:rsidRPr="00004037">
        <w:rPr>
          <w:szCs w:val="24"/>
        </w:rPr>
        <w:t xml:space="preserve"> utilising the history from previous interventions to inform their expectations. </w:t>
      </w:r>
      <w:r w:rsidR="00004037">
        <w:rPr>
          <w:szCs w:val="24"/>
        </w:rPr>
        <w:t xml:space="preserve">Inspectors </w:t>
      </w:r>
      <w:r w:rsidRPr="00004037">
        <w:rPr>
          <w:szCs w:val="24"/>
        </w:rPr>
        <w:t xml:space="preserve">should ensure that any issues identified in previous interventions have been followed up. </w:t>
      </w:r>
    </w:p>
    <w:p w14:paraId="485E343C" w14:textId="77777777" w:rsidR="00004037" w:rsidRPr="00004037" w:rsidRDefault="00004037" w:rsidP="00004037">
      <w:pPr>
        <w:pStyle w:val="F9-Paragraph"/>
        <w:numPr>
          <w:ilvl w:val="0"/>
          <w:numId w:val="0"/>
        </w:numPr>
        <w:ind w:left="851"/>
        <w:rPr>
          <w:szCs w:val="24"/>
        </w:rPr>
      </w:pPr>
    </w:p>
    <w:p w14:paraId="327584AB" w14:textId="28688DEE" w:rsidR="00110719" w:rsidRDefault="00F61CC9" w:rsidP="00004037">
      <w:pPr>
        <w:pStyle w:val="Heading2"/>
        <w:ind w:hanging="792"/>
      </w:pPr>
      <w:bookmarkStart w:id="12" w:name="_Toc143174313"/>
      <w:r>
        <w:t xml:space="preserve">Guidance on inspecting strategic </w:t>
      </w:r>
      <w:proofErr w:type="gramStart"/>
      <w:r>
        <w:t>enablers</w:t>
      </w:r>
      <w:bookmarkEnd w:id="12"/>
      <w:proofErr w:type="gramEnd"/>
    </w:p>
    <w:p w14:paraId="77875A5F" w14:textId="7C21EF98" w:rsidR="00380615" w:rsidRDefault="00380615" w:rsidP="008209B4">
      <w:pPr>
        <w:pStyle w:val="F9-Paragraph"/>
      </w:pPr>
      <w:r w:rsidRPr="00380615">
        <w:t xml:space="preserve">This TIG covers security SPA including protective and physical security; emergency preparedness and response; workforce trustworthiness; and cyber security and information assurance. Whilst these form </w:t>
      </w:r>
      <w:r w:rsidR="002A0603">
        <w:t xml:space="preserve">the core of security inspection </w:t>
      </w:r>
      <w:r w:rsidRPr="00380615">
        <w:t xml:space="preserve">activity, </w:t>
      </w:r>
      <w:r w:rsidR="002A0603">
        <w:t xml:space="preserve">inspectors must also consider </w:t>
      </w:r>
      <w:r w:rsidRPr="00380615">
        <w:t>SyAPs strategic enabler</w:t>
      </w:r>
      <w:r w:rsidR="002A0603">
        <w:t>s</w:t>
      </w:r>
      <w:r w:rsidR="00A70CC1">
        <w:t xml:space="preserve">, which overlap heavily with </w:t>
      </w:r>
      <w:r w:rsidR="00321D9B">
        <w:t>the other ONR purposes</w:t>
      </w:r>
      <w:r w:rsidRPr="00380615">
        <w:t xml:space="preserve">. SyAPs </w:t>
      </w:r>
      <w:r w:rsidR="00A70CC1">
        <w:t xml:space="preserve">aligns closely </w:t>
      </w:r>
      <w:r w:rsidRPr="00380615">
        <w:t xml:space="preserve">with </w:t>
      </w:r>
      <w:r w:rsidR="008E7DF9">
        <w:t xml:space="preserve">the </w:t>
      </w:r>
      <w:r w:rsidR="00836552">
        <w:t>S</w:t>
      </w:r>
      <w:r w:rsidRPr="00380615">
        <w:t xml:space="preserve">afety </w:t>
      </w:r>
      <w:r w:rsidR="00836552">
        <w:t>A</w:t>
      </w:r>
      <w:r w:rsidRPr="00380615">
        <w:t xml:space="preserve">ssessment </w:t>
      </w:r>
      <w:r w:rsidR="00836552">
        <w:t>P</w:t>
      </w:r>
      <w:r w:rsidRPr="00380615">
        <w:t>rinciples</w:t>
      </w:r>
      <w:r w:rsidR="00AC13B6">
        <w:t xml:space="preserve"> (SAPs)</w:t>
      </w:r>
      <w:r w:rsidR="0025207B">
        <w:t xml:space="preserve"> and</w:t>
      </w:r>
      <w:r w:rsidR="002A0603">
        <w:t xml:space="preserve"> i</w:t>
      </w:r>
      <w:r w:rsidRPr="00380615">
        <w:t>nspectors should consider a</w:t>
      </w:r>
      <w:r w:rsidR="001C0978">
        <w:t xml:space="preserve"> cross-purpose</w:t>
      </w:r>
      <w:r w:rsidR="002A0603">
        <w:t xml:space="preserve"> </w:t>
      </w:r>
      <w:r w:rsidRPr="00380615">
        <w:t xml:space="preserve">approach. </w:t>
      </w:r>
      <w:r w:rsidR="002A0603">
        <w:t>Brief e</w:t>
      </w:r>
      <w:r w:rsidR="00014BC9">
        <w:t xml:space="preserve">xamples </w:t>
      </w:r>
      <w:r w:rsidR="00BF5372">
        <w:t>include:</w:t>
      </w:r>
    </w:p>
    <w:p w14:paraId="17A83D04" w14:textId="40D1B22D" w:rsidR="007766ED" w:rsidRPr="00D04F2D" w:rsidRDefault="00565880" w:rsidP="006F68D7">
      <w:pPr>
        <w:pStyle w:val="Bulletlist1"/>
        <w:rPr>
          <w:lang w:bidi="ar-SA"/>
        </w:rPr>
      </w:pPr>
      <w:r w:rsidRPr="00D04F2D">
        <w:rPr>
          <w:lang w:bidi="ar-SA"/>
        </w:rPr>
        <w:t xml:space="preserve">FSyP 1: </w:t>
      </w:r>
      <w:r w:rsidR="007766ED" w:rsidRPr="00D04F2D">
        <w:rPr>
          <w:lang w:bidi="ar-SA"/>
        </w:rPr>
        <w:t>Leadership and Management for Security</w:t>
      </w:r>
    </w:p>
    <w:p w14:paraId="353148D4" w14:textId="6DEC6264" w:rsidR="007766ED" w:rsidRPr="007766ED" w:rsidRDefault="0093548E" w:rsidP="006F68D7">
      <w:pPr>
        <w:pStyle w:val="Bulletlist2"/>
        <w:rPr>
          <w:lang w:bidi="ar-SA"/>
        </w:rPr>
      </w:pPr>
      <w:r>
        <w:rPr>
          <w:lang w:bidi="ar-SA"/>
        </w:rPr>
        <w:t>R</w:t>
      </w:r>
      <w:r w:rsidR="007766ED" w:rsidRPr="007766ED">
        <w:rPr>
          <w:lang w:bidi="ar-SA"/>
        </w:rPr>
        <w:t>esponsibility</w:t>
      </w:r>
      <w:r w:rsidR="00014BC9">
        <w:rPr>
          <w:lang w:bidi="ar-SA"/>
        </w:rPr>
        <w:t xml:space="preserve">, </w:t>
      </w:r>
      <w:r w:rsidR="007766ED" w:rsidRPr="007766ED">
        <w:rPr>
          <w:lang w:bidi="ar-SA"/>
        </w:rPr>
        <w:t>accountability</w:t>
      </w:r>
      <w:r w:rsidR="00014BC9">
        <w:rPr>
          <w:lang w:bidi="ar-SA"/>
        </w:rPr>
        <w:t xml:space="preserve"> and d</w:t>
      </w:r>
      <w:r w:rsidR="007766ED" w:rsidRPr="007766ED">
        <w:rPr>
          <w:lang w:bidi="ar-SA"/>
        </w:rPr>
        <w:t xml:space="preserve">ecision </w:t>
      </w:r>
      <w:proofErr w:type="gramStart"/>
      <w:r w:rsidR="007766ED" w:rsidRPr="007766ED">
        <w:rPr>
          <w:lang w:bidi="ar-SA"/>
        </w:rPr>
        <w:t>making</w:t>
      </w:r>
      <w:proofErr w:type="gramEnd"/>
      <w:r w:rsidR="007766ED" w:rsidRPr="007766ED">
        <w:rPr>
          <w:lang w:bidi="ar-SA"/>
        </w:rPr>
        <w:t xml:space="preserve"> </w:t>
      </w:r>
    </w:p>
    <w:p w14:paraId="3EC3CB93" w14:textId="75656D2E" w:rsidR="007766ED" w:rsidRPr="007766ED" w:rsidRDefault="002A0603" w:rsidP="006F68D7">
      <w:pPr>
        <w:pStyle w:val="Bulletlist2"/>
        <w:rPr>
          <w:lang w:bidi="ar-SA"/>
        </w:rPr>
      </w:pPr>
      <w:r>
        <w:rPr>
          <w:lang w:bidi="ar-SA"/>
        </w:rPr>
        <w:t>L</w:t>
      </w:r>
      <w:r w:rsidR="007766ED" w:rsidRPr="007766ED">
        <w:rPr>
          <w:lang w:bidi="ar-SA"/>
        </w:rPr>
        <w:t>earning from experience</w:t>
      </w:r>
      <w:r>
        <w:rPr>
          <w:lang w:bidi="ar-SA"/>
        </w:rPr>
        <w:t xml:space="preserve"> (</w:t>
      </w:r>
      <w:proofErr w:type="gramStart"/>
      <w:r>
        <w:rPr>
          <w:lang w:bidi="ar-SA"/>
        </w:rPr>
        <w:t>e.g.</w:t>
      </w:r>
      <w:proofErr w:type="gramEnd"/>
      <w:r>
        <w:rPr>
          <w:lang w:bidi="ar-SA"/>
        </w:rPr>
        <w:t xml:space="preserve"> </w:t>
      </w:r>
      <w:r w:rsidR="007766ED" w:rsidRPr="007766ED">
        <w:rPr>
          <w:lang w:bidi="ar-SA"/>
        </w:rPr>
        <w:t>security events, internal inspections</w:t>
      </w:r>
      <w:r>
        <w:rPr>
          <w:lang w:bidi="ar-SA"/>
        </w:rPr>
        <w:t>)</w:t>
      </w:r>
    </w:p>
    <w:p w14:paraId="7865A914" w14:textId="4F1A6530" w:rsidR="007766ED" w:rsidRPr="007766ED" w:rsidRDefault="002A0603" w:rsidP="006F68D7">
      <w:pPr>
        <w:pStyle w:val="Bulletlist2"/>
        <w:rPr>
          <w:lang w:bidi="ar-SA"/>
        </w:rPr>
      </w:pPr>
      <w:r>
        <w:rPr>
          <w:lang w:bidi="ar-SA"/>
        </w:rPr>
        <w:t>A</w:t>
      </w:r>
      <w:r w:rsidR="007766ED" w:rsidRPr="007766ED">
        <w:rPr>
          <w:lang w:bidi="ar-SA"/>
        </w:rPr>
        <w:t xml:space="preserve">ssurance processes to support internal assessment of </w:t>
      </w:r>
      <w:proofErr w:type="gramStart"/>
      <w:r w:rsidR="007766ED" w:rsidRPr="007766ED">
        <w:rPr>
          <w:lang w:bidi="ar-SA"/>
        </w:rPr>
        <w:t>performance</w:t>
      </w:r>
      <w:proofErr w:type="gramEnd"/>
    </w:p>
    <w:p w14:paraId="478D8975" w14:textId="1E2C0547" w:rsidR="00C44494" w:rsidRPr="00D04F2D" w:rsidRDefault="00565880" w:rsidP="006F68D7">
      <w:pPr>
        <w:pStyle w:val="Bulletlist1"/>
        <w:rPr>
          <w:lang w:bidi="ar-SA"/>
        </w:rPr>
      </w:pPr>
      <w:r w:rsidRPr="00D04F2D">
        <w:rPr>
          <w:lang w:bidi="ar-SA"/>
        </w:rPr>
        <w:t xml:space="preserve">FSyP 2: </w:t>
      </w:r>
      <w:r w:rsidR="00C44494" w:rsidRPr="00D04F2D">
        <w:rPr>
          <w:lang w:bidi="ar-SA"/>
        </w:rPr>
        <w:t>Organisational Culture</w:t>
      </w:r>
    </w:p>
    <w:p w14:paraId="4721C02F" w14:textId="2FD1C247" w:rsidR="000E0753" w:rsidRPr="00565880" w:rsidRDefault="000E0753" w:rsidP="006F68D7">
      <w:pPr>
        <w:pStyle w:val="Bulletlist2"/>
        <w:rPr>
          <w:i/>
          <w:iCs/>
          <w:lang w:bidi="ar-SA"/>
        </w:rPr>
      </w:pPr>
      <w:r w:rsidRPr="00565880">
        <w:t xml:space="preserve">NS-INSP-GD-070 </w:t>
      </w:r>
      <w:r w:rsidR="00565880" w:rsidRPr="00565880">
        <w:t xml:space="preserve">(Ref. </w:t>
      </w:r>
      <w:sdt>
        <w:sdtPr>
          <w:id w:val="-1156989142"/>
          <w:citation/>
        </w:sdtPr>
        <w:sdtContent>
          <w:r w:rsidR="0050270D">
            <w:fldChar w:fldCharType="begin"/>
          </w:r>
          <w:r w:rsidR="00975732">
            <w:instrText xml:space="preserve">CITATION GD070 \l 2057 </w:instrText>
          </w:r>
          <w:r w:rsidR="0050270D">
            <w:fldChar w:fldCharType="separate"/>
          </w:r>
          <w:r w:rsidR="00F17111" w:rsidRPr="00F17111">
            <w:rPr>
              <w:noProof/>
            </w:rPr>
            <w:t>[12]</w:t>
          </w:r>
          <w:r w:rsidR="0050270D">
            <w:fldChar w:fldCharType="end"/>
          </w:r>
        </w:sdtContent>
      </w:sdt>
      <w:r w:rsidR="00565880" w:rsidRPr="00565880">
        <w:t xml:space="preserve">) </w:t>
      </w:r>
      <w:r w:rsidR="00565880">
        <w:t>identifies</w:t>
      </w:r>
      <w:r w:rsidR="00565880" w:rsidRPr="00565880">
        <w:t xml:space="preserve"> </w:t>
      </w:r>
      <w:r w:rsidR="00437765">
        <w:t xml:space="preserve">cultural </w:t>
      </w:r>
      <w:r w:rsidR="00565880" w:rsidRPr="00565880">
        <w:rPr>
          <w:lang w:bidi="ar-SA"/>
        </w:rPr>
        <w:t>“</w:t>
      </w:r>
      <w:r w:rsidRPr="00565880">
        <w:rPr>
          <w:lang w:bidi="ar-SA"/>
        </w:rPr>
        <w:t>warning flags</w:t>
      </w:r>
      <w:r w:rsidR="00565880" w:rsidRPr="00565880">
        <w:rPr>
          <w:lang w:bidi="ar-SA"/>
        </w:rPr>
        <w:t>”</w:t>
      </w:r>
      <w:r w:rsidRPr="00565880">
        <w:rPr>
          <w:lang w:bidi="ar-SA"/>
        </w:rPr>
        <w:t xml:space="preserve"> </w:t>
      </w:r>
      <w:r w:rsidR="001C0BE2">
        <w:rPr>
          <w:lang w:bidi="ar-SA"/>
        </w:rPr>
        <w:t>e.g.</w:t>
      </w:r>
      <w:r w:rsidRPr="00565880">
        <w:rPr>
          <w:lang w:bidi="ar-SA"/>
        </w:rPr>
        <w:t>:</w:t>
      </w:r>
    </w:p>
    <w:p w14:paraId="0734BC5E" w14:textId="5E4D5256" w:rsidR="00565880" w:rsidRPr="00565880" w:rsidRDefault="00565880" w:rsidP="006F68D7">
      <w:pPr>
        <w:pStyle w:val="BulletList3"/>
        <w:rPr>
          <w:lang w:bidi="ar-SA"/>
        </w:rPr>
      </w:pPr>
      <w:r w:rsidRPr="00565880">
        <w:rPr>
          <w:lang w:bidi="ar-SA"/>
        </w:rPr>
        <w:t>Overconfidence, lack of healthy unease and drift in standards</w:t>
      </w:r>
    </w:p>
    <w:p w14:paraId="4CBD8935" w14:textId="5C25F2E2" w:rsidR="000E0753" w:rsidRPr="00565880" w:rsidRDefault="00565880" w:rsidP="006F68D7">
      <w:pPr>
        <w:pStyle w:val="BulletList3"/>
        <w:rPr>
          <w:lang w:bidi="ar-SA"/>
        </w:rPr>
      </w:pPr>
      <w:r w:rsidRPr="00565880">
        <w:rPr>
          <w:lang w:bidi="ar-SA"/>
        </w:rPr>
        <w:t>Deviation from established arrangements</w:t>
      </w:r>
    </w:p>
    <w:p w14:paraId="62309F30" w14:textId="4E395E4F" w:rsidR="00EA22BB" w:rsidRPr="00565880" w:rsidRDefault="00565880" w:rsidP="006F68D7">
      <w:pPr>
        <w:pStyle w:val="BulletList3"/>
        <w:rPr>
          <w:lang w:bidi="ar-SA"/>
        </w:rPr>
      </w:pPr>
      <w:r w:rsidRPr="00565880">
        <w:rPr>
          <w:lang w:bidi="ar-SA"/>
        </w:rPr>
        <w:t>Impaired sharing and isolationism</w:t>
      </w:r>
    </w:p>
    <w:p w14:paraId="6F146CEF" w14:textId="286580E6" w:rsidR="007766ED" w:rsidRPr="00BE7BC5" w:rsidRDefault="00565880" w:rsidP="006F68D7">
      <w:pPr>
        <w:pStyle w:val="Bulletlist1"/>
        <w:rPr>
          <w:lang w:bidi="ar-SA"/>
        </w:rPr>
      </w:pPr>
      <w:r w:rsidRPr="00BE7BC5">
        <w:rPr>
          <w:lang w:bidi="ar-SA"/>
        </w:rPr>
        <w:lastRenderedPageBreak/>
        <w:t xml:space="preserve">FSyP 3: </w:t>
      </w:r>
      <w:r w:rsidR="007766ED" w:rsidRPr="00BE7BC5">
        <w:rPr>
          <w:lang w:bidi="ar-SA"/>
        </w:rPr>
        <w:t>Human Performance Management</w:t>
      </w:r>
    </w:p>
    <w:p w14:paraId="15A0C4D1" w14:textId="7F66547D" w:rsidR="007766ED" w:rsidRPr="007766ED" w:rsidRDefault="007E3F6B" w:rsidP="006F68D7">
      <w:pPr>
        <w:pStyle w:val="Bulletlist2"/>
        <w:rPr>
          <w:lang w:bidi="ar-SA"/>
        </w:rPr>
      </w:pPr>
      <w:r>
        <w:rPr>
          <w:lang w:bidi="ar-SA"/>
        </w:rPr>
        <w:t>Required n</w:t>
      </w:r>
      <w:r w:rsidR="007766ED" w:rsidRPr="007766ED">
        <w:rPr>
          <w:lang w:bidi="ar-SA"/>
        </w:rPr>
        <w:t xml:space="preserve">umbers and competencies of </w:t>
      </w:r>
      <w:proofErr w:type="gramStart"/>
      <w:r w:rsidR="007766ED" w:rsidRPr="007766ED">
        <w:rPr>
          <w:lang w:bidi="ar-SA"/>
        </w:rPr>
        <w:t>personnel</w:t>
      </w:r>
      <w:proofErr w:type="gramEnd"/>
      <w:r w:rsidR="007766ED" w:rsidRPr="007766ED">
        <w:rPr>
          <w:lang w:bidi="ar-SA"/>
        </w:rPr>
        <w:t xml:space="preserve"> </w:t>
      </w:r>
    </w:p>
    <w:p w14:paraId="53AB38CD" w14:textId="135598F6" w:rsidR="007766ED" w:rsidRPr="007766ED" w:rsidRDefault="00B22222" w:rsidP="006F68D7">
      <w:pPr>
        <w:pStyle w:val="Bulletlist2"/>
        <w:rPr>
          <w:lang w:bidi="ar-SA"/>
        </w:rPr>
      </w:pPr>
      <w:r>
        <w:rPr>
          <w:lang w:bidi="ar-SA"/>
        </w:rPr>
        <w:t xml:space="preserve">Ergonomic design of </w:t>
      </w:r>
      <w:r w:rsidR="007766ED" w:rsidRPr="007766ED">
        <w:rPr>
          <w:lang w:bidi="ar-SA"/>
        </w:rPr>
        <w:t xml:space="preserve">workspaces, </w:t>
      </w:r>
      <w:proofErr w:type="gramStart"/>
      <w:r w:rsidR="007766ED" w:rsidRPr="007766ED">
        <w:rPr>
          <w:lang w:bidi="ar-SA"/>
        </w:rPr>
        <w:t>equipment</w:t>
      </w:r>
      <w:proofErr w:type="gramEnd"/>
      <w:r w:rsidR="007766ED" w:rsidRPr="007766ED">
        <w:rPr>
          <w:lang w:bidi="ar-SA"/>
        </w:rPr>
        <w:t xml:space="preserve"> and user interfaces </w:t>
      </w:r>
    </w:p>
    <w:p w14:paraId="6AAEF71F" w14:textId="13C42C95" w:rsidR="007766ED" w:rsidRPr="007766ED" w:rsidRDefault="007766ED" w:rsidP="006F68D7">
      <w:pPr>
        <w:pStyle w:val="Bulletlist2"/>
        <w:rPr>
          <w:lang w:bidi="ar-SA"/>
        </w:rPr>
      </w:pPr>
      <w:r w:rsidRPr="007766ED">
        <w:rPr>
          <w:lang w:bidi="ar-SA"/>
        </w:rPr>
        <w:t xml:space="preserve">Procedures and administrative controls to minimise human </w:t>
      </w:r>
      <w:proofErr w:type="gramStart"/>
      <w:r w:rsidRPr="007766ED">
        <w:rPr>
          <w:lang w:bidi="ar-SA"/>
        </w:rPr>
        <w:t>error</w:t>
      </w:r>
      <w:proofErr w:type="gramEnd"/>
    </w:p>
    <w:p w14:paraId="554B5A9E" w14:textId="6173F6BA" w:rsidR="007766ED" w:rsidRPr="00BE7BC5" w:rsidRDefault="00565880" w:rsidP="006F68D7">
      <w:pPr>
        <w:pStyle w:val="Bulletlist1"/>
        <w:rPr>
          <w:lang w:bidi="ar-SA"/>
        </w:rPr>
      </w:pPr>
      <w:r w:rsidRPr="00BE7BC5">
        <w:rPr>
          <w:lang w:bidi="ar-SA"/>
        </w:rPr>
        <w:t xml:space="preserve">FSyP 4: </w:t>
      </w:r>
      <w:r w:rsidR="007766ED" w:rsidRPr="00BE7BC5">
        <w:rPr>
          <w:lang w:bidi="ar-SA"/>
        </w:rPr>
        <w:t>Nuclear Supply Chain Management</w:t>
      </w:r>
      <w:r w:rsidR="00392885" w:rsidRPr="00392885">
        <w:rPr>
          <w:rStyle w:val="FootnoteReference"/>
          <w:lang w:bidi="ar-SA"/>
        </w:rPr>
        <w:footnoteReference w:id="3"/>
      </w:r>
    </w:p>
    <w:p w14:paraId="46E050FD" w14:textId="77777777" w:rsidR="007766ED" w:rsidRPr="007766ED" w:rsidRDefault="007766ED" w:rsidP="006F68D7">
      <w:pPr>
        <w:pStyle w:val="Bulletlist2"/>
        <w:rPr>
          <w:lang w:bidi="ar-SA"/>
        </w:rPr>
      </w:pPr>
      <w:r w:rsidRPr="007766ED">
        <w:rPr>
          <w:lang w:bidi="ar-SA"/>
        </w:rPr>
        <w:t>Procurement by an intelligent customer</w:t>
      </w:r>
    </w:p>
    <w:p w14:paraId="268FE1D6" w14:textId="1F5D6722" w:rsidR="007766ED" w:rsidRPr="007766ED" w:rsidRDefault="007766ED" w:rsidP="006F68D7">
      <w:pPr>
        <w:pStyle w:val="Bulletlist2"/>
        <w:rPr>
          <w:lang w:bidi="ar-SA"/>
        </w:rPr>
      </w:pPr>
      <w:r w:rsidRPr="007766ED">
        <w:rPr>
          <w:lang w:bidi="ar-SA"/>
        </w:rPr>
        <w:t xml:space="preserve">Screening </w:t>
      </w:r>
      <w:r w:rsidR="00DA0BEC">
        <w:rPr>
          <w:lang w:bidi="ar-SA"/>
        </w:rPr>
        <w:t xml:space="preserve">and oversight of </w:t>
      </w:r>
      <w:r w:rsidRPr="007766ED">
        <w:rPr>
          <w:lang w:bidi="ar-SA"/>
        </w:rPr>
        <w:t xml:space="preserve">suppliers </w:t>
      </w:r>
    </w:p>
    <w:p w14:paraId="040C5213" w14:textId="0BE78FC3" w:rsidR="007766ED" w:rsidRPr="007766ED" w:rsidRDefault="007766ED" w:rsidP="006F68D7">
      <w:pPr>
        <w:pStyle w:val="Bulletlist2"/>
        <w:rPr>
          <w:strike/>
          <w:lang w:bidi="ar-SA"/>
        </w:rPr>
      </w:pPr>
      <w:r w:rsidRPr="007766ED">
        <w:rPr>
          <w:lang w:bidi="ar-SA"/>
        </w:rPr>
        <w:t xml:space="preserve">Commissioning arrangements </w:t>
      </w:r>
    </w:p>
    <w:p w14:paraId="67B5448B" w14:textId="27D48D08" w:rsidR="007766ED" w:rsidRPr="001C0BE2" w:rsidRDefault="00565880" w:rsidP="006F68D7">
      <w:pPr>
        <w:pStyle w:val="Bulletlist1"/>
        <w:rPr>
          <w:lang w:bidi="ar-SA"/>
        </w:rPr>
      </w:pPr>
      <w:r w:rsidRPr="001C0BE2">
        <w:rPr>
          <w:lang w:bidi="ar-SA"/>
        </w:rPr>
        <w:t xml:space="preserve">FSyP 5: </w:t>
      </w:r>
      <w:r w:rsidR="007766ED" w:rsidRPr="001C0BE2">
        <w:rPr>
          <w:lang w:bidi="ar-SA"/>
        </w:rPr>
        <w:t>Reliability and Resilience</w:t>
      </w:r>
      <w:r w:rsidR="00392885">
        <w:rPr>
          <w:vertAlign w:val="superscript"/>
          <w:lang w:bidi="ar-SA"/>
        </w:rPr>
        <w:t>2</w:t>
      </w:r>
    </w:p>
    <w:p w14:paraId="301377B1" w14:textId="22837188" w:rsidR="007766ED" w:rsidRPr="007766ED" w:rsidRDefault="007766ED" w:rsidP="006F68D7">
      <w:pPr>
        <w:pStyle w:val="Bulletlist2"/>
        <w:rPr>
          <w:lang w:bidi="ar-SA"/>
        </w:rPr>
      </w:pPr>
      <w:r w:rsidRPr="007766ED">
        <w:rPr>
          <w:lang w:bidi="ar-SA"/>
        </w:rPr>
        <w:t xml:space="preserve">Detailed design specification covering reliability and </w:t>
      </w:r>
      <w:proofErr w:type="gramStart"/>
      <w:r w:rsidRPr="007766ED">
        <w:rPr>
          <w:lang w:bidi="ar-SA"/>
        </w:rPr>
        <w:t>resilience</w:t>
      </w:r>
      <w:proofErr w:type="gramEnd"/>
    </w:p>
    <w:p w14:paraId="75E38A0E" w14:textId="6B401F73" w:rsidR="007766ED" w:rsidRPr="007766ED" w:rsidRDefault="007766ED" w:rsidP="006F68D7">
      <w:pPr>
        <w:pStyle w:val="Bulletlist2"/>
        <w:rPr>
          <w:lang w:bidi="ar-SA"/>
        </w:rPr>
      </w:pPr>
      <w:r w:rsidRPr="007766ED">
        <w:rPr>
          <w:lang w:bidi="ar-SA"/>
        </w:rPr>
        <w:t xml:space="preserve">Contingency to cover periods of maintenance </w:t>
      </w:r>
      <w:r w:rsidR="00F26250">
        <w:rPr>
          <w:lang w:bidi="ar-SA"/>
        </w:rPr>
        <w:t xml:space="preserve">or </w:t>
      </w:r>
      <w:proofErr w:type="gramStart"/>
      <w:r w:rsidR="00F26250">
        <w:rPr>
          <w:lang w:bidi="ar-SA"/>
        </w:rPr>
        <w:t>unserviceability</w:t>
      </w:r>
      <w:proofErr w:type="gramEnd"/>
      <w:r w:rsidR="00F26250">
        <w:rPr>
          <w:lang w:bidi="ar-SA"/>
        </w:rPr>
        <w:t xml:space="preserve"> </w:t>
      </w:r>
    </w:p>
    <w:p w14:paraId="3534233D" w14:textId="77777777" w:rsidR="007766ED" w:rsidRPr="007766ED" w:rsidRDefault="007766ED" w:rsidP="006F68D7">
      <w:pPr>
        <w:pStyle w:val="Bulletlist2"/>
        <w:rPr>
          <w:lang w:bidi="ar-SA"/>
        </w:rPr>
      </w:pPr>
      <w:r w:rsidRPr="007766ED">
        <w:rPr>
          <w:lang w:bidi="ar-SA"/>
        </w:rPr>
        <w:t xml:space="preserve">Records of examination, inspection, </w:t>
      </w:r>
      <w:proofErr w:type="gramStart"/>
      <w:r w:rsidRPr="007766ED">
        <w:rPr>
          <w:lang w:bidi="ar-SA"/>
        </w:rPr>
        <w:t>maintenance</w:t>
      </w:r>
      <w:proofErr w:type="gramEnd"/>
      <w:r w:rsidRPr="007766ED">
        <w:rPr>
          <w:lang w:bidi="ar-SA"/>
        </w:rPr>
        <w:t xml:space="preserve"> and testing </w:t>
      </w:r>
    </w:p>
    <w:p w14:paraId="22A735CE" w14:textId="1E70F9DC" w:rsidR="007766ED" w:rsidRDefault="006B27E8" w:rsidP="00EC7D83">
      <w:pPr>
        <w:pStyle w:val="Heading2"/>
        <w:ind w:hanging="792"/>
      </w:pPr>
      <w:bookmarkStart w:id="13" w:name="_Toc143174314"/>
      <w:r>
        <w:t>Chief Nuclear Inspector Themed Inspections</w:t>
      </w:r>
      <w:bookmarkEnd w:id="13"/>
    </w:p>
    <w:p w14:paraId="6F2E311B" w14:textId="6676F10B" w:rsidR="006B27E8" w:rsidRPr="00BB29E5" w:rsidRDefault="006B27E8" w:rsidP="006B27E8">
      <w:pPr>
        <w:pStyle w:val="F9-Paragraph"/>
        <w:rPr>
          <w:lang w:eastAsia="en-GB"/>
        </w:rPr>
      </w:pPr>
      <w:r>
        <w:t xml:space="preserve">Inspectors may be required to support </w:t>
      </w:r>
      <w:r w:rsidRPr="00BB29E5">
        <w:t xml:space="preserve">Chief Nuclear Inspector (CNI) </w:t>
      </w:r>
      <w:r>
        <w:t>t</w:t>
      </w:r>
      <w:r w:rsidRPr="00BB29E5">
        <w:t xml:space="preserve">hemed </w:t>
      </w:r>
      <w:r>
        <w:t>i</w:t>
      </w:r>
      <w:r w:rsidRPr="00BB29E5">
        <w:t xml:space="preserve">nspections. </w:t>
      </w:r>
      <w:r>
        <w:t>Introduced in 2017, t</w:t>
      </w:r>
      <w:r w:rsidRPr="00BB29E5">
        <w:t xml:space="preserve">hese are designed to examine regulatory matters that are strategic or broader in nature than ONR’s more routine regulatory inspection activities. </w:t>
      </w:r>
      <w:r>
        <w:t>Previous themes have included climate change, and management of ageing facilities.</w:t>
      </w:r>
      <w:r w:rsidR="001B1147">
        <w:t xml:space="preserve"> Further detail</w:t>
      </w:r>
      <w:r w:rsidR="009A111C">
        <w:t>s</w:t>
      </w:r>
      <w:r w:rsidR="001B1147">
        <w:t xml:space="preserve"> can be found in ONR-INSP-GD-059, Appendix 1D.</w:t>
      </w:r>
    </w:p>
    <w:p w14:paraId="7A467ECE" w14:textId="1D6BE62D" w:rsidR="00004037" w:rsidRDefault="00004037">
      <w:pPr>
        <w:spacing w:after="0" w:line="240" w:lineRule="auto"/>
      </w:pPr>
      <w:r>
        <w:br w:type="page"/>
      </w:r>
    </w:p>
    <w:bookmarkStart w:id="14" w:name="_Toc143174315" w:displacedByCustomXml="next"/>
    <w:sdt>
      <w:sdtPr>
        <w:rPr>
          <w:color w:val="auto"/>
          <w:sz w:val="24"/>
        </w:rPr>
        <w:id w:val="2062052352"/>
        <w:docPartObj>
          <w:docPartGallery w:val="Bibliographies"/>
          <w:docPartUnique/>
        </w:docPartObj>
      </w:sdtPr>
      <w:sdtContent>
        <w:p w14:paraId="2CAF9ABE" w14:textId="68E53D7A" w:rsidR="0050270D" w:rsidRDefault="0050270D">
          <w:pPr>
            <w:pStyle w:val="Heading1"/>
          </w:pPr>
          <w:r>
            <w:t>References</w:t>
          </w:r>
          <w:bookmarkEnd w:id="14"/>
        </w:p>
        <w:sdt>
          <w:sdtPr>
            <w:id w:val="-573587230"/>
            <w:bibliography/>
          </w:sdtPr>
          <w:sdtContent>
            <w:p w14:paraId="38BD6C17" w14:textId="77777777" w:rsidR="00F17111" w:rsidRDefault="0050270D">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F17111" w14:paraId="01469089" w14:textId="77777777">
                <w:trPr>
                  <w:divId w:val="1599751990"/>
                  <w:tblCellSpacing w:w="15" w:type="dxa"/>
                </w:trPr>
                <w:tc>
                  <w:tcPr>
                    <w:tcW w:w="50" w:type="pct"/>
                    <w:hideMark/>
                  </w:tcPr>
                  <w:p w14:paraId="118A96D0" w14:textId="0209458A" w:rsidR="00F17111" w:rsidRDefault="00F17111">
                    <w:pPr>
                      <w:pStyle w:val="Bibliography"/>
                      <w:rPr>
                        <w:noProof/>
                        <w:szCs w:val="24"/>
                      </w:rPr>
                    </w:pPr>
                    <w:r>
                      <w:rPr>
                        <w:noProof/>
                      </w:rPr>
                      <w:t xml:space="preserve">[1] </w:t>
                    </w:r>
                  </w:p>
                </w:tc>
                <w:tc>
                  <w:tcPr>
                    <w:tcW w:w="0" w:type="auto"/>
                    <w:hideMark/>
                  </w:tcPr>
                  <w:p w14:paraId="0CC8753E" w14:textId="77777777" w:rsidR="00F17111" w:rsidRDefault="00F17111">
                    <w:pPr>
                      <w:pStyle w:val="Bibliography"/>
                      <w:rPr>
                        <w:noProof/>
                      </w:rPr>
                    </w:pPr>
                    <w:r>
                      <w:rPr>
                        <w:noProof/>
                      </w:rPr>
                      <w:t xml:space="preserve">Nuclear Industries Security Regulations 2003. Statutory Instrument 2003 No. 403. </w:t>
                    </w:r>
                  </w:p>
                </w:tc>
              </w:tr>
              <w:tr w:rsidR="00F17111" w14:paraId="2087118D" w14:textId="77777777">
                <w:trPr>
                  <w:divId w:val="1599751990"/>
                  <w:tblCellSpacing w:w="15" w:type="dxa"/>
                </w:trPr>
                <w:tc>
                  <w:tcPr>
                    <w:tcW w:w="50" w:type="pct"/>
                    <w:hideMark/>
                  </w:tcPr>
                  <w:p w14:paraId="0B23966A" w14:textId="77777777" w:rsidR="00F17111" w:rsidRDefault="00F17111">
                    <w:pPr>
                      <w:pStyle w:val="Bibliography"/>
                      <w:rPr>
                        <w:noProof/>
                      </w:rPr>
                    </w:pPr>
                    <w:r>
                      <w:rPr>
                        <w:noProof/>
                      </w:rPr>
                      <w:t xml:space="preserve">[2] </w:t>
                    </w:r>
                  </w:p>
                </w:tc>
                <w:tc>
                  <w:tcPr>
                    <w:tcW w:w="0" w:type="auto"/>
                    <w:hideMark/>
                  </w:tcPr>
                  <w:p w14:paraId="6F4E0E4A" w14:textId="77777777" w:rsidR="00F17111" w:rsidRDefault="00F17111">
                    <w:pPr>
                      <w:pStyle w:val="Bibliography"/>
                      <w:rPr>
                        <w:noProof/>
                      </w:rPr>
                    </w:pPr>
                    <w:r>
                      <w:rPr>
                        <w:noProof/>
                      </w:rPr>
                      <w:t xml:space="preserve">ONR, Security Assessment Principles for the Civil Nuclear Industry, 2022. </w:t>
                    </w:r>
                  </w:p>
                </w:tc>
              </w:tr>
              <w:tr w:rsidR="00F17111" w14:paraId="00425F76" w14:textId="77777777">
                <w:trPr>
                  <w:divId w:val="1599751990"/>
                  <w:tblCellSpacing w:w="15" w:type="dxa"/>
                </w:trPr>
                <w:tc>
                  <w:tcPr>
                    <w:tcW w:w="50" w:type="pct"/>
                    <w:hideMark/>
                  </w:tcPr>
                  <w:p w14:paraId="78B9163A" w14:textId="77777777" w:rsidR="00F17111" w:rsidRDefault="00F17111">
                    <w:pPr>
                      <w:pStyle w:val="Bibliography"/>
                      <w:rPr>
                        <w:noProof/>
                      </w:rPr>
                    </w:pPr>
                    <w:r>
                      <w:rPr>
                        <w:noProof/>
                      </w:rPr>
                      <w:t xml:space="preserve">[3] </w:t>
                    </w:r>
                  </w:p>
                </w:tc>
                <w:tc>
                  <w:tcPr>
                    <w:tcW w:w="0" w:type="auto"/>
                    <w:hideMark/>
                  </w:tcPr>
                  <w:p w14:paraId="6F969E43" w14:textId="77777777" w:rsidR="00F17111" w:rsidRDefault="00F17111">
                    <w:pPr>
                      <w:pStyle w:val="Bibliography"/>
                      <w:rPr>
                        <w:noProof/>
                      </w:rPr>
                    </w:pPr>
                    <w:r>
                      <w:rPr>
                        <w:noProof/>
                      </w:rPr>
                      <w:t xml:space="preserve">ONR, CNSS-SEC-GD-001 - Nuclear Transport Security Guidance for Class B Approved Carriers. </w:t>
                    </w:r>
                  </w:p>
                </w:tc>
              </w:tr>
              <w:tr w:rsidR="00F17111" w14:paraId="0446105B" w14:textId="77777777">
                <w:trPr>
                  <w:divId w:val="1599751990"/>
                  <w:tblCellSpacing w:w="15" w:type="dxa"/>
                </w:trPr>
                <w:tc>
                  <w:tcPr>
                    <w:tcW w:w="50" w:type="pct"/>
                    <w:hideMark/>
                  </w:tcPr>
                  <w:p w14:paraId="0D54F3BC" w14:textId="77777777" w:rsidR="00F17111" w:rsidRDefault="00F17111">
                    <w:pPr>
                      <w:pStyle w:val="Bibliography"/>
                      <w:rPr>
                        <w:noProof/>
                      </w:rPr>
                    </w:pPr>
                    <w:r>
                      <w:rPr>
                        <w:noProof/>
                      </w:rPr>
                      <w:t xml:space="preserve">[4] </w:t>
                    </w:r>
                  </w:p>
                </w:tc>
                <w:tc>
                  <w:tcPr>
                    <w:tcW w:w="0" w:type="auto"/>
                    <w:hideMark/>
                  </w:tcPr>
                  <w:p w14:paraId="0F1719D1" w14:textId="77777777" w:rsidR="00F17111" w:rsidRDefault="00F17111">
                    <w:pPr>
                      <w:pStyle w:val="Bibliography"/>
                      <w:rPr>
                        <w:noProof/>
                      </w:rPr>
                    </w:pPr>
                    <w:r>
                      <w:rPr>
                        <w:noProof/>
                      </w:rPr>
                      <w:t xml:space="preserve">HMG, Government Functional Standard GovS007: Security. </w:t>
                    </w:r>
                  </w:p>
                </w:tc>
              </w:tr>
              <w:tr w:rsidR="00F17111" w14:paraId="4A7E7FA7" w14:textId="77777777">
                <w:trPr>
                  <w:divId w:val="1599751990"/>
                  <w:tblCellSpacing w:w="15" w:type="dxa"/>
                </w:trPr>
                <w:tc>
                  <w:tcPr>
                    <w:tcW w:w="50" w:type="pct"/>
                    <w:hideMark/>
                  </w:tcPr>
                  <w:p w14:paraId="0EEE2873" w14:textId="77777777" w:rsidR="00F17111" w:rsidRDefault="00F17111">
                    <w:pPr>
                      <w:pStyle w:val="Bibliography"/>
                      <w:rPr>
                        <w:noProof/>
                      </w:rPr>
                    </w:pPr>
                    <w:r>
                      <w:rPr>
                        <w:noProof/>
                      </w:rPr>
                      <w:t xml:space="preserve">[5] </w:t>
                    </w:r>
                  </w:p>
                </w:tc>
                <w:tc>
                  <w:tcPr>
                    <w:tcW w:w="0" w:type="auto"/>
                    <w:hideMark/>
                  </w:tcPr>
                  <w:p w14:paraId="61927424" w14:textId="77777777" w:rsidR="00F17111" w:rsidRDefault="00F17111">
                    <w:pPr>
                      <w:pStyle w:val="Bibliography"/>
                      <w:rPr>
                        <w:noProof/>
                      </w:rPr>
                    </w:pPr>
                    <w:r>
                      <w:rPr>
                        <w:noProof/>
                      </w:rPr>
                      <w:t xml:space="preserve">ONR, Regulator Evaluated Demonstration Exercises – Aide Memoire for Inspectors (CM9: 2023/39235). </w:t>
                    </w:r>
                  </w:p>
                </w:tc>
              </w:tr>
              <w:tr w:rsidR="00F17111" w14:paraId="7B931CF8" w14:textId="77777777">
                <w:trPr>
                  <w:divId w:val="1599751990"/>
                  <w:tblCellSpacing w:w="15" w:type="dxa"/>
                </w:trPr>
                <w:tc>
                  <w:tcPr>
                    <w:tcW w:w="50" w:type="pct"/>
                    <w:hideMark/>
                  </w:tcPr>
                  <w:p w14:paraId="71F4017B" w14:textId="77777777" w:rsidR="00F17111" w:rsidRDefault="00F17111">
                    <w:pPr>
                      <w:pStyle w:val="Bibliography"/>
                      <w:rPr>
                        <w:noProof/>
                      </w:rPr>
                    </w:pPr>
                    <w:r>
                      <w:rPr>
                        <w:noProof/>
                      </w:rPr>
                      <w:t xml:space="preserve">[6] </w:t>
                    </w:r>
                  </w:p>
                </w:tc>
                <w:tc>
                  <w:tcPr>
                    <w:tcW w:w="0" w:type="auto"/>
                    <w:hideMark/>
                  </w:tcPr>
                  <w:p w14:paraId="38E9C764" w14:textId="77777777" w:rsidR="00F17111" w:rsidRDefault="00F17111">
                    <w:pPr>
                      <w:pStyle w:val="Bibliography"/>
                      <w:rPr>
                        <w:noProof/>
                      </w:rPr>
                    </w:pPr>
                    <w:r>
                      <w:rPr>
                        <w:noProof/>
                      </w:rPr>
                      <w:t xml:space="preserve">ONR, CNSS-SEC-GD-002 - Nuclear Industries Security Regulations 2003 – Guidance for Inspectors. </w:t>
                    </w:r>
                  </w:p>
                </w:tc>
              </w:tr>
              <w:tr w:rsidR="00F17111" w14:paraId="53BBADD3" w14:textId="77777777">
                <w:trPr>
                  <w:divId w:val="1599751990"/>
                  <w:tblCellSpacing w:w="15" w:type="dxa"/>
                </w:trPr>
                <w:tc>
                  <w:tcPr>
                    <w:tcW w:w="50" w:type="pct"/>
                    <w:hideMark/>
                  </w:tcPr>
                  <w:p w14:paraId="55CB4789" w14:textId="77777777" w:rsidR="00F17111" w:rsidRDefault="00F17111">
                    <w:pPr>
                      <w:pStyle w:val="Bibliography"/>
                      <w:rPr>
                        <w:noProof/>
                      </w:rPr>
                    </w:pPr>
                    <w:r>
                      <w:rPr>
                        <w:noProof/>
                      </w:rPr>
                      <w:t xml:space="preserve">[7] </w:t>
                    </w:r>
                  </w:p>
                </w:tc>
                <w:tc>
                  <w:tcPr>
                    <w:tcW w:w="0" w:type="auto"/>
                    <w:hideMark/>
                  </w:tcPr>
                  <w:p w14:paraId="72842CE8" w14:textId="77777777" w:rsidR="00F17111" w:rsidRDefault="00F17111">
                    <w:pPr>
                      <w:pStyle w:val="Bibliography"/>
                      <w:rPr>
                        <w:noProof/>
                      </w:rPr>
                    </w:pPr>
                    <w:r>
                      <w:rPr>
                        <w:noProof/>
                      </w:rPr>
                      <w:t xml:space="preserve">ONR, ONR-INSP-GD-059 - Guidance For Inspection Strategy Planning and Recording. </w:t>
                    </w:r>
                  </w:p>
                </w:tc>
              </w:tr>
              <w:tr w:rsidR="00F17111" w14:paraId="44BFAF51" w14:textId="77777777">
                <w:trPr>
                  <w:divId w:val="1599751990"/>
                  <w:tblCellSpacing w:w="15" w:type="dxa"/>
                </w:trPr>
                <w:tc>
                  <w:tcPr>
                    <w:tcW w:w="50" w:type="pct"/>
                    <w:hideMark/>
                  </w:tcPr>
                  <w:p w14:paraId="62086712" w14:textId="77777777" w:rsidR="00F17111" w:rsidRDefault="00F17111">
                    <w:pPr>
                      <w:pStyle w:val="Bibliography"/>
                      <w:rPr>
                        <w:noProof/>
                      </w:rPr>
                    </w:pPr>
                    <w:r>
                      <w:rPr>
                        <w:noProof/>
                      </w:rPr>
                      <w:t xml:space="preserve">[8] </w:t>
                    </w:r>
                  </w:p>
                </w:tc>
                <w:tc>
                  <w:tcPr>
                    <w:tcW w:w="0" w:type="auto"/>
                    <w:hideMark/>
                  </w:tcPr>
                  <w:p w14:paraId="7766FB32" w14:textId="77777777" w:rsidR="00F17111" w:rsidRDefault="00F17111">
                    <w:pPr>
                      <w:pStyle w:val="Bibliography"/>
                      <w:rPr>
                        <w:noProof/>
                      </w:rPr>
                    </w:pPr>
                    <w:r>
                      <w:rPr>
                        <w:noProof/>
                      </w:rPr>
                      <w:t xml:space="preserve">ONR, ONR-INSP-GD-064 - General Inspection Guide. </w:t>
                    </w:r>
                  </w:p>
                </w:tc>
              </w:tr>
              <w:tr w:rsidR="00F17111" w14:paraId="7DDD9D98" w14:textId="77777777">
                <w:trPr>
                  <w:divId w:val="1599751990"/>
                  <w:tblCellSpacing w:w="15" w:type="dxa"/>
                </w:trPr>
                <w:tc>
                  <w:tcPr>
                    <w:tcW w:w="50" w:type="pct"/>
                    <w:hideMark/>
                  </w:tcPr>
                  <w:p w14:paraId="08B57D89" w14:textId="77777777" w:rsidR="00F17111" w:rsidRDefault="00F17111">
                    <w:pPr>
                      <w:pStyle w:val="Bibliography"/>
                      <w:rPr>
                        <w:noProof/>
                      </w:rPr>
                    </w:pPr>
                    <w:r>
                      <w:rPr>
                        <w:noProof/>
                      </w:rPr>
                      <w:t xml:space="preserve">[9] </w:t>
                    </w:r>
                  </w:p>
                </w:tc>
                <w:tc>
                  <w:tcPr>
                    <w:tcW w:w="0" w:type="auto"/>
                    <w:hideMark/>
                  </w:tcPr>
                  <w:p w14:paraId="359DB2B5" w14:textId="77777777" w:rsidR="00F17111" w:rsidRDefault="00F17111">
                    <w:pPr>
                      <w:pStyle w:val="Bibliography"/>
                      <w:rPr>
                        <w:noProof/>
                      </w:rPr>
                    </w:pPr>
                    <w:r>
                      <w:rPr>
                        <w:noProof/>
                      </w:rPr>
                      <w:t xml:space="preserve">ONR, Enforcement Policy Statement, 2021. </w:t>
                    </w:r>
                  </w:p>
                </w:tc>
              </w:tr>
              <w:tr w:rsidR="00F17111" w14:paraId="61C4DD16" w14:textId="77777777">
                <w:trPr>
                  <w:divId w:val="1599751990"/>
                  <w:tblCellSpacing w:w="15" w:type="dxa"/>
                </w:trPr>
                <w:tc>
                  <w:tcPr>
                    <w:tcW w:w="50" w:type="pct"/>
                    <w:hideMark/>
                  </w:tcPr>
                  <w:p w14:paraId="39F3DA3D" w14:textId="77777777" w:rsidR="00F17111" w:rsidRDefault="00F17111">
                    <w:pPr>
                      <w:pStyle w:val="Bibliography"/>
                      <w:rPr>
                        <w:noProof/>
                      </w:rPr>
                    </w:pPr>
                    <w:r>
                      <w:rPr>
                        <w:noProof/>
                      </w:rPr>
                      <w:t xml:space="preserve">[10] </w:t>
                    </w:r>
                  </w:p>
                </w:tc>
                <w:tc>
                  <w:tcPr>
                    <w:tcW w:w="0" w:type="auto"/>
                    <w:hideMark/>
                  </w:tcPr>
                  <w:p w14:paraId="5B08201D" w14:textId="77777777" w:rsidR="00F17111" w:rsidRDefault="00F17111">
                    <w:pPr>
                      <w:pStyle w:val="Bibliography"/>
                      <w:rPr>
                        <w:noProof/>
                      </w:rPr>
                    </w:pPr>
                    <w:r>
                      <w:rPr>
                        <w:noProof/>
                      </w:rPr>
                      <w:t xml:space="preserve">ONR, Holding Industry to account and influencing improvements in nuclear safety and security – Enabling Regulations in practice, 2018. </w:t>
                    </w:r>
                  </w:p>
                </w:tc>
              </w:tr>
              <w:tr w:rsidR="00F17111" w14:paraId="40212479" w14:textId="77777777">
                <w:trPr>
                  <w:divId w:val="1599751990"/>
                  <w:tblCellSpacing w:w="15" w:type="dxa"/>
                </w:trPr>
                <w:tc>
                  <w:tcPr>
                    <w:tcW w:w="50" w:type="pct"/>
                    <w:hideMark/>
                  </w:tcPr>
                  <w:p w14:paraId="58628C0D" w14:textId="77777777" w:rsidR="00F17111" w:rsidRDefault="00F17111">
                    <w:pPr>
                      <w:pStyle w:val="Bibliography"/>
                      <w:rPr>
                        <w:noProof/>
                      </w:rPr>
                    </w:pPr>
                    <w:r>
                      <w:rPr>
                        <w:noProof/>
                      </w:rPr>
                      <w:t xml:space="preserve">[11] </w:t>
                    </w:r>
                  </w:p>
                </w:tc>
                <w:tc>
                  <w:tcPr>
                    <w:tcW w:w="0" w:type="auto"/>
                    <w:hideMark/>
                  </w:tcPr>
                  <w:p w14:paraId="57A3C09D" w14:textId="77777777" w:rsidR="00F17111" w:rsidRDefault="00F17111">
                    <w:pPr>
                      <w:pStyle w:val="Bibliography"/>
                      <w:rPr>
                        <w:noProof/>
                      </w:rPr>
                    </w:pPr>
                    <w:r>
                      <w:rPr>
                        <w:noProof/>
                      </w:rPr>
                      <w:t xml:space="preserve">Department for Business Innovation and Skills, Regulators Code, 2014. </w:t>
                    </w:r>
                  </w:p>
                </w:tc>
              </w:tr>
              <w:tr w:rsidR="00F17111" w14:paraId="2F70E9B6" w14:textId="77777777">
                <w:trPr>
                  <w:divId w:val="1599751990"/>
                  <w:tblCellSpacing w:w="15" w:type="dxa"/>
                </w:trPr>
                <w:tc>
                  <w:tcPr>
                    <w:tcW w:w="50" w:type="pct"/>
                    <w:hideMark/>
                  </w:tcPr>
                  <w:p w14:paraId="5280FCD7" w14:textId="77777777" w:rsidR="00F17111" w:rsidRDefault="00F17111">
                    <w:pPr>
                      <w:pStyle w:val="Bibliography"/>
                      <w:rPr>
                        <w:noProof/>
                      </w:rPr>
                    </w:pPr>
                    <w:r>
                      <w:rPr>
                        <w:noProof/>
                      </w:rPr>
                      <w:t xml:space="preserve">[12] </w:t>
                    </w:r>
                  </w:p>
                </w:tc>
                <w:tc>
                  <w:tcPr>
                    <w:tcW w:w="0" w:type="auto"/>
                    <w:hideMark/>
                  </w:tcPr>
                  <w:p w14:paraId="39709780" w14:textId="77777777" w:rsidR="00F17111" w:rsidRDefault="00F17111">
                    <w:pPr>
                      <w:pStyle w:val="Bibliography"/>
                      <w:rPr>
                        <w:noProof/>
                      </w:rPr>
                    </w:pPr>
                    <w:r>
                      <w:rPr>
                        <w:noProof/>
                      </w:rPr>
                      <w:t xml:space="preserve">ONR, NS-INSP-GD-070 Organisational Culture Guide for Inspectors. </w:t>
                    </w:r>
                  </w:p>
                </w:tc>
              </w:tr>
            </w:tbl>
            <w:p w14:paraId="19C2A74A" w14:textId="77777777" w:rsidR="00F17111" w:rsidRDefault="00F17111">
              <w:pPr>
                <w:divId w:val="1599751990"/>
                <w:rPr>
                  <w:rFonts w:eastAsia="Times New Roman"/>
                  <w:noProof/>
                </w:rPr>
              </w:pPr>
            </w:p>
            <w:p w14:paraId="67D047B6" w14:textId="5393D1D2" w:rsidR="0050270D" w:rsidRDefault="0050270D">
              <w:r>
                <w:rPr>
                  <w:b/>
                  <w:bCs/>
                  <w:noProof/>
                </w:rPr>
                <w:fldChar w:fldCharType="end"/>
              </w:r>
            </w:p>
          </w:sdtContent>
        </w:sdt>
      </w:sdtContent>
    </w:sdt>
    <w:p w14:paraId="02DDFA51" w14:textId="77777777" w:rsidR="0050270D" w:rsidRDefault="0050270D" w:rsidP="000311A4">
      <w:pPr>
        <w:pStyle w:val="F9-Paragraph"/>
        <w:numPr>
          <w:ilvl w:val="0"/>
          <w:numId w:val="0"/>
        </w:numPr>
        <w:ind w:left="851" w:hanging="851"/>
      </w:pPr>
    </w:p>
    <w:p w14:paraId="48257680" w14:textId="77777777" w:rsidR="0050270D" w:rsidRDefault="0050270D" w:rsidP="000311A4">
      <w:pPr>
        <w:pStyle w:val="F9-Paragraph"/>
        <w:numPr>
          <w:ilvl w:val="0"/>
          <w:numId w:val="0"/>
        </w:numPr>
        <w:ind w:left="851" w:hanging="851"/>
      </w:pPr>
    </w:p>
    <w:p w14:paraId="0FF597F3" w14:textId="77777777" w:rsidR="0050270D" w:rsidRDefault="0050270D" w:rsidP="000311A4">
      <w:pPr>
        <w:pStyle w:val="F9-Paragraph"/>
        <w:numPr>
          <w:ilvl w:val="0"/>
          <w:numId w:val="0"/>
        </w:numPr>
        <w:ind w:left="851" w:hanging="851"/>
      </w:pPr>
    </w:p>
    <w:p w14:paraId="4B07AE78" w14:textId="77777777" w:rsidR="0050270D" w:rsidRDefault="0050270D" w:rsidP="000311A4">
      <w:pPr>
        <w:pStyle w:val="F9-Paragraph"/>
        <w:numPr>
          <w:ilvl w:val="0"/>
          <w:numId w:val="0"/>
        </w:numPr>
        <w:ind w:left="851" w:hanging="851"/>
      </w:pPr>
    </w:p>
    <w:p w14:paraId="1CD45829" w14:textId="77777777" w:rsidR="0025207B" w:rsidRDefault="0025207B">
      <w:pPr>
        <w:spacing w:after="0" w:line="240" w:lineRule="auto"/>
        <w:rPr>
          <w:color w:val="22413A"/>
          <w:sz w:val="48"/>
        </w:rPr>
      </w:pPr>
      <w:r>
        <w:br w:type="page"/>
      </w:r>
    </w:p>
    <w:p w14:paraId="66072C9E" w14:textId="0D5C39B1" w:rsidR="0025207B" w:rsidRDefault="009E0E52" w:rsidP="00FA33FE">
      <w:pPr>
        <w:pStyle w:val="Heading1"/>
        <w:numPr>
          <w:ilvl w:val="0"/>
          <w:numId w:val="0"/>
        </w:numPr>
      </w:pPr>
      <w:bookmarkStart w:id="15" w:name="_Toc143174316"/>
      <w:r>
        <w:lastRenderedPageBreak/>
        <w:t xml:space="preserve">Appendix </w:t>
      </w:r>
      <w:r w:rsidR="007911BE">
        <w:t>A</w:t>
      </w:r>
      <w:r w:rsidR="0025207B">
        <w:t xml:space="preserve"> – </w:t>
      </w:r>
      <w:r w:rsidR="00756790">
        <w:br/>
      </w:r>
      <w:r w:rsidR="0025207B">
        <w:t>Supply Chain / Regulation 22</w:t>
      </w:r>
      <w:bookmarkEnd w:id="15"/>
    </w:p>
    <w:p w14:paraId="25DB7AEC" w14:textId="77777777" w:rsidR="001120B3" w:rsidRDefault="001120B3" w:rsidP="001120B3">
      <w:pPr>
        <w:pStyle w:val="F9-Paragraph"/>
        <w:numPr>
          <w:ilvl w:val="0"/>
          <w:numId w:val="37"/>
        </w:numPr>
        <w:ind w:left="851" w:hanging="851"/>
      </w:pPr>
      <w:r>
        <w:t>As Regulation 22 dutyholders are not required to produce a security plan for approval, ONR has a different arrangement for gathering assurance regarding their securing of SNI and application of relevant good practice.</w:t>
      </w:r>
    </w:p>
    <w:p w14:paraId="500C6DB7" w14:textId="3F1E81DA" w:rsidR="00D0297E" w:rsidRPr="00D0297E" w:rsidRDefault="00D0297E" w:rsidP="00D0297E">
      <w:pPr>
        <w:pStyle w:val="F9-Paragraph"/>
      </w:pPr>
      <w:r w:rsidRPr="00D0297E">
        <w:t xml:space="preserve">In order for a Regulation 22 dutyholder to demonstrate evidence of effective </w:t>
      </w:r>
      <w:proofErr w:type="gramStart"/>
      <w:r w:rsidRPr="00D0297E">
        <w:t>arrangements, and</w:t>
      </w:r>
      <w:proofErr w:type="gramEnd"/>
      <w:r w:rsidRPr="00D0297E">
        <w:t xml:space="preserve"> noting that SNI always accompanies a Government Security Classification, ONR considers the expectations and requirements articulated within Government Functional Standard GovS007: Security to be relevant good practice.  As such ONR have directly mapped 5 of the 10 Fundamental Security Principles (FSyP) from the SyAPs to GovS007 </w:t>
      </w:r>
      <w:proofErr w:type="gramStart"/>
      <w:r w:rsidRPr="00D0297E">
        <w:t>in order to</w:t>
      </w:r>
      <w:proofErr w:type="gramEnd"/>
      <w:r w:rsidRPr="00D0297E">
        <w:t xml:space="preserve"> provide a framework for dutyholders to evidence their arrangements and for regulators to make judgements on their adequacy. The relevant </w:t>
      </w:r>
      <w:proofErr w:type="spellStart"/>
      <w:r w:rsidRPr="00D0297E">
        <w:t>FSyPs</w:t>
      </w:r>
      <w:proofErr w:type="spellEnd"/>
      <w:r w:rsidRPr="00D0297E">
        <w:t xml:space="preserve"> are </w:t>
      </w:r>
      <w:proofErr w:type="spellStart"/>
      <w:r w:rsidRPr="00D0297E">
        <w:t>FSyP</w:t>
      </w:r>
      <w:proofErr w:type="spellEnd"/>
      <w:r w:rsidRPr="00D0297E">
        <w:t xml:space="preserve"> 1, 2, 3, 7 and 8.  Other </w:t>
      </w:r>
      <w:proofErr w:type="spellStart"/>
      <w:r w:rsidRPr="00D0297E">
        <w:t>FSyPs</w:t>
      </w:r>
      <w:proofErr w:type="spellEnd"/>
      <w:r w:rsidRPr="00D0297E">
        <w:t xml:space="preserve"> are considered out of scope.</w:t>
      </w:r>
    </w:p>
    <w:p w14:paraId="700787B3" w14:textId="6CBE0305" w:rsidR="001120B3" w:rsidRDefault="001120B3" w:rsidP="001120B3">
      <w:pPr>
        <w:pStyle w:val="F9-Paragraph"/>
      </w:pPr>
      <w:r>
        <w:t xml:space="preserve">Those dutyholders complete an Inherent Risk Profile Questionnaire (IRPQ) to determine the level of inherent risk a particular facility or IT system holds. This is largely based upon the classification and quantities of SNI held at that facility or on that system. For Regulation 22 dutyholders with multiple facilities and systems, their corporate inherent risk profile level is calculated cumulatively, </w:t>
      </w:r>
      <w:proofErr w:type="gramStart"/>
      <w:r>
        <w:t>taking into account</w:t>
      </w:r>
      <w:proofErr w:type="gramEnd"/>
      <w:r>
        <w:t xml:space="preserve"> the SNI held across all their facilities and systems.</w:t>
      </w:r>
    </w:p>
    <w:p w14:paraId="6BEDC14E" w14:textId="3D737444" w:rsidR="001120B3" w:rsidRDefault="001120B3" w:rsidP="001120B3">
      <w:pPr>
        <w:pStyle w:val="F9-Paragraph"/>
      </w:pPr>
      <w:r>
        <w:t>The calculated inherent risk profile levels are then used to determine the ‘evidencing expectations’</w:t>
      </w:r>
      <w:r>
        <w:rPr>
          <w:rStyle w:val="FootnoteReference"/>
        </w:rPr>
        <w:footnoteReference w:id="4"/>
      </w:r>
      <w:r>
        <w:t xml:space="preserve"> that the dutyholder is required to demonstrate meeting, corporately and for each facility and system where SNI is handled. For most Regulation 22 dutyholders, the IRPQ and ‘evidencing expectations’ processes are completed on the List N portal and approved by the dutyholder</w:t>
      </w:r>
      <w:r w:rsidR="008D2296">
        <w:t>’</w:t>
      </w:r>
      <w:r>
        <w:t>s Contracting Authority (CA), where appropriate.</w:t>
      </w:r>
    </w:p>
    <w:p w14:paraId="1B1DC11A" w14:textId="77777777" w:rsidR="001120B3" w:rsidRDefault="001120B3" w:rsidP="001120B3">
      <w:pPr>
        <w:pStyle w:val="F9-Paragraph"/>
      </w:pPr>
      <w:r>
        <w:t xml:space="preserve">ONR inspectors have access to the Regulation 22 dutyholders submissions and the CA’s verification, </w:t>
      </w:r>
      <w:proofErr w:type="gramStart"/>
      <w:r>
        <w:t>approval</w:t>
      </w:r>
      <w:proofErr w:type="gramEnd"/>
      <w:r>
        <w:t xml:space="preserve"> and ongoing assurance evidence via the List N portal. The availability of such evidence enables inspectors to carry out partial or wholly desk top based inspections.</w:t>
      </w:r>
    </w:p>
    <w:p w14:paraId="5F85CE59" w14:textId="11403032" w:rsidR="001120B3" w:rsidRDefault="001120B3" w:rsidP="001120B3">
      <w:pPr>
        <w:pStyle w:val="F9-Paragraph"/>
      </w:pPr>
      <w:r>
        <w:t>ONR inspectors should carry out sample inspections of Regulation 22 dutyholders</w:t>
      </w:r>
      <w:r w:rsidR="008D2296">
        <w:t>,</w:t>
      </w:r>
      <w:r>
        <w:t xml:space="preserve"> to determine their compliance with NISR</w:t>
      </w:r>
      <w:r w:rsidR="00A019AD">
        <w:t xml:space="preserve"> 2003 (Ref </w:t>
      </w:r>
      <w:sdt>
        <w:sdtPr>
          <w:id w:val="-1875369905"/>
          <w:citation/>
        </w:sdtPr>
        <w:sdtContent>
          <w:r w:rsidR="00A019AD">
            <w:fldChar w:fldCharType="begin"/>
          </w:r>
          <w:r w:rsidR="00A019AD">
            <w:instrText xml:space="preserve"> CITATION NISR2003 \l 2057 </w:instrText>
          </w:r>
          <w:r w:rsidR="00A019AD">
            <w:fldChar w:fldCharType="separate"/>
          </w:r>
          <w:r w:rsidR="00F17111" w:rsidRPr="00F17111">
            <w:rPr>
              <w:noProof/>
            </w:rPr>
            <w:t>[1]</w:t>
          </w:r>
          <w:r w:rsidR="00A019AD">
            <w:fldChar w:fldCharType="end"/>
          </w:r>
        </w:sdtContent>
      </w:sdt>
      <w:r w:rsidR="00A019AD">
        <w:t>)</w:t>
      </w:r>
      <w:r>
        <w:t xml:space="preserve">. Generally, an inspection will focus on a particular facility or system, considering relevant supporting evidence from the ‘Corporate Evidencing Expectations’ submission. For larger Regulation 22 dutyholders, with </w:t>
      </w:r>
      <w:r>
        <w:lastRenderedPageBreak/>
        <w:t>multiple facilities and systems, an inspector may deem it appropriate to conduct a more corporate</w:t>
      </w:r>
      <w:r w:rsidR="006D1914">
        <w:t>-</w:t>
      </w:r>
      <w:r>
        <w:t xml:space="preserve">focused intervention. </w:t>
      </w:r>
    </w:p>
    <w:p w14:paraId="2B4A063F" w14:textId="1D9EAF79" w:rsidR="001120B3" w:rsidRDefault="001120B3" w:rsidP="001120B3">
      <w:pPr>
        <w:pStyle w:val="F9-Paragraph"/>
      </w:pPr>
      <w:r>
        <w:t>ONR has communicated the following parameters when undertaking Regulation 22 inspections</w:t>
      </w:r>
      <w:r w:rsidR="00756790">
        <w:t>:</w:t>
      </w:r>
    </w:p>
    <w:tbl>
      <w:tblPr>
        <w:tblStyle w:val="ONRTable1"/>
        <w:tblpPr w:leftFromText="180" w:rightFromText="180" w:vertAnchor="page" w:horzAnchor="margin" w:tblpXSpec="right" w:tblpY="3066"/>
        <w:tblW w:w="8130" w:type="dxa"/>
        <w:tblInd w:w="0" w:type="dxa"/>
        <w:tblLook w:val="04A0" w:firstRow="1" w:lastRow="0" w:firstColumn="1" w:lastColumn="0" w:noHBand="0" w:noVBand="1"/>
      </w:tblPr>
      <w:tblGrid>
        <w:gridCol w:w="1939"/>
        <w:gridCol w:w="2056"/>
        <w:gridCol w:w="18"/>
        <w:gridCol w:w="2038"/>
        <w:gridCol w:w="2056"/>
        <w:gridCol w:w="23"/>
      </w:tblGrid>
      <w:tr w:rsidR="00A07E47" w14:paraId="1B516218" w14:textId="77777777" w:rsidTr="006206B7">
        <w:trPr>
          <w:cnfStyle w:val="100000000000" w:firstRow="1" w:lastRow="0" w:firstColumn="0" w:lastColumn="0" w:oddVBand="0" w:evenVBand="0" w:oddHBand="0" w:evenHBand="0" w:firstRowFirstColumn="0" w:firstRowLastColumn="0" w:lastRowFirstColumn="0" w:lastRowLastColumn="0"/>
          <w:trHeight w:val="519"/>
        </w:trPr>
        <w:tc>
          <w:tcPr>
            <w:tcW w:w="4013" w:type="dxa"/>
            <w:gridSpan w:val="3"/>
            <w:shd w:val="clear" w:color="auto" w:fill="auto"/>
            <w:vAlign w:val="bottom"/>
          </w:tcPr>
          <w:p w14:paraId="0F4EE898" w14:textId="77777777" w:rsidR="001A2226" w:rsidRPr="00756790" w:rsidRDefault="001A2226" w:rsidP="001A2226">
            <w:pPr>
              <w:pStyle w:val="TableText"/>
              <w:rPr>
                <w:b w:val="0"/>
                <w:bCs/>
              </w:rPr>
            </w:pPr>
          </w:p>
        </w:tc>
        <w:tc>
          <w:tcPr>
            <w:tcW w:w="4117" w:type="dxa"/>
            <w:gridSpan w:val="3"/>
          </w:tcPr>
          <w:p w14:paraId="613DCF95" w14:textId="77777777" w:rsidR="001A2226" w:rsidRPr="00756790" w:rsidRDefault="001A2226" w:rsidP="001A2226">
            <w:pPr>
              <w:pStyle w:val="TableText"/>
              <w:jc w:val="center"/>
              <w:rPr>
                <w:b w:val="0"/>
                <w:bCs/>
              </w:rPr>
            </w:pPr>
            <w:r>
              <w:t>Inspection method</w:t>
            </w:r>
          </w:p>
        </w:tc>
      </w:tr>
      <w:tr w:rsidR="006206B7" w14:paraId="0976C633" w14:textId="77777777" w:rsidTr="006206B7">
        <w:trPr>
          <w:gridAfter w:val="1"/>
          <w:wAfter w:w="23" w:type="dxa"/>
          <w:trHeight w:val="1243"/>
        </w:trPr>
        <w:tc>
          <w:tcPr>
            <w:tcW w:w="1939" w:type="dxa"/>
            <w:tcBorders>
              <w:top w:val="single" w:sz="4" w:space="0" w:color="22413A"/>
              <w:right w:val="double" w:sz="4" w:space="0" w:color="22413A"/>
            </w:tcBorders>
            <w:shd w:val="clear" w:color="auto" w:fill="D4EFE5"/>
            <w:vAlign w:val="bottom"/>
            <w:hideMark/>
          </w:tcPr>
          <w:p w14:paraId="1C2CF9D4" w14:textId="77777777" w:rsidR="001A2226" w:rsidRDefault="001A2226" w:rsidP="001A2226">
            <w:pPr>
              <w:pStyle w:val="TableText"/>
            </w:pPr>
            <w:r w:rsidRPr="00756790">
              <w:rPr>
                <w:b/>
                <w:bCs/>
              </w:rPr>
              <w:t>Inherent Risk Profile Level</w:t>
            </w:r>
          </w:p>
        </w:tc>
        <w:tc>
          <w:tcPr>
            <w:tcW w:w="2056" w:type="dxa"/>
            <w:tcBorders>
              <w:left w:val="double" w:sz="4" w:space="0" w:color="22413A"/>
            </w:tcBorders>
            <w:shd w:val="clear" w:color="auto" w:fill="D4EFE5"/>
          </w:tcPr>
          <w:p w14:paraId="0478FBF5" w14:textId="77777777" w:rsidR="001A2226" w:rsidRDefault="001A2226" w:rsidP="001A2226">
            <w:pPr>
              <w:pStyle w:val="TableText"/>
              <w:jc w:val="center"/>
            </w:pPr>
            <w:r w:rsidRPr="00756790">
              <w:rPr>
                <w:b/>
                <w:bCs/>
              </w:rPr>
              <w:t>Maximum Inspection Frequency</w:t>
            </w:r>
          </w:p>
        </w:tc>
        <w:tc>
          <w:tcPr>
            <w:tcW w:w="2056" w:type="dxa"/>
            <w:gridSpan w:val="2"/>
            <w:shd w:val="clear" w:color="auto" w:fill="D4EFE5"/>
          </w:tcPr>
          <w:p w14:paraId="3066937D" w14:textId="77777777" w:rsidR="001A2226" w:rsidRDefault="001A2226" w:rsidP="001A2226">
            <w:pPr>
              <w:pStyle w:val="TableText"/>
              <w:jc w:val="center"/>
            </w:pPr>
            <w:r w:rsidRPr="00756790">
              <w:rPr>
                <w:b/>
                <w:bCs/>
              </w:rPr>
              <w:t>Desktop Review of Evidence</w:t>
            </w:r>
          </w:p>
        </w:tc>
        <w:tc>
          <w:tcPr>
            <w:tcW w:w="2056" w:type="dxa"/>
            <w:shd w:val="clear" w:color="auto" w:fill="D4EFE5"/>
          </w:tcPr>
          <w:p w14:paraId="6A34DFB3" w14:textId="77777777" w:rsidR="001A2226" w:rsidRDefault="001A2226" w:rsidP="001A2226">
            <w:pPr>
              <w:pStyle w:val="TableText"/>
              <w:jc w:val="center"/>
            </w:pPr>
            <w:r w:rsidRPr="00756790">
              <w:rPr>
                <w:b/>
                <w:bCs/>
              </w:rPr>
              <w:t>On Site Facility Inspection</w:t>
            </w:r>
          </w:p>
        </w:tc>
      </w:tr>
      <w:tr w:rsidR="006206B7" w14:paraId="7751AFB8" w14:textId="77777777" w:rsidTr="006206B7">
        <w:trPr>
          <w:gridAfter w:val="1"/>
          <w:wAfter w:w="23" w:type="dxa"/>
          <w:trHeight w:val="542"/>
        </w:trPr>
        <w:tc>
          <w:tcPr>
            <w:tcW w:w="1939" w:type="dxa"/>
            <w:tcBorders>
              <w:right w:val="double" w:sz="4" w:space="0" w:color="auto"/>
            </w:tcBorders>
            <w:shd w:val="clear" w:color="auto" w:fill="D4EFE5"/>
          </w:tcPr>
          <w:p w14:paraId="2C9E42C8" w14:textId="77777777" w:rsidR="001A2226" w:rsidRPr="00756790" w:rsidRDefault="001A2226" w:rsidP="001A2226">
            <w:pPr>
              <w:pStyle w:val="TableText"/>
              <w:rPr>
                <w:b/>
                <w:bCs/>
              </w:rPr>
            </w:pPr>
            <w:r>
              <w:t>High</w:t>
            </w:r>
          </w:p>
        </w:tc>
        <w:tc>
          <w:tcPr>
            <w:tcW w:w="2056" w:type="dxa"/>
            <w:tcBorders>
              <w:left w:val="double" w:sz="4" w:space="0" w:color="auto"/>
            </w:tcBorders>
          </w:tcPr>
          <w:p w14:paraId="4E74CB98" w14:textId="77777777" w:rsidR="001A2226" w:rsidRPr="00756790" w:rsidRDefault="001A2226" w:rsidP="001A2226">
            <w:pPr>
              <w:pStyle w:val="TableText"/>
              <w:jc w:val="center"/>
              <w:rPr>
                <w:b/>
                <w:bCs/>
              </w:rPr>
            </w:pPr>
            <w:r>
              <w:t>2 years</w:t>
            </w:r>
          </w:p>
        </w:tc>
        <w:tc>
          <w:tcPr>
            <w:tcW w:w="2056" w:type="dxa"/>
            <w:gridSpan w:val="2"/>
          </w:tcPr>
          <w:p w14:paraId="71B3775C" w14:textId="77777777" w:rsidR="001A2226" w:rsidRPr="000F7739" w:rsidRDefault="001A2226" w:rsidP="001A2226">
            <w:pPr>
              <w:pStyle w:val="TableText"/>
              <w:jc w:val="center"/>
              <w:rPr>
                <w:bCs/>
              </w:rPr>
            </w:pPr>
            <w:r>
              <w:t>Yes</w:t>
            </w:r>
          </w:p>
        </w:tc>
        <w:tc>
          <w:tcPr>
            <w:tcW w:w="2056" w:type="dxa"/>
          </w:tcPr>
          <w:p w14:paraId="0CF6E8E7" w14:textId="77777777" w:rsidR="001A2226" w:rsidRPr="000F7739" w:rsidRDefault="001A2226" w:rsidP="001A2226">
            <w:pPr>
              <w:pStyle w:val="TableText"/>
              <w:jc w:val="center"/>
              <w:rPr>
                <w:bCs/>
              </w:rPr>
            </w:pPr>
            <w:r>
              <w:t>Yes</w:t>
            </w:r>
          </w:p>
        </w:tc>
      </w:tr>
      <w:tr w:rsidR="006206B7" w14:paraId="6F3D05B3" w14:textId="77777777" w:rsidTr="006206B7">
        <w:trPr>
          <w:gridAfter w:val="1"/>
          <w:wAfter w:w="23" w:type="dxa"/>
          <w:trHeight w:val="519"/>
        </w:trPr>
        <w:tc>
          <w:tcPr>
            <w:tcW w:w="1939" w:type="dxa"/>
            <w:tcBorders>
              <w:right w:val="double" w:sz="4" w:space="0" w:color="auto"/>
            </w:tcBorders>
            <w:shd w:val="clear" w:color="auto" w:fill="D4EFE5"/>
          </w:tcPr>
          <w:p w14:paraId="13CF22D4" w14:textId="77777777" w:rsidR="001A2226" w:rsidRDefault="001A2226" w:rsidP="001A2226">
            <w:pPr>
              <w:pStyle w:val="TableText"/>
            </w:pPr>
            <w:r>
              <w:t>Moderate</w:t>
            </w:r>
          </w:p>
        </w:tc>
        <w:tc>
          <w:tcPr>
            <w:tcW w:w="2056" w:type="dxa"/>
            <w:tcBorders>
              <w:left w:val="double" w:sz="4" w:space="0" w:color="auto"/>
            </w:tcBorders>
          </w:tcPr>
          <w:p w14:paraId="0C77D198" w14:textId="77777777" w:rsidR="001A2226" w:rsidRDefault="001A2226" w:rsidP="001A2226">
            <w:pPr>
              <w:pStyle w:val="TableText"/>
              <w:jc w:val="center"/>
            </w:pPr>
            <w:r>
              <w:t>3 years</w:t>
            </w:r>
          </w:p>
        </w:tc>
        <w:tc>
          <w:tcPr>
            <w:tcW w:w="2056" w:type="dxa"/>
            <w:gridSpan w:val="2"/>
          </w:tcPr>
          <w:p w14:paraId="6BB07EFF" w14:textId="77777777" w:rsidR="001A2226" w:rsidRDefault="001A2226" w:rsidP="001A2226">
            <w:pPr>
              <w:pStyle w:val="TableText"/>
              <w:jc w:val="center"/>
            </w:pPr>
            <w:r>
              <w:t>Yes</w:t>
            </w:r>
          </w:p>
        </w:tc>
        <w:tc>
          <w:tcPr>
            <w:tcW w:w="2056" w:type="dxa"/>
          </w:tcPr>
          <w:p w14:paraId="6D04E11D" w14:textId="77777777" w:rsidR="001A2226" w:rsidRDefault="001A2226" w:rsidP="001A2226">
            <w:pPr>
              <w:pStyle w:val="TableText"/>
              <w:jc w:val="center"/>
            </w:pPr>
            <w:r>
              <w:t>Optional</w:t>
            </w:r>
          </w:p>
        </w:tc>
      </w:tr>
      <w:tr w:rsidR="006206B7" w14:paraId="7CC7285B" w14:textId="77777777" w:rsidTr="006206B7">
        <w:trPr>
          <w:gridAfter w:val="1"/>
          <w:wAfter w:w="23" w:type="dxa"/>
          <w:trHeight w:val="519"/>
        </w:trPr>
        <w:tc>
          <w:tcPr>
            <w:tcW w:w="1939" w:type="dxa"/>
            <w:tcBorders>
              <w:bottom w:val="single" w:sz="4" w:space="0" w:color="auto"/>
              <w:right w:val="double" w:sz="4" w:space="0" w:color="auto"/>
            </w:tcBorders>
            <w:shd w:val="clear" w:color="auto" w:fill="D4EFE5"/>
          </w:tcPr>
          <w:p w14:paraId="1310A116" w14:textId="77777777" w:rsidR="001A2226" w:rsidRDefault="001A2226" w:rsidP="001A2226">
            <w:pPr>
              <w:pStyle w:val="TableText"/>
            </w:pPr>
            <w:r>
              <w:t>Low</w:t>
            </w:r>
          </w:p>
        </w:tc>
        <w:tc>
          <w:tcPr>
            <w:tcW w:w="2056" w:type="dxa"/>
            <w:tcBorders>
              <w:left w:val="double" w:sz="4" w:space="0" w:color="auto"/>
              <w:bottom w:val="single" w:sz="4" w:space="0" w:color="auto"/>
            </w:tcBorders>
          </w:tcPr>
          <w:p w14:paraId="0000829E" w14:textId="77777777" w:rsidR="001A2226" w:rsidRDefault="001A2226" w:rsidP="001A2226">
            <w:pPr>
              <w:pStyle w:val="TableText"/>
              <w:jc w:val="center"/>
            </w:pPr>
            <w:r>
              <w:t>4 years</w:t>
            </w:r>
          </w:p>
        </w:tc>
        <w:tc>
          <w:tcPr>
            <w:tcW w:w="2056" w:type="dxa"/>
            <w:gridSpan w:val="2"/>
            <w:tcBorders>
              <w:bottom w:val="single" w:sz="4" w:space="0" w:color="auto"/>
            </w:tcBorders>
          </w:tcPr>
          <w:p w14:paraId="2E9F8EAA" w14:textId="77777777" w:rsidR="001A2226" w:rsidRDefault="001A2226" w:rsidP="001A2226">
            <w:pPr>
              <w:pStyle w:val="TableText"/>
              <w:jc w:val="center"/>
            </w:pPr>
            <w:r>
              <w:t>Yes</w:t>
            </w:r>
          </w:p>
        </w:tc>
        <w:tc>
          <w:tcPr>
            <w:tcW w:w="2056" w:type="dxa"/>
            <w:tcBorders>
              <w:bottom w:val="single" w:sz="4" w:space="0" w:color="auto"/>
            </w:tcBorders>
          </w:tcPr>
          <w:p w14:paraId="3A30CA21" w14:textId="77777777" w:rsidR="001A2226" w:rsidRDefault="001A2226" w:rsidP="001A2226">
            <w:pPr>
              <w:pStyle w:val="TableText"/>
              <w:jc w:val="center"/>
            </w:pPr>
            <w:r>
              <w:t>Optional</w:t>
            </w:r>
          </w:p>
        </w:tc>
      </w:tr>
      <w:tr w:rsidR="006206B7" w14:paraId="6DEAB831" w14:textId="77777777" w:rsidTr="006206B7">
        <w:trPr>
          <w:gridAfter w:val="1"/>
          <w:wAfter w:w="23" w:type="dxa"/>
          <w:trHeight w:val="498"/>
        </w:trPr>
        <w:tc>
          <w:tcPr>
            <w:tcW w:w="1939" w:type="dxa"/>
            <w:tcBorders>
              <w:bottom w:val="single" w:sz="4" w:space="0" w:color="auto"/>
              <w:right w:val="double" w:sz="4" w:space="0" w:color="auto"/>
            </w:tcBorders>
            <w:shd w:val="clear" w:color="auto" w:fill="D4EFE5"/>
          </w:tcPr>
          <w:p w14:paraId="7F641920" w14:textId="77777777" w:rsidR="001A2226" w:rsidRDefault="001A2226" w:rsidP="001A2226">
            <w:pPr>
              <w:pStyle w:val="TableText"/>
            </w:pPr>
            <w:r>
              <w:t>Very Low</w:t>
            </w:r>
          </w:p>
        </w:tc>
        <w:tc>
          <w:tcPr>
            <w:tcW w:w="2056" w:type="dxa"/>
            <w:tcBorders>
              <w:left w:val="double" w:sz="4" w:space="0" w:color="auto"/>
              <w:bottom w:val="single" w:sz="4" w:space="0" w:color="auto"/>
            </w:tcBorders>
          </w:tcPr>
          <w:p w14:paraId="3E24DA62" w14:textId="77777777" w:rsidR="001A2226" w:rsidRDefault="001A2226" w:rsidP="001A2226">
            <w:pPr>
              <w:pStyle w:val="TableText"/>
              <w:jc w:val="center"/>
            </w:pPr>
            <w:r>
              <w:t>5 years</w:t>
            </w:r>
          </w:p>
        </w:tc>
        <w:tc>
          <w:tcPr>
            <w:tcW w:w="2056" w:type="dxa"/>
            <w:gridSpan w:val="2"/>
            <w:tcBorders>
              <w:bottom w:val="single" w:sz="4" w:space="0" w:color="auto"/>
            </w:tcBorders>
          </w:tcPr>
          <w:p w14:paraId="26DAC1E3" w14:textId="77777777" w:rsidR="001A2226" w:rsidRDefault="001A2226" w:rsidP="001A2226">
            <w:pPr>
              <w:pStyle w:val="TableText"/>
              <w:jc w:val="center"/>
            </w:pPr>
            <w:r>
              <w:t>Yes</w:t>
            </w:r>
          </w:p>
        </w:tc>
        <w:tc>
          <w:tcPr>
            <w:tcW w:w="2056" w:type="dxa"/>
            <w:tcBorders>
              <w:bottom w:val="single" w:sz="4" w:space="0" w:color="auto"/>
            </w:tcBorders>
          </w:tcPr>
          <w:p w14:paraId="314CE49A" w14:textId="77777777" w:rsidR="001A2226" w:rsidRDefault="001A2226" w:rsidP="001A2226">
            <w:pPr>
              <w:pStyle w:val="TableText"/>
              <w:jc w:val="center"/>
            </w:pPr>
            <w:r>
              <w:t>No</w:t>
            </w:r>
          </w:p>
        </w:tc>
      </w:tr>
    </w:tbl>
    <w:p w14:paraId="1EF0EDB1" w14:textId="4D6A749F" w:rsidR="001120B3" w:rsidRDefault="001120B3" w:rsidP="001120B3">
      <w:pPr>
        <w:pStyle w:val="F9-Paragraph"/>
      </w:pPr>
      <w:r>
        <w:t xml:space="preserve">It should be noted that the parameters detailed above may be overridden, according to the </w:t>
      </w:r>
      <w:r w:rsidR="00AF6981">
        <w:t>inspector’s</w:t>
      </w:r>
      <w:r>
        <w:t xml:space="preserve"> judgement, based upon factors that may affect risk to SNI, such as dutyholder breaches, poor provision of evidence or engagement with ONR, company acquisitions and mergers etc.</w:t>
      </w:r>
    </w:p>
    <w:p w14:paraId="1BDB5600" w14:textId="323B6B17" w:rsidR="001120B3" w:rsidRDefault="001120B3" w:rsidP="001120B3">
      <w:pPr>
        <w:pStyle w:val="F9-Paragraph"/>
      </w:pPr>
      <w:r w:rsidRPr="00B826A4">
        <w:t>Due to the high number of Regulation 22 dutyholders</w:t>
      </w:r>
      <w:r w:rsidR="00E82AAB">
        <w:t>,</w:t>
      </w:r>
      <w:r w:rsidRPr="00B826A4">
        <w:t xml:space="preserve"> organisations, facilities and systems should be selected for inspection using a risk informed approach. Factors such as inspection history, incident history, number of Contracting Authorities, experience handling SNI and other factors will be taken into consideration, alongside the inherent risk profile, when developing the intervention plan. This will ensure that the impact of regulation to any </w:t>
      </w:r>
      <w:proofErr w:type="gramStart"/>
      <w:r w:rsidRPr="00B826A4">
        <w:t>particular dutyholder</w:t>
      </w:r>
      <w:proofErr w:type="gramEnd"/>
      <w:r w:rsidRPr="00B826A4">
        <w:t xml:space="preserve"> is applied proportionately.</w:t>
      </w:r>
    </w:p>
    <w:p w14:paraId="487F0867" w14:textId="7B9BF4E6" w:rsidR="001120B3" w:rsidRDefault="001120B3" w:rsidP="001120B3">
      <w:pPr>
        <w:pStyle w:val="F9-Paragraph"/>
      </w:pPr>
      <w:proofErr w:type="gramStart"/>
      <w:r>
        <w:t>In light of</w:t>
      </w:r>
      <w:proofErr w:type="gramEnd"/>
      <w:r>
        <w:t xml:space="preserve"> the relatively infrequent nature of Regulation 22 inspections for many dutyholders, ONR inspectors should aim to gather assurance across all five of the relevant </w:t>
      </w:r>
      <w:proofErr w:type="spellStart"/>
      <w:r>
        <w:t>FSyPs</w:t>
      </w:r>
      <w:proofErr w:type="spellEnd"/>
      <w:r>
        <w:t xml:space="preserve">, during a single inspection. Specific </w:t>
      </w:r>
      <w:r w:rsidR="00756790">
        <w:t>e</w:t>
      </w:r>
      <w:r>
        <w:t xml:space="preserve">vidence </w:t>
      </w:r>
      <w:r w:rsidR="00756790">
        <w:t>e</w:t>
      </w:r>
      <w:r>
        <w:t>xpectations should be selected</w:t>
      </w:r>
      <w:r w:rsidR="00756790">
        <w:t>,</w:t>
      </w:r>
      <w:r>
        <w:t xml:space="preserve"> to provide an indicative level of compliance against each FSyP. As such, inspections may be broader and shallower than those conducted </w:t>
      </w:r>
      <w:r w:rsidR="00756790">
        <w:t xml:space="preserve">at </w:t>
      </w:r>
      <w:r>
        <w:t>nuclear premises, though inspectors retain the ability to drill down into potential issues identified during an inspection. As such, there may be times when it is not feasible to sample each FSyP due to issues encountered during an inspection.</w:t>
      </w:r>
    </w:p>
    <w:p w14:paraId="7DDBD5BE" w14:textId="77777777" w:rsidR="00B928D8" w:rsidRDefault="00B928D8" w:rsidP="00B928D8">
      <w:pPr>
        <w:pStyle w:val="F9-Paragraph"/>
      </w:pPr>
      <w:r>
        <w:t>It should be noted that Personnel Security arrangements can differ amongst Regulation 22 dutyholders. Inspectors may consider the following when inspecting such arrangements.</w:t>
      </w:r>
    </w:p>
    <w:p w14:paraId="75A3D3A1" w14:textId="77777777" w:rsidR="00B928D8" w:rsidRDefault="00B928D8" w:rsidP="00B928D8">
      <w:pPr>
        <w:pStyle w:val="F9-Paragraph"/>
        <w:rPr>
          <w:szCs w:val="24"/>
          <w:lang w:bidi="ar-SA"/>
        </w:rPr>
      </w:pPr>
      <w:r>
        <w:rPr>
          <w:szCs w:val="24"/>
        </w:rPr>
        <w:lastRenderedPageBreak/>
        <w:t>Personnel security arrangements for Regulation 22 organisations that are not sponsors of national security vetting clearances in the civil nuclear industry, are to meet expected standards as detailed within the Security Aspects Letters (SAL) agreed with the Contracting Authority. The contracting authority is expected to ensure compliance with the SAL on an ongoing basis. Where these standards relate to achieving HMG Personnel Security Controls, including the submission of company record checks to support national security vetting applications, and aftercare reporting, these arrangements may be assessed by ONR Personnel Security Inspectors when the Contracting Authority is subject to a personnel security intervention.</w:t>
      </w:r>
    </w:p>
    <w:p w14:paraId="20D59210" w14:textId="2C882BA5" w:rsidR="007911BE" w:rsidRPr="00B928D8" w:rsidRDefault="00B928D8" w:rsidP="00B928D8">
      <w:pPr>
        <w:pStyle w:val="F9-Paragraph"/>
        <w:rPr>
          <w:szCs w:val="24"/>
          <w:lang w:bidi="ar-SA"/>
        </w:rPr>
      </w:pPr>
      <w:r w:rsidRPr="00900F12">
        <w:rPr>
          <w:szCs w:val="24"/>
        </w:rPr>
        <w:t>ONR inspectors, when inspecting Regulation 22 dutyholders who are unable to sponsor civil nuclear national security vetting applications, will assess that the organisation</w:t>
      </w:r>
      <w:r>
        <w:rPr>
          <w:szCs w:val="24"/>
        </w:rPr>
        <w:t>’</w:t>
      </w:r>
      <w:r w:rsidRPr="00900F12">
        <w:rPr>
          <w:szCs w:val="24"/>
        </w:rPr>
        <w:t>s personnel security culture has relevant policies in place which are publicised and adhered to. Such policies will include, and are not limited to, harassment and bullying, equal opportunities, use of social media, reporting hotlines/whistleblowing and drug and alcohol misuse. In reviewing these arrangements, ONR inspectors will look to establish that policies support an effective security culture, internal departments within the Regulation 22 organisation engage with each other on relevant matters</w:t>
      </w:r>
      <w:r w:rsidR="00E82AAB">
        <w:rPr>
          <w:szCs w:val="24"/>
        </w:rPr>
        <w:t>,</w:t>
      </w:r>
      <w:r w:rsidRPr="00900F12">
        <w:rPr>
          <w:szCs w:val="24"/>
        </w:rPr>
        <w:t xml:space="preserve"> and that issues of a potential security concern are shared with an appropriate person in the </w:t>
      </w:r>
      <w:r>
        <w:rPr>
          <w:szCs w:val="24"/>
        </w:rPr>
        <w:t>C</w:t>
      </w:r>
      <w:r w:rsidRPr="00900F12">
        <w:rPr>
          <w:szCs w:val="24"/>
        </w:rPr>
        <w:t xml:space="preserve">ontracting </w:t>
      </w:r>
      <w:r>
        <w:rPr>
          <w:szCs w:val="24"/>
        </w:rPr>
        <w:t>A</w:t>
      </w:r>
      <w:r w:rsidRPr="00900F12">
        <w:rPr>
          <w:szCs w:val="24"/>
        </w:rPr>
        <w:t>uthority.</w:t>
      </w:r>
    </w:p>
    <w:sectPr w:rsidR="007911BE" w:rsidRPr="00B928D8" w:rsidSect="00D33329">
      <w:type w:val="continuous"/>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8AC1D" w14:textId="77777777" w:rsidR="00A80E31" w:rsidRDefault="00A80E31" w:rsidP="007D199A">
      <w:pPr>
        <w:spacing w:after="0"/>
      </w:pPr>
      <w:r>
        <w:separator/>
      </w:r>
    </w:p>
    <w:p w14:paraId="26CFA28A" w14:textId="77777777" w:rsidR="00A80E31" w:rsidRDefault="00A80E31"/>
  </w:endnote>
  <w:endnote w:type="continuationSeparator" w:id="0">
    <w:p w14:paraId="0CCBFB87" w14:textId="77777777" w:rsidR="00A80E31" w:rsidRDefault="00A80E31" w:rsidP="007D199A">
      <w:pPr>
        <w:spacing w:after="0"/>
      </w:pPr>
      <w:r>
        <w:continuationSeparator/>
      </w:r>
    </w:p>
    <w:p w14:paraId="087D2371" w14:textId="77777777" w:rsidR="00A80E31" w:rsidRDefault="00A80E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C56CD" w14:textId="77777777" w:rsidR="003A57FB" w:rsidRDefault="003A57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C771B54" w:rsidR="007C3C1D" w:rsidRPr="000F7739" w:rsidRDefault="000F7739" w:rsidP="000F7739">
    <w:pPr>
      <w:pStyle w:val="Footer"/>
      <w:jc w:val="left"/>
    </w:pPr>
    <w:r w:rsidRPr="000F7739">
      <w:rPr>
        <w:szCs w:val="24"/>
      </w:rPr>
      <w:t>CNS-INSP-GD-001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2C382" w14:textId="77777777" w:rsidR="003A57FB" w:rsidRDefault="003A57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08BD" w14:textId="71E303B1" w:rsidR="00CE6198" w:rsidRPr="00B23A5E" w:rsidRDefault="00B23A5E" w:rsidP="00B23A5E">
    <w:pPr>
      <w:pStyle w:val="Footer"/>
      <w:rPr>
        <w:rStyle w:val="PageNumber"/>
        <w:color w:val="22413A"/>
        <w:sz w:val="24"/>
      </w:rPr>
    </w:pPr>
    <w:r w:rsidRPr="00B23A5E">
      <w:rPr>
        <w:rStyle w:val="PageNumber"/>
        <w:color w:val="22413A"/>
        <w:sz w:val="24"/>
      </w:rPr>
      <w:t xml:space="preserve">Page | </w:t>
    </w:r>
    <w:r w:rsidRPr="00B23A5E">
      <w:rPr>
        <w:rStyle w:val="PageNumber"/>
        <w:color w:val="22413A"/>
        <w:sz w:val="24"/>
      </w:rPr>
      <w:fldChar w:fldCharType="begin"/>
    </w:r>
    <w:r w:rsidRPr="00B23A5E">
      <w:rPr>
        <w:rStyle w:val="PageNumber"/>
        <w:color w:val="22413A"/>
        <w:sz w:val="24"/>
      </w:rPr>
      <w:instrText xml:space="preserve"> PAGE   \* MERGEFORMAT </w:instrText>
    </w:r>
    <w:r w:rsidRPr="00B23A5E">
      <w:rPr>
        <w:rStyle w:val="PageNumber"/>
        <w:color w:val="22413A"/>
        <w:sz w:val="24"/>
      </w:rPr>
      <w:fldChar w:fldCharType="separate"/>
    </w:r>
    <w:r w:rsidRPr="00B23A5E">
      <w:rPr>
        <w:rStyle w:val="PageNumber"/>
        <w:noProof/>
        <w:color w:val="22413A"/>
        <w:sz w:val="24"/>
      </w:rPr>
      <w:t>1</w:t>
    </w:r>
    <w:r w:rsidRPr="00B23A5E">
      <w:rPr>
        <w:rStyle w:val="PageNumber"/>
        <w:noProof/>
        <w:color w:val="22413A"/>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AC4A2" w14:textId="77777777" w:rsidR="00A80E31" w:rsidRPr="005E0344" w:rsidRDefault="00A80E31" w:rsidP="005E0344">
      <w:pPr>
        <w:spacing w:after="120"/>
        <w:rPr>
          <w:color w:val="000000" w:themeColor="text2"/>
        </w:rPr>
      </w:pPr>
      <w:r w:rsidRPr="005E0344">
        <w:rPr>
          <w:color w:val="000000" w:themeColor="text2"/>
        </w:rPr>
        <w:separator/>
      </w:r>
    </w:p>
  </w:footnote>
  <w:footnote w:type="continuationSeparator" w:id="0">
    <w:p w14:paraId="254710BD" w14:textId="77777777" w:rsidR="00A80E31" w:rsidRPr="005E0344" w:rsidRDefault="00A80E31" w:rsidP="0090581D">
      <w:pPr>
        <w:spacing w:after="120"/>
        <w:rPr>
          <w:color w:val="000000" w:themeColor="text2"/>
        </w:rPr>
      </w:pPr>
      <w:r w:rsidRPr="005E0344">
        <w:rPr>
          <w:color w:val="000000" w:themeColor="text2"/>
        </w:rPr>
        <w:continuationSeparator/>
      </w:r>
    </w:p>
    <w:p w14:paraId="3259F59B" w14:textId="77777777" w:rsidR="00A80E31" w:rsidRDefault="00A80E31"/>
  </w:footnote>
  <w:footnote w:type="continuationNotice" w:id="1">
    <w:p w14:paraId="10183F70" w14:textId="77777777" w:rsidR="00A80E31" w:rsidRDefault="00A80E31">
      <w:pPr>
        <w:spacing w:after="0"/>
      </w:pPr>
    </w:p>
    <w:p w14:paraId="0D465773" w14:textId="77777777" w:rsidR="00A80E31" w:rsidRDefault="00A80E31"/>
  </w:footnote>
  <w:footnote w:id="2">
    <w:p w14:paraId="7F22DDFA" w14:textId="5C4288CB" w:rsidR="00392885" w:rsidRPr="00197661" w:rsidRDefault="00392885" w:rsidP="006F68D7">
      <w:pPr>
        <w:pStyle w:val="Bulletlist2"/>
        <w:numPr>
          <w:ilvl w:val="0"/>
          <w:numId w:val="0"/>
        </w:numPr>
        <w:ind w:left="720"/>
        <w:rPr>
          <w:i/>
          <w:iCs/>
          <w:lang w:bidi="ar-SA"/>
        </w:rPr>
      </w:pPr>
      <w:r>
        <w:rPr>
          <w:rStyle w:val="FootnoteReference"/>
        </w:rPr>
        <w:footnoteRef/>
      </w:r>
      <w:r>
        <w:t xml:space="preserve"> </w:t>
      </w:r>
      <w:r w:rsidRPr="00392885">
        <w:t>FSyPs 4, 5, 6, 9 and 10 are considered out of scope for Regulation 22 dutyholders.</w:t>
      </w:r>
      <w:r>
        <w:t xml:space="preserve"> </w:t>
      </w:r>
    </w:p>
    <w:p w14:paraId="22DC05BB" w14:textId="77AABAED" w:rsidR="00392885" w:rsidRDefault="00392885">
      <w:pPr>
        <w:pStyle w:val="FootnoteText"/>
      </w:pPr>
    </w:p>
  </w:footnote>
  <w:footnote w:id="3">
    <w:p w14:paraId="38CD1F34" w14:textId="13F62833" w:rsidR="00392885" w:rsidRDefault="00392885">
      <w:pPr>
        <w:pStyle w:val="FootnoteText"/>
      </w:pPr>
      <w:r>
        <w:rPr>
          <w:rStyle w:val="FootnoteReference"/>
        </w:rPr>
        <w:footnoteRef/>
      </w:r>
      <w:r>
        <w:t xml:space="preserve"> </w:t>
      </w:r>
      <w:r w:rsidRPr="00392885">
        <w:rPr>
          <w:sz w:val="22"/>
          <w:szCs w:val="22"/>
        </w:rPr>
        <w:t>FSyPs 4, 5, 6, 9 and 10 are considered out of scope for Regulation 22 dutyholders.</w:t>
      </w:r>
    </w:p>
  </w:footnote>
  <w:footnote w:id="4">
    <w:p w14:paraId="29A340E0" w14:textId="1EF3EC6E" w:rsidR="001120B3" w:rsidRDefault="001120B3" w:rsidP="00B91FDA">
      <w:pPr>
        <w:pStyle w:val="Footer"/>
        <w:jc w:val="left"/>
      </w:pPr>
      <w:r w:rsidRPr="00756790">
        <w:rPr>
          <w:rStyle w:val="FootnoteReference"/>
          <w:color w:val="auto"/>
        </w:rPr>
        <w:footnoteRef/>
      </w:r>
      <w:r w:rsidRPr="00756790">
        <w:rPr>
          <w:color w:val="auto"/>
        </w:rPr>
        <w:t xml:space="preserve"> </w:t>
      </w:r>
      <w:r w:rsidR="00C0616C">
        <w:rPr>
          <w:color w:val="auto"/>
        </w:rPr>
        <w:tab/>
      </w:r>
      <w:r w:rsidRPr="00C0616C">
        <w:rPr>
          <w:color w:val="auto"/>
          <w:sz w:val="22"/>
          <w:szCs w:val="20"/>
        </w:rPr>
        <w:t>The evidencing expectations are based on five FSyPs that are applicable to Regulation 22, and the relevant underpinning TAGs. To find out more, refer to the List N webpage (</w:t>
      </w:r>
      <w:r w:rsidR="00756790" w:rsidRPr="00C0616C">
        <w:rPr>
          <w:color w:val="auto"/>
          <w:sz w:val="22"/>
          <w:szCs w:val="20"/>
        </w:rPr>
        <w:t>www.</w:t>
      </w:r>
      <w:r w:rsidRPr="00C0616C">
        <w:rPr>
          <w:color w:val="auto"/>
          <w:sz w:val="22"/>
          <w:szCs w:val="20"/>
        </w:rPr>
        <w:t>onr.org.uk/listn</w:t>
      </w:r>
      <w:r w:rsidR="00B91FDA">
        <w:rPr>
          <w:color w:val="auto"/>
          <w:sz w:val="22"/>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30D71" w14:textId="77777777" w:rsidR="003A57FB" w:rsidRDefault="003A57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C64F0" w14:textId="77777777" w:rsidR="003A57FB" w:rsidRDefault="003A57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77777777" w:rsidR="00CE6198" w:rsidRDefault="00CE6198" w:rsidP="00091EEA">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28E3269B" w:rsidR="00177666" w:rsidRPr="009E0E52" w:rsidRDefault="00000000" w:rsidP="009E0E52">
    <w:pPr>
      <w:pStyle w:val="Header"/>
    </w:pPr>
    <w:sdt>
      <w:sdt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7F3B57">
          <w:t>Nuclear Security Inspections</w:t>
        </w:r>
      </w:sdtContent>
    </w:sdt>
    <w:r w:rsidR="004E3932">
      <w:t xml:space="preserve"> | Issue No.: </w:t>
    </w:r>
    <w:sdt>
      <w:sdt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0F7739">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3D50E2"/>
    <w:multiLevelType w:val="hybridMultilevel"/>
    <w:tmpl w:val="8DE066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0C997253"/>
    <w:multiLevelType w:val="multilevel"/>
    <w:tmpl w:val="DB1A2F6E"/>
    <w:lvl w:ilvl="0">
      <w:start w:val="1"/>
      <w:numFmt w:val="decimal"/>
      <w:pStyle w:val="NumberedPara"/>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06A39"/>
    <w:multiLevelType w:val="multilevel"/>
    <w:tmpl w:val="02E0C256"/>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b w:val="0"/>
        <w:bCs/>
        <w:sz w:val="24"/>
        <w:szCs w:val="28"/>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6D14A2"/>
    <w:multiLevelType w:val="multilevel"/>
    <w:tmpl w:val="A35EC14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182F48"/>
    <w:multiLevelType w:val="hybridMultilevel"/>
    <w:tmpl w:val="5F2C97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B51AC3"/>
    <w:multiLevelType w:val="hybridMultilevel"/>
    <w:tmpl w:val="AA8410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4E83E54"/>
    <w:multiLevelType w:val="hybridMultilevel"/>
    <w:tmpl w:val="A45A7888"/>
    <w:lvl w:ilvl="0" w:tplc="63540794">
      <w:start w:val="1"/>
      <w:numFmt w:val="decimal"/>
      <w:pStyle w:val="F9-Paragraph"/>
      <w:lvlText w:val="%1."/>
      <w:lvlJc w:val="left"/>
      <w:pPr>
        <w:ind w:left="720" w:hanging="360"/>
      </w:pPr>
      <w:rPr>
        <w:b w:val="0"/>
        <w:bCs/>
        <w:color w:val="auto"/>
        <w:sz w:val="24"/>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000E5B"/>
    <w:multiLevelType w:val="hybridMultilevel"/>
    <w:tmpl w:val="DFBE3C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2FB646E"/>
    <w:multiLevelType w:val="hybridMultilevel"/>
    <w:tmpl w:val="5B261F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4582AA8"/>
    <w:multiLevelType w:val="hybridMultilevel"/>
    <w:tmpl w:val="736C7E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5F46359"/>
    <w:multiLevelType w:val="hybridMultilevel"/>
    <w:tmpl w:val="0C768542"/>
    <w:lvl w:ilvl="0" w:tplc="9926F1FE">
      <w:start w:val="1"/>
      <w:numFmt w:val="bullet"/>
      <w:pStyle w:val="Bulletlist1"/>
      <w:lvlText w:val=""/>
      <w:lvlJc w:val="left"/>
      <w:pPr>
        <w:tabs>
          <w:tab w:val="num" w:pos="357"/>
        </w:tabs>
        <w:ind w:left="360" w:firstLine="417"/>
      </w:pPr>
      <w:rPr>
        <w:rFonts w:ascii="Symbol" w:hAnsi="Symbol" w:hint="default"/>
        <w:strike w:val="0"/>
        <w:dstrike w:val="0"/>
        <w:color w:val="07716C" w:themeColor="accent1"/>
        <w:sz w:val="24"/>
      </w:rPr>
    </w:lvl>
    <w:lvl w:ilvl="1" w:tplc="B7827D06">
      <w:start w:val="1"/>
      <w:numFmt w:val="bullet"/>
      <w:pStyle w:val="Bulletlist2"/>
      <w:lvlText w:val="o"/>
      <w:lvlJc w:val="left"/>
      <w:pPr>
        <w:ind w:left="1440" w:hanging="360"/>
      </w:pPr>
      <w:rPr>
        <w:rFonts w:ascii="Courier New" w:hAnsi="Courier New" w:cs="Courier New" w:hint="default"/>
        <w:strike w:val="0"/>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2"/>
  </w:num>
  <w:num w:numId="12" w16cid:durableId="1085146277">
    <w:abstractNumId w:val="29"/>
  </w:num>
  <w:num w:numId="13" w16cid:durableId="989944809">
    <w:abstractNumId w:val="18"/>
  </w:num>
  <w:num w:numId="14" w16cid:durableId="1148547717">
    <w:abstractNumId w:val="13"/>
  </w:num>
  <w:num w:numId="15" w16cid:durableId="1619264317">
    <w:abstractNumId w:val="29"/>
    <w:lvlOverride w:ilvl="0">
      <w:startOverride w:val="1"/>
    </w:lvlOverride>
  </w:num>
  <w:num w:numId="16" w16cid:durableId="1717772705">
    <w:abstractNumId w:val="18"/>
    <w:lvlOverride w:ilvl="0">
      <w:startOverride w:val="1"/>
    </w:lvlOverride>
  </w:num>
  <w:num w:numId="17" w16cid:durableId="1421370352">
    <w:abstractNumId w:val="13"/>
    <w:lvlOverride w:ilvl="0">
      <w:startOverride w:val="1"/>
    </w:lvlOverride>
  </w:num>
  <w:num w:numId="18" w16cid:durableId="802893121">
    <w:abstractNumId w:val="26"/>
  </w:num>
  <w:num w:numId="19" w16cid:durableId="1666081420">
    <w:abstractNumId w:val="22"/>
  </w:num>
  <w:num w:numId="20" w16cid:durableId="874538197">
    <w:abstractNumId w:val="16"/>
  </w:num>
  <w:num w:numId="21" w16cid:durableId="2057311976">
    <w:abstractNumId w:val="24"/>
  </w:num>
  <w:num w:numId="22" w16cid:durableId="689793726">
    <w:abstractNumId w:val="15"/>
  </w:num>
  <w:num w:numId="23" w16cid:durableId="48653822">
    <w:abstractNumId w:val="30"/>
  </w:num>
  <w:num w:numId="24" w16cid:durableId="1603800266">
    <w:abstractNumId w:val="21"/>
  </w:num>
  <w:num w:numId="25" w16cid:durableId="1864591591">
    <w:abstractNumId w:val="20"/>
  </w:num>
  <w:num w:numId="26" w16cid:durableId="832574242">
    <w:abstractNumId w:val="25"/>
  </w:num>
  <w:num w:numId="27" w16cid:durableId="1391732823">
    <w:abstractNumId w:val="20"/>
    <w:lvlOverride w:ilvl="0">
      <w:startOverride w:val="1"/>
    </w:lvlOverride>
  </w:num>
  <w:num w:numId="28" w16cid:durableId="1633511012">
    <w:abstractNumId w:val="20"/>
    <w:lvlOverride w:ilvl="0">
      <w:startOverride w:val="1"/>
    </w:lvlOverride>
  </w:num>
  <w:num w:numId="29" w16cid:durableId="1204099869">
    <w:abstractNumId w:val="14"/>
  </w:num>
  <w:num w:numId="30" w16cid:durableId="785926075">
    <w:abstractNumId w:val="28"/>
  </w:num>
  <w:num w:numId="31" w16cid:durableId="343822637">
    <w:abstractNumId w:val="10"/>
  </w:num>
  <w:num w:numId="32" w16cid:durableId="782310306">
    <w:abstractNumId w:val="16"/>
  </w:num>
  <w:num w:numId="33" w16cid:durableId="919482399">
    <w:abstractNumId w:val="16"/>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6853389">
    <w:abstractNumId w:val="16"/>
  </w:num>
  <w:num w:numId="35" w16cid:durableId="749497116">
    <w:abstractNumId w:val="11"/>
  </w:num>
  <w:num w:numId="36" w16cid:durableId="1693844597">
    <w:abstractNumId w:val="20"/>
    <w:lvlOverride w:ilvl="0">
      <w:startOverride w:val="1"/>
    </w:lvlOverride>
  </w:num>
  <w:num w:numId="37" w16cid:durableId="203641165">
    <w:abstractNumId w:val="20"/>
    <w:lvlOverride w:ilvl="0">
      <w:startOverride w:val="1"/>
    </w:lvlOverride>
  </w:num>
  <w:num w:numId="38" w16cid:durableId="571354465">
    <w:abstractNumId w:val="29"/>
  </w:num>
  <w:num w:numId="39" w16cid:durableId="710806125">
    <w:abstractNumId w:val="29"/>
  </w:num>
  <w:num w:numId="40" w16cid:durableId="194392122">
    <w:abstractNumId w:val="29"/>
  </w:num>
  <w:num w:numId="41" w16cid:durableId="2078430939">
    <w:abstractNumId w:val="29"/>
  </w:num>
  <w:num w:numId="42" w16cid:durableId="1360741857">
    <w:abstractNumId w:val="29"/>
  </w:num>
  <w:num w:numId="43" w16cid:durableId="1411854068">
    <w:abstractNumId w:val="29"/>
  </w:num>
  <w:num w:numId="44" w16cid:durableId="1349984328">
    <w:abstractNumId w:val="29"/>
  </w:num>
  <w:num w:numId="45" w16cid:durableId="964116025">
    <w:abstractNumId w:val="29"/>
    <w:lvlOverride w:ilvl="0">
      <w:startOverride w:val="1"/>
    </w:lvlOverride>
  </w:num>
  <w:num w:numId="46" w16cid:durableId="1110857264">
    <w:abstractNumId w:val="17"/>
  </w:num>
  <w:num w:numId="47" w16cid:durableId="953514051">
    <w:abstractNumId w:val="23"/>
  </w:num>
  <w:num w:numId="48" w16cid:durableId="2070611294">
    <w:abstractNumId w:val="27"/>
  </w:num>
  <w:num w:numId="49" w16cid:durableId="287394518">
    <w:abstractNumId w:val="19"/>
  </w:num>
  <w:num w:numId="50" w16cid:durableId="763498544">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FC9"/>
    <w:rsid w:val="00002F03"/>
    <w:rsid w:val="00004037"/>
    <w:rsid w:val="00004C16"/>
    <w:rsid w:val="000069BD"/>
    <w:rsid w:val="00011177"/>
    <w:rsid w:val="00012012"/>
    <w:rsid w:val="00014813"/>
    <w:rsid w:val="00014814"/>
    <w:rsid w:val="00014BC9"/>
    <w:rsid w:val="000155B6"/>
    <w:rsid w:val="00017614"/>
    <w:rsid w:val="00021596"/>
    <w:rsid w:val="00021702"/>
    <w:rsid w:val="00022033"/>
    <w:rsid w:val="00023509"/>
    <w:rsid w:val="00024522"/>
    <w:rsid w:val="00024B2E"/>
    <w:rsid w:val="00027F4F"/>
    <w:rsid w:val="00030430"/>
    <w:rsid w:val="0003078E"/>
    <w:rsid w:val="000311A4"/>
    <w:rsid w:val="00031B89"/>
    <w:rsid w:val="0003693D"/>
    <w:rsid w:val="00037678"/>
    <w:rsid w:val="00037B9C"/>
    <w:rsid w:val="0004440F"/>
    <w:rsid w:val="00052C8A"/>
    <w:rsid w:val="000548C8"/>
    <w:rsid w:val="00064A1B"/>
    <w:rsid w:val="00067CB6"/>
    <w:rsid w:val="000753E4"/>
    <w:rsid w:val="00075605"/>
    <w:rsid w:val="00075C66"/>
    <w:rsid w:val="00077B5C"/>
    <w:rsid w:val="0008043A"/>
    <w:rsid w:val="000817D4"/>
    <w:rsid w:val="00082206"/>
    <w:rsid w:val="00082879"/>
    <w:rsid w:val="00086931"/>
    <w:rsid w:val="00091EEA"/>
    <w:rsid w:val="0009225F"/>
    <w:rsid w:val="00092B1A"/>
    <w:rsid w:val="0009408B"/>
    <w:rsid w:val="000A105C"/>
    <w:rsid w:val="000A1CBE"/>
    <w:rsid w:val="000B3AB0"/>
    <w:rsid w:val="000B4907"/>
    <w:rsid w:val="000C08A6"/>
    <w:rsid w:val="000C2DDC"/>
    <w:rsid w:val="000C5F5A"/>
    <w:rsid w:val="000C6599"/>
    <w:rsid w:val="000D2FD4"/>
    <w:rsid w:val="000D3232"/>
    <w:rsid w:val="000D57EF"/>
    <w:rsid w:val="000D5FD5"/>
    <w:rsid w:val="000E0753"/>
    <w:rsid w:val="000E443C"/>
    <w:rsid w:val="000E5C3B"/>
    <w:rsid w:val="000E651F"/>
    <w:rsid w:val="000E7BF0"/>
    <w:rsid w:val="000F1B7B"/>
    <w:rsid w:val="000F25C8"/>
    <w:rsid w:val="000F2668"/>
    <w:rsid w:val="000F28D3"/>
    <w:rsid w:val="000F2ED4"/>
    <w:rsid w:val="000F3653"/>
    <w:rsid w:val="000F5A0A"/>
    <w:rsid w:val="000F66D2"/>
    <w:rsid w:val="000F7739"/>
    <w:rsid w:val="00100286"/>
    <w:rsid w:val="001028E8"/>
    <w:rsid w:val="00102E82"/>
    <w:rsid w:val="00103498"/>
    <w:rsid w:val="00104D99"/>
    <w:rsid w:val="00110719"/>
    <w:rsid w:val="001120B3"/>
    <w:rsid w:val="0011299F"/>
    <w:rsid w:val="00113140"/>
    <w:rsid w:val="0011438A"/>
    <w:rsid w:val="001151F1"/>
    <w:rsid w:val="00120418"/>
    <w:rsid w:val="00121F94"/>
    <w:rsid w:val="00122FCC"/>
    <w:rsid w:val="00124C2B"/>
    <w:rsid w:val="001254B8"/>
    <w:rsid w:val="001255C3"/>
    <w:rsid w:val="00126752"/>
    <w:rsid w:val="00130B30"/>
    <w:rsid w:val="001373EF"/>
    <w:rsid w:val="00140E1C"/>
    <w:rsid w:val="00141197"/>
    <w:rsid w:val="0014215D"/>
    <w:rsid w:val="001423D3"/>
    <w:rsid w:val="0014525B"/>
    <w:rsid w:val="00147AE4"/>
    <w:rsid w:val="00153565"/>
    <w:rsid w:val="00153F3A"/>
    <w:rsid w:val="001571E5"/>
    <w:rsid w:val="00157837"/>
    <w:rsid w:val="001657EB"/>
    <w:rsid w:val="001720B8"/>
    <w:rsid w:val="00177550"/>
    <w:rsid w:val="00177666"/>
    <w:rsid w:val="00180622"/>
    <w:rsid w:val="001849CA"/>
    <w:rsid w:val="00185410"/>
    <w:rsid w:val="00190832"/>
    <w:rsid w:val="00192352"/>
    <w:rsid w:val="00196E11"/>
    <w:rsid w:val="001A2226"/>
    <w:rsid w:val="001A275E"/>
    <w:rsid w:val="001A2A77"/>
    <w:rsid w:val="001B1147"/>
    <w:rsid w:val="001B4D5A"/>
    <w:rsid w:val="001B76BA"/>
    <w:rsid w:val="001C05C3"/>
    <w:rsid w:val="001C0978"/>
    <w:rsid w:val="001C0BE2"/>
    <w:rsid w:val="001C1666"/>
    <w:rsid w:val="001C21DC"/>
    <w:rsid w:val="001C4D63"/>
    <w:rsid w:val="001C6D23"/>
    <w:rsid w:val="001D0DE0"/>
    <w:rsid w:val="001D1BB5"/>
    <w:rsid w:val="001D5AFF"/>
    <w:rsid w:val="001D5FF2"/>
    <w:rsid w:val="001D74B4"/>
    <w:rsid w:val="001E03E1"/>
    <w:rsid w:val="001E2DF6"/>
    <w:rsid w:val="001E2F64"/>
    <w:rsid w:val="001E374C"/>
    <w:rsid w:val="001E5E1A"/>
    <w:rsid w:val="001E6276"/>
    <w:rsid w:val="001E763D"/>
    <w:rsid w:val="001E7AD1"/>
    <w:rsid w:val="001F059F"/>
    <w:rsid w:val="001F5370"/>
    <w:rsid w:val="001F5673"/>
    <w:rsid w:val="001F7A61"/>
    <w:rsid w:val="00200811"/>
    <w:rsid w:val="00200CA1"/>
    <w:rsid w:val="00210CE2"/>
    <w:rsid w:val="00212958"/>
    <w:rsid w:val="0021338D"/>
    <w:rsid w:val="00214D43"/>
    <w:rsid w:val="002175CC"/>
    <w:rsid w:val="00223090"/>
    <w:rsid w:val="002238B4"/>
    <w:rsid w:val="00226F01"/>
    <w:rsid w:val="002314D2"/>
    <w:rsid w:val="002319AB"/>
    <w:rsid w:val="002319AC"/>
    <w:rsid w:val="002331D1"/>
    <w:rsid w:val="00234342"/>
    <w:rsid w:val="002370A3"/>
    <w:rsid w:val="002401AC"/>
    <w:rsid w:val="0024040D"/>
    <w:rsid w:val="002446CF"/>
    <w:rsid w:val="0024501A"/>
    <w:rsid w:val="00246682"/>
    <w:rsid w:val="00251362"/>
    <w:rsid w:val="0025146B"/>
    <w:rsid w:val="00251692"/>
    <w:rsid w:val="00251CD7"/>
    <w:rsid w:val="0025207B"/>
    <w:rsid w:val="00255CBC"/>
    <w:rsid w:val="00255FA3"/>
    <w:rsid w:val="00257288"/>
    <w:rsid w:val="002574CB"/>
    <w:rsid w:val="00261FB6"/>
    <w:rsid w:val="002629F8"/>
    <w:rsid w:val="00262A72"/>
    <w:rsid w:val="00263396"/>
    <w:rsid w:val="002659FA"/>
    <w:rsid w:val="00265D14"/>
    <w:rsid w:val="00267815"/>
    <w:rsid w:val="00271012"/>
    <w:rsid w:val="0027180D"/>
    <w:rsid w:val="00280DDF"/>
    <w:rsid w:val="00281D8E"/>
    <w:rsid w:val="00285DED"/>
    <w:rsid w:val="002863B7"/>
    <w:rsid w:val="002873B5"/>
    <w:rsid w:val="002917FF"/>
    <w:rsid w:val="00292ADF"/>
    <w:rsid w:val="00295BC2"/>
    <w:rsid w:val="00296DBB"/>
    <w:rsid w:val="002A0603"/>
    <w:rsid w:val="002A0DEC"/>
    <w:rsid w:val="002A0F01"/>
    <w:rsid w:val="002A10A4"/>
    <w:rsid w:val="002B1C53"/>
    <w:rsid w:val="002B4C28"/>
    <w:rsid w:val="002B5A4F"/>
    <w:rsid w:val="002B7172"/>
    <w:rsid w:val="002C0094"/>
    <w:rsid w:val="002C5700"/>
    <w:rsid w:val="002D3599"/>
    <w:rsid w:val="002D428D"/>
    <w:rsid w:val="002E0BE4"/>
    <w:rsid w:val="002E3B58"/>
    <w:rsid w:val="002E3E8A"/>
    <w:rsid w:val="002E5573"/>
    <w:rsid w:val="002E6A6A"/>
    <w:rsid w:val="002F197A"/>
    <w:rsid w:val="002F3397"/>
    <w:rsid w:val="00300CCB"/>
    <w:rsid w:val="0030380D"/>
    <w:rsid w:val="00312411"/>
    <w:rsid w:val="00321D9B"/>
    <w:rsid w:val="00323E71"/>
    <w:rsid w:val="003247D7"/>
    <w:rsid w:val="00325A0C"/>
    <w:rsid w:val="00326F77"/>
    <w:rsid w:val="00332E96"/>
    <w:rsid w:val="00334107"/>
    <w:rsid w:val="003401B0"/>
    <w:rsid w:val="00341318"/>
    <w:rsid w:val="00342739"/>
    <w:rsid w:val="00342C0F"/>
    <w:rsid w:val="00346401"/>
    <w:rsid w:val="00346C8E"/>
    <w:rsid w:val="003527F4"/>
    <w:rsid w:val="003532B5"/>
    <w:rsid w:val="0036174F"/>
    <w:rsid w:val="003622A8"/>
    <w:rsid w:val="00366746"/>
    <w:rsid w:val="00366BBB"/>
    <w:rsid w:val="00367BD5"/>
    <w:rsid w:val="00374367"/>
    <w:rsid w:val="00380615"/>
    <w:rsid w:val="0038452D"/>
    <w:rsid w:val="00390327"/>
    <w:rsid w:val="00392885"/>
    <w:rsid w:val="00393B78"/>
    <w:rsid w:val="00393D39"/>
    <w:rsid w:val="00394880"/>
    <w:rsid w:val="003948EC"/>
    <w:rsid w:val="003A01E9"/>
    <w:rsid w:val="003A0D05"/>
    <w:rsid w:val="003A57FB"/>
    <w:rsid w:val="003C0306"/>
    <w:rsid w:val="003C114C"/>
    <w:rsid w:val="003C465D"/>
    <w:rsid w:val="003C48CE"/>
    <w:rsid w:val="003C5E77"/>
    <w:rsid w:val="003D0718"/>
    <w:rsid w:val="003D495D"/>
    <w:rsid w:val="003E098E"/>
    <w:rsid w:val="003E2FAE"/>
    <w:rsid w:val="003F2035"/>
    <w:rsid w:val="003F4D56"/>
    <w:rsid w:val="00403169"/>
    <w:rsid w:val="0040601D"/>
    <w:rsid w:val="00407CF7"/>
    <w:rsid w:val="0041042E"/>
    <w:rsid w:val="004159D5"/>
    <w:rsid w:val="00415ED6"/>
    <w:rsid w:val="00417CAF"/>
    <w:rsid w:val="0042080F"/>
    <w:rsid w:val="00420A11"/>
    <w:rsid w:val="00422265"/>
    <w:rsid w:val="00425179"/>
    <w:rsid w:val="00426DCC"/>
    <w:rsid w:val="00430533"/>
    <w:rsid w:val="00436D21"/>
    <w:rsid w:val="004373A7"/>
    <w:rsid w:val="00437765"/>
    <w:rsid w:val="00437D94"/>
    <w:rsid w:val="0044030C"/>
    <w:rsid w:val="004414B4"/>
    <w:rsid w:val="004445D6"/>
    <w:rsid w:val="004524A1"/>
    <w:rsid w:val="004648A4"/>
    <w:rsid w:val="00464D4A"/>
    <w:rsid w:val="00465812"/>
    <w:rsid w:val="00471380"/>
    <w:rsid w:val="00482B10"/>
    <w:rsid w:val="004868F5"/>
    <w:rsid w:val="0049015E"/>
    <w:rsid w:val="00490DFA"/>
    <w:rsid w:val="00494F0D"/>
    <w:rsid w:val="00496BFD"/>
    <w:rsid w:val="00496F26"/>
    <w:rsid w:val="00497F56"/>
    <w:rsid w:val="004A3DF2"/>
    <w:rsid w:val="004A4E30"/>
    <w:rsid w:val="004B0A1F"/>
    <w:rsid w:val="004B102C"/>
    <w:rsid w:val="004B2E8A"/>
    <w:rsid w:val="004B49BC"/>
    <w:rsid w:val="004C361D"/>
    <w:rsid w:val="004C4891"/>
    <w:rsid w:val="004C6CD6"/>
    <w:rsid w:val="004D03BF"/>
    <w:rsid w:val="004D141B"/>
    <w:rsid w:val="004D232E"/>
    <w:rsid w:val="004D2C89"/>
    <w:rsid w:val="004E028B"/>
    <w:rsid w:val="004E3932"/>
    <w:rsid w:val="004E3DE9"/>
    <w:rsid w:val="004E59B2"/>
    <w:rsid w:val="004E66AD"/>
    <w:rsid w:val="004F125E"/>
    <w:rsid w:val="004F1E79"/>
    <w:rsid w:val="004F2B1B"/>
    <w:rsid w:val="004F5F33"/>
    <w:rsid w:val="004F724A"/>
    <w:rsid w:val="0050103A"/>
    <w:rsid w:val="0050270D"/>
    <w:rsid w:val="005039F4"/>
    <w:rsid w:val="00511B0F"/>
    <w:rsid w:val="00513AFD"/>
    <w:rsid w:val="00522EE6"/>
    <w:rsid w:val="00523CAC"/>
    <w:rsid w:val="00525599"/>
    <w:rsid w:val="005310E9"/>
    <w:rsid w:val="00535F7A"/>
    <w:rsid w:val="0053733D"/>
    <w:rsid w:val="00541DE5"/>
    <w:rsid w:val="00550988"/>
    <w:rsid w:val="0055388E"/>
    <w:rsid w:val="00561ED2"/>
    <w:rsid w:val="0056466D"/>
    <w:rsid w:val="00565880"/>
    <w:rsid w:val="00565A19"/>
    <w:rsid w:val="00565DC9"/>
    <w:rsid w:val="0056736E"/>
    <w:rsid w:val="005754AE"/>
    <w:rsid w:val="00577FB5"/>
    <w:rsid w:val="005814C8"/>
    <w:rsid w:val="005847B8"/>
    <w:rsid w:val="005852D1"/>
    <w:rsid w:val="00587A22"/>
    <w:rsid w:val="0059042C"/>
    <w:rsid w:val="0059299D"/>
    <w:rsid w:val="00593CCA"/>
    <w:rsid w:val="00594D48"/>
    <w:rsid w:val="00595C8C"/>
    <w:rsid w:val="00596622"/>
    <w:rsid w:val="005968C9"/>
    <w:rsid w:val="00596CED"/>
    <w:rsid w:val="00597644"/>
    <w:rsid w:val="00597747"/>
    <w:rsid w:val="005A081F"/>
    <w:rsid w:val="005A4CDD"/>
    <w:rsid w:val="005B0583"/>
    <w:rsid w:val="005B280F"/>
    <w:rsid w:val="005B57E4"/>
    <w:rsid w:val="005B5ABD"/>
    <w:rsid w:val="005B5AD0"/>
    <w:rsid w:val="005C0408"/>
    <w:rsid w:val="005C140A"/>
    <w:rsid w:val="005C1E52"/>
    <w:rsid w:val="005C2940"/>
    <w:rsid w:val="005C3367"/>
    <w:rsid w:val="005C6142"/>
    <w:rsid w:val="005C6763"/>
    <w:rsid w:val="005D0373"/>
    <w:rsid w:val="005D3164"/>
    <w:rsid w:val="005D34B8"/>
    <w:rsid w:val="005E0344"/>
    <w:rsid w:val="005E152C"/>
    <w:rsid w:val="005E440B"/>
    <w:rsid w:val="005F1B3D"/>
    <w:rsid w:val="005F2C85"/>
    <w:rsid w:val="00605ADB"/>
    <w:rsid w:val="00611C9F"/>
    <w:rsid w:val="006138BD"/>
    <w:rsid w:val="00616093"/>
    <w:rsid w:val="00616D98"/>
    <w:rsid w:val="006175B4"/>
    <w:rsid w:val="006206B7"/>
    <w:rsid w:val="006211B3"/>
    <w:rsid w:val="00622753"/>
    <w:rsid w:val="006248DE"/>
    <w:rsid w:val="0062605E"/>
    <w:rsid w:val="00627555"/>
    <w:rsid w:val="006322A0"/>
    <w:rsid w:val="00633FEA"/>
    <w:rsid w:val="006361FD"/>
    <w:rsid w:val="0064226F"/>
    <w:rsid w:val="00642DDB"/>
    <w:rsid w:val="00653298"/>
    <w:rsid w:val="00660B70"/>
    <w:rsid w:val="00662B6F"/>
    <w:rsid w:val="006631A7"/>
    <w:rsid w:val="00663A7C"/>
    <w:rsid w:val="00664206"/>
    <w:rsid w:val="00667DF2"/>
    <w:rsid w:val="00670363"/>
    <w:rsid w:val="00670DF1"/>
    <w:rsid w:val="00671345"/>
    <w:rsid w:val="00672A9B"/>
    <w:rsid w:val="00672FFD"/>
    <w:rsid w:val="00675884"/>
    <w:rsid w:val="00676A90"/>
    <w:rsid w:val="00677A03"/>
    <w:rsid w:val="0068061D"/>
    <w:rsid w:val="00683525"/>
    <w:rsid w:val="0068592E"/>
    <w:rsid w:val="0068619E"/>
    <w:rsid w:val="00691404"/>
    <w:rsid w:val="0069154B"/>
    <w:rsid w:val="00696EE0"/>
    <w:rsid w:val="00697980"/>
    <w:rsid w:val="006A05F2"/>
    <w:rsid w:val="006A19EF"/>
    <w:rsid w:val="006A1FBE"/>
    <w:rsid w:val="006A3E1B"/>
    <w:rsid w:val="006A43D5"/>
    <w:rsid w:val="006A525B"/>
    <w:rsid w:val="006B2121"/>
    <w:rsid w:val="006B27E8"/>
    <w:rsid w:val="006B3F1A"/>
    <w:rsid w:val="006B65D4"/>
    <w:rsid w:val="006C045F"/>
    <w:rsid w:val="006C4196"/>
    <w:rsid w:val="006C63B0"/>
    <w:rsid w:val="006C76A2"/>
    <w:rsid w:val="006C792E"/>
    <w:rsid w:val="006D0421"/>
    <w:rsid w:val="006D116C"/>
    <w:rsid w:val="006D1914"/>
    <w:rsid w:val="006D314A"/>
    <w:rsid w:val="006D5D61"/>
    <w:rsid w:val="006D613D"/>
    <w:rsid w:val="006E2C5A"/>
    <w:rsid w:val="006E2CEC"/>
    <w:rsid w:val="006E3AC3"/>
    <w:rsid w:val="006E6AD1"/>
    <w:rsid w:val="006E759A"/>
    <w:rsid w:val="006E78EA"/>
    <w:rsid w:val="006E7C42"/>
    <w:rsid w:val="006F168A"/>
    <w:rsid w:val="006F4780"/>
    <w:rsid w:val="006F5076"/>
    <w:rsid w:val="006F6009"/>
    <w:rsid w:val="006F68D7"/>
    <w:rsid w:val="006F7E5F"/>
    <w:rsid w:val="0070321D"/>
    <w:rsid w:val="00703344"/>
    <w:rsid w:val="00705413"/>
    <w:rsid w:val="00705474"/>
    <w:rsid w:val="007068BA"/>
    <w:rsid w:val="0070744C"/>
    <w:rsid w:val="00707E92"/>
    <w:rsid w:val="007144A5"/>
    <w:rsid w:val="00716AB1"/>
    <w:rsid w:val="00720EA7"/>
    <w:rsid w:val="00720F9F"/>
    <w:rsid w:val="00721D63"/>
    <w:rsid w:val="00724B2B"/>
    <w:rsid w:val="007278C0"/>
    <w:rsid w:val="007316AF"/>
    <w:rsid w:val="00732C7B"/>
    <w:rsid w:val="00734ADF"/>
    <w:rsid w:val="00734D2B"/>
    <w:rsid w:val="00736027"/>
    <w:rsid w:val="00737705"/>
    <w:rsid w:val="007408D4"/>
    <w:rsid w:val="00740E88"/>
    <w:rsid w:val="007420AC"/>
    <w:rsid w:val="00742617"/>
    <w:rsid w:val="00754E31"/>
    <w:rsid w:val="00756790"/>
    <w:rsid w:val="00761D66"/>
    <w:rsid w:val="0076446E"/>
    <w:rsid w:val="00764FF3"/>
    <w:rsid w:val="00767811"/>
    <w:rsid w:val="00770AE5"/>
    <w:rsid w:val="00771964"/>
    <w:rsid w:val="00774EE4"/>
    <w:rsid w:val="007766ED"/>
    <w:rsid w:val="007802D0"/>
    <w:rsid w:val="00780D19"/>
    <w:rsid w:val="00781C9E"/>
    <w:rsid w:val="0078226B"/>
    <w:rsid w:val="00783AFA"/>
    <w:rsid w:val="00783D4D"/>
    <w:rsid w:val="00785427"/>
    <w:rsid w:val="00790540"/>
    <w:rsid w:val="007911BE"/>
    <w:rsid w:val="0079273F"/>
    <w:rsid w:val="007968CA"/>
    <w:rsid w:val="007A43FF"/>
    <w:rsid w:val="007A6032"/>
    <w:rsid w:val="007B2126"/>
    <w:rsid w:val="007B3918"/>
    <w:rsid w:val="007C02D9"/>
    <w:rsid w:val="007C2742"/>
    <w:rsid w:val="007C2DE1"/>
    <w:rsid w:val="007C3C1D"/>
    <w:rsid w:val="007D199A"/>
    <w:rsid w:val="007D2EBE"/>
    <w:rsid w:val="007D5B2A"/>
    <w:rsid w:val="007E1458"/>
    <w:rsid w:val="007E1C07"/>
    <w:rsid w:val="007E3F6B"/>
    <w:rsid w:val="007E6F79"/>
    <w:rsid w:val="007F24B6"/>
    <w:rsid w:val="007F3B57"/>
    <w:rsid w:val="007F6087"/>
    <w:rsid w:val="007F666D"/>
    <w:rsid w:val="0080131F"/>
    <w:rsid w:val="00803A48"/>
    <w:rsid w:val="00803D94"/>
    <w:rsid w:val="00810690"/>
    <w:rsid w:val="00810F7B"/>
    <w:rsid w:val="0081376A"/>
    <w:rsid w:val="0082096E"/>
    <w:rsid w:val="008209B4"/>
    <w:rsid w:val="00821337"/>
    <w:rsid w:val="00821496"/>
    <w:rsid w:val="00821E3B"/>
    <w:rsid w:val="00822002"/>
    <w:rsid w:val="008229BA"/>
    <w:rsid w:val="008237A9"/>
    <w:rsid w:val="00824151"/>
    <w:rsid w:val="00826478"/>
    <w:rsid w:val="00827913"/>
    <w:rsid w:val="008339CB"/>
    <w:rsid w:val="00836552"/>
    <w:rsid w:val="008370B4"/>
    <w:rsid w:val="00841EDA"/>
    <w:rsid w:val="00845390"/>
    <w:rsid w:val="00845AA2"/>
    <w:rsid w:val="0084601B"/>
    <w:rsid w:val="008541D5"/>
    <w:rsid w:val="008606F0"/>
    <w:rsid w:val="00864CD3"/>
    <w:rsid w:val="00865489"/>
    <w:rsid w:val="0086553D"/>
    <w:rsid w:val="00872DC4"/>
    <w:rsid w:val="00873CF7"/>
    <w:rsid w:val="00874FEB"/>
    <w:rsid w:val="008778F4"/>
    <w:rsid w:val="00881B6F"/>
    <w:rsid w:val="00882AA4"/>
    <w:rsid w:val="00883E22"/>
    <w:rsid w:val="00884E43"/>
    <w:rsid w:val="00887EC6"/>
    <w:rsid w:val="0089084C"/>
    <w:rsid w:val="008919CF"/>
    <w:rsid w:val="0089236B"/>
    <w:rsid w:val="00893409"/>
    <w:rsid w:val="00893D77"/>
    <w:rsid w:val="00893D9F"/>
    <w:rsid w:val="00897441"/>
    <w:rsid w:val="008A2379"/>
    <w:rsid w:val="008A29C4"/>
    <w:rsid w:val="008A4329"/>
    <w:rsid w:val="008A4663"/>
    <w:rsid w:val="008A578E"/>
    <w:rsid w:val="008A609A"/>
    <w:rsid w:val="008A7C53"/>
    <w:rsid w:val="008B1519"/>
    <w:rsid w:val="008B311F"/>
    <w:rsid w:val="008B7BCC"/>
    <w:rsid w:val="008B7C03"/>
    <w:rsid w:val="008C5079"/>
    <w:rsid w:val="008C50C3"/>
    <w:rsid w:val="008C7094"/>
    <w:rsid w:val="008D2296"/>
    <w:rsid w:val="008D2B97"/>
    <w:rsid w:val="008D49A5"/>
    <w:rsid w:val="008D6C81"/>
    <w:rsid w:val="008E6CF0"/>
    <w:rsid w:val="008E7DF9"/>
    <w:rsid w:val="008F1439"/>
    <w:rsid w:val="008F41A3"/>
    <w:rsid w:val="008F5BFC"/>
    <w:rsid w:val="008F688A"/>
    <w:rsid w:val="008F7051"/>
    <w:rsid w:val="00900E03"/>
    <w:rsid w:val="009020CB"/>
    <w:rsid w:val="009033A9"/>
    <w:rsid w:val="0090581D"/>
    <w:rsid w:val="00906DEA"/>
    <w:rsid w:val="0091439C"/>
    <w:rsid w:val="009156CC"/>
    <w:rsid w:val="00920572"/>
    <w:rsid w:val="00920BF2"/>
    <w:rsid w:val="009349A9"/>
    <w:rsid w:val="0093548E"/>
    <w:rsid w:val="00935BD1"/>
    <w:rsid w:val="00936C52"/>
    <w:rsid w:val="00937F7C"/>
    <w:rsid w:val="0094178D"/>
    <w:rsid w:val="00941CCF"/>
    <w:rsid w:val="00943BEA"/>
    <w:rsid w:val="00951182"/>
    <w:rsid w:val="0095489B"/>
    <w:rsid w:val="00956773"/>
    <w:rsid w:val="0096366C"/>
    <w:rsid w:val="00966FB9"/>
    <w:rsid w:val="009671CD"/>
    <w:rsid w:val="00967C6A"/>
    <w:rsid w:val="00967F18"/>
    <w:rsid w:val="00971702"/>
    <w:rsid w:val="00971A6A"/>
    <w:rsid w:val="00971A9A"/>
    <w:rsid w:val="009751A9"/>
    <w:rsid w:val="00975732"/>
    <w:rsid w:val="00980F9C"/>
    <w:rsid w:val="0098632B"/>
    <w:rsid w:val="0098758B"/>
    <w:rsid w:val="00990585"/>
    <w:rsid w:val="009905D2"/>
    <w:rsid w:val="0099509F"/>
    <w:rsid w:val="009977A0"/>
    <w:rsid w:val="00997BFB"/>
    <w:rsid w:val="009A111C"/>
    <w:rsid w:val="009A4112"/>
    <w:rsid w:val="009A7348"/>
    <w:rsid w:val="009B050C"/>
    <w:rsid w:val="009B2722"/>
    <w:rsid w:val="009B31BE"/>
    <w:rsid w:val="009B462C"/>
    <w:rsid w:val="009C15F3"/>
    <w:rsid w:val="009C238A"/>
    <w:rsid w:val="009C3689"/>
    <w:rsid w:val="009C5EA6"/>
    <w:rsid w:val="009C75F1"/>
    <w:rsid w:val="009D236E"/>
    <w:rsid w:val="009D26B7"/>
    <w:rsid w:val="009D360C"/>
    <w:rsid w:val="009D60F0"/>
    <w:rsid w:val="009E07C2"/>
    <w:rsid w:val="009E0E52"/>
    <w:rsid w:val="009E28D1"/>
    <w:rsid w:val="009E3B13"/>
    <w:rsid w:val="009E799C"/>
    <w:rsid w:val="009F1049"/>
    <w:rsid w:val="009F153F"/>
    <w:rsid w:val="009F1C84"/>
    <w:rsid w:val="009F5CB7"/>
    <w:rsid w:val="009F72F9"/>
    <w:rsid w:val="00A00205"/>
    <w:rsid w:val="00A002EA"/>
    <w:rsid w:val="00A0064E"/>
    <w:rsid w:val="00A00AF0"/>
    <w:rsid w:val="00A00F4F"/>
    <w:rsid w:val="00A019AD"/>
    <w:rsid w:val="00A024AC"/>
    <w:rsid w:val="00A07E47"/>
    <w:rsid w:val="00A11137"/>
    <w:rsid w:val="00A12AF0"/>
    <w:rsid w:val="00A14B5A"/>
    <w:rsid w:val="00A16FD4"/>
    <w:rsid w:val="00A17A28"/>
    <w:rsid w:val="00A25D81"/>
    <w:rsid w:val="00A35319"/>
    <w:rsid w:val="00A3567F"/>
    <w:rsid w:val="00A36888"/>
    <w:rsid w:val="00A368AB"/>
    <w:rsid w:val="00A37698"/>
    <w:rsid w:val="00A41ED3"/>
    <w:rsid w:val="00A42B6C"/>
    <w:rsid w:val="00A4425B"/>
    <w:rsid w:val="00A50371"/>
    <w:rsid w:val="00A5193C"/>
    <w:rsid w:val="00A52B15"/>
    <w:rsid w:val="00A531CF"/>
    <w:rsid w:val="00A55975"/>
    <w:rsid w:val="00A616A5"/>
    <w:rsid w:val="00A70CC1"/>
    <w:rsid w:val="00A80E31"/>
    <w:rsid w:val="00A81D82"/>
    <w:rsid w:val="00A907F6"/>
    <w:rsid w:val="00A9118F"/>
    <w:rsid w:val="00A93C62"/>
    <w:rsid w:val="00A93E33"/>
    <w:rsid w:val="00A9590B"/>
    <w:rsid w:val="00A96AC9"/>
    <w:rsid w:val="00A9721D"/>
    <w:rsid w:val="00AA0474"/>
    <w:rsid w:val="00AA060A"/>
    <w:rsid w:val="00AA0B69"/>
    <w:rsid w:val="00AB299B"/>
    <w:rsid w:val="00AB3129"/>
    <w:rsid w:val="00AB6970"/>
    <w:rsid w:val="00AC13B6"/>
    <w:rsid w:val="00AC1939"/>
    <w:rsid w:val="00AC7C05"/>
    <w:rsid w:val="00AD09AD"/>
    <w:rsid w:val="00AD167C"/>
    <w:rsid w:val="00AD17C7"/>
    <w:rsid w:val="00AD3ECD"/>
    <w:rsid w:val="00AD4041"/>
    <w:rsid w:val="00AE302B"/>
    <w:rsid w:val="00AE539A"/>
    <w:rsid w:val="00AE7DFA"/>
    <w:rsid w:val="00AF6981"/>
    <w:rsid w:val="00B01521"/>
    <w:rsid w:val="00B0248D"/>
    <w:rsid w:val="00B05C8F"/>
    <w:rsid w:val="00B12A33"/>
    <w:rsid w:val="00B16BE5"/>
    <w:rsid w:val="00B17A93"/>
    <w:rsid w:val="00B22222"/>
    <w:rsid w:val="00B23370"/>
    <w:rsid w:val="00B23A5E"/>
    <w:rsid w:val="00B259DF"/>
    <w:rsid w:val="00B26E33"/>
    <w:rsid w:val="00B27071"/>
    <w:rsid w:val="00B308E0"/>
    <w:rsid w:val="00B36B15"/>
    <w:rsid w:val="00B373E3"/>
    <w:rsid w:val="00B429E2"/>
    <w:rsid w:val="00B44B1F"/>
    <w:rsid w:val="00B55195"/>
    <w:rsid w:val="00B61FC4"/>
    <w:rsid w:val="00B64141"/>
    <w:rsid w:val="00B64E72"/>
    <w:rsid w:val="00B65888"/>
    <w:rsid w:val="00B671C7"/>
    <w:rsid w:val="00B7166B"/>
    <w:rsid w:val="00B72DB4"/>
    <w:rsid w:val="00B77913"/>
    <w:rsid w:val="00B8043C"/>
    <w:rsid w:val="00B824FB"/>
    <w:rsid w:val="00B82646"/>
    <w:rsid w:val="00B85A50"/>
    <w:rsid w:val="00B91022"/>
    <w:rsid w:val="00B9179F"/>
    <w:rsid w:val="00B91FDA"/>
    <w:rsid w:val="00B928D8"/>
    <w:rsid w:val="00B96CBD"/>
    <w:rsid w:val="00B97359"/>
    <w:rsid w:val="00B97A8F"/>
    <w:rsid w:val="00BA4E58"/>
    <w:rsid w:val="00BA7074"/>
    <w:rsid w:val="00BA7260"/>
    <w:rsid w:val="00BB53AD"/>
    <w:rsid w:val="00BB5664"/>
    <w:rsid w:val="00BB7829"/>
    <w:rsid w:val="00BC5194"/>
    <w:rsid w:val="00BD1457"/>
    <w:rsid w:val="00BD45B8"/>
    <w:rsid w:val="00BD626B"/>
    <w:rsid w:val="00BD76FD"/>
    <w:rsid w:val="00BD7C35"/>
    <w:rsid w:val="00BE0663"/>
    <w:rsid w:val="00BE2AD9"/>
    <w:rsid w:val="00BE79F6"/>
    <w:rsid w:val="00BE7BC5"/>
    <w:rsid w:val="00BF18FA"/>
    <w:rsid w:val="00BF27FE"/>
    <w:rsid w:val="00BF5372"/>
    <w:rsid w:val="00C00CFA"/>
    <w:rsid w:val="00C043B3"/>
    <w:rsid w:val="00C0616C"/>
    <w:rsid w:val="00C06DE0"/>
    <w:rsid w:val="00C079AB"/>
    <w:rsid w:val="00C10203"/>
    <w:rsid w:val="00C10E61"/>
    <w:rsid w:val="00C14787"/>
    <w:rsid w:val="00C15313"/>
    <w:rsid w:val="00C1596D"/>
    <w:rsid w:val="00C15B8D"/>
    <w:rsid w:val="00C17010"/>
    <w:rsid w:val="00C20562"/>
    <w:rsid w:val="00C205D7"/>
    <w:rsid w:val="00C215C3"/>
    <w:rsid w:val="00C23A96"/>
    <w:rsid w:val="00C23F7B"/>
    <w:rsid w:val="00C2440C"/>
    <w:rsid w:val="00C249C6"/>
    <w:rsid w:val="00C3128A"/>
    <w:rsid w:val="00C319E4"/>
    <w:rsid w:val="00C32CC1"/>
    <w:rsid w:val="00C426EC"/>
    <w:rsid w:val="00C44494"/>
    <w:rsid w:val="00C44A52"/>
    <w:rsid w:val="00C50539"/>
    <w:rsid w:val="00C50E0B"/>
    <w:rsid w:val="00C54D3A"/>
    <w:rsid w:val="00C57BE9"/>
    <w:rsid w:val="00C57DBF"/>
    <w:rsid w:val="00C6483C"/>
    <w:rsid w:val="00C64AE9"/>
    <w:rsid w:val="00C64D3F"/>
    <w:rsid w:val="00C65D52"/>
    <w:rsid w:val="00C70CFF"/>
    <w:rsid w:val="00C70DA1"/>
    <w:rsid w:val="00C7172A"/>
    <w:rsid w:val="00C718FE"/>
    <w:rsid w:val="00C74358"/>
    <w:rsid w:val="00C82BBC"/>
    <w:rsid w:val="00C8586D"/>
    <w:rsid w:val="00C86CEC"/>
    <w:rsid w:val="00C8773D"/>
    <w:rsid w:val="00C87ABB"/>
    <w:rsid w:val="00C901B8"/>
    <w:rsid w:val="00C90791"/>
    <w:rsid w:val="00C91621"/>
    <w:rsid w:val="00C91831"/>
    <w:rsid w:val="00C934C3"/>
    <w:rsid w:val="00C953DF"/>
    <w:rsid w:val="00C96265"/>
    <w:rsid w:val="00C963E6"/>
    <w:rsid w:val="00CB0B23"/>
    <w:rsid w:val="00CC698C"/>
    <w:rsid w:val="00CD125F"/>
    <w:rsid w:val="00CD452C"/>
    <w:rsid w:val="00CD5401"/>
    <w:rsid w:val="00CD561A"/>
    <w:rsid w:val="00CE2709"/>
    <w:rsid w:val="00CE2D64"/>
    <w:rsid w:val="00CE6198"/>
    <w:rsid w:val="00CE6CD6"/>
    <w:rsid w:val="00CE6FB1"/>
    <w:rsid w:val="00CF46C9"/>
    <w:rsid w:val="00CF56F4"/>
    <w:rsid w:val="00CF6230"/>
    <w:rsid w:val="00CF73B5"/>
    <w:rsid w:val="00D009C6"/>
    <w:rsid w:val="00D017FC"/>
    <w:rsid w:val="00D0226A"/>
    <w:rsid w:val="00D0297E"/>
    <w:rsid w:val="00D04845"/>
    <w:rsid w:val="00D04F2D"/>
    <w:rsid w:val="00D0552B"/>
    <w:rsid w:val="00D13147"/>
    <w:rsid w:val="00D14DE0"/>
    <w:rsid w:val="00D1692B"/>
    <w:rsid w:val="00D262BA"/>
    <w:rsid w:val="00D33329"/>
    <w:rsid w:val="00D41E57"/>
    <w:rsid w:val="00D463FF"/>
    <w:rsid w:val="00D472AC"/>
    <w:rsid w:val="00D507F2"/>
    <w:rsid w:val="00D5715A"/>
    <w:rsid w:val="00D60784"/>
    <w:rsid w:val="00D6087C"/>
    <w:rsid w:val="00D60BCB"/>
    <w:rsid w:val="00D672D9"/>
    <w:rsid w:val="00D6762A"/>
    <w:rsid w:val="00D71687"/>
    <w:rsid w:val="00D72994"/>
    <w:rsid w:val="00D73852"/>
    <w:rsid w:val="00D74813"/>
    <w:rsid w:val="00D757DC"/>
    <w:rsid w:val="00D77693"/>
    <w:rsid w:val="00D80F2E"/>
    <w:rsid w:val="00D82A4D"/>
    <w:rsid w:val="00D82C1D"/>
    <w:rsid w:val="00D8380E"/>
    <w:rsid w:val="00D9120B"/>
    <w:rsid w:val="00D95B9A"/>
    <w:rsid w:val="00D96024"/>
    <w:rsid w:val="00DA0BEC"/>
    <w:rsid w:val="00DA30BC"/>
    <w:rsid w:val="00DA69C2"/>
    <w:rsid w:val="00DA6D70"/>
    <w:rsid w:val="00DB0644"/>
    <w:rsid w:val="00DB46CB"/>
    <w:rsid w:val="00DB4981"/>
    <w:rsid w:val="00DB4BA3"/>
    <w:rsid w:val="00DB5792"/>
    <w:rsid w:val="00DB6050"/>
    <w:rsid w:val="00DB60E5"/>
    <w:rsid w:val="00DB73EA"/>
    <w:rsid w:val="00DC2A6E"/>
    <w:rsid w:val="00DC2C34"/>
    <w:rsid w:val="00DC4B51"/>
    <w:rsid w:val="00DC4F91"/>
    <w:rsid w:val="00DC5DB6"/>
    <w:rsid w:val="00DC628B"/>
    <w:rsid w:val="00DC7DA8"/>
    <w:rsid w:val="00DD0A8C"/>
    <w:rsid w:val="00DD2D49"/>
    <w:rsid w:val="00DE1E46"/>
    <w:rsid w:val="00DE2C87"/>
    <w:rsid w:val="00DE459A"/>
    <w:rsid w:val="00DE4B62"/>
    <w:rsid w:val="00DE5FCE"/>
    <w:rsid w:val="00DE79D8"/>
    <w:rsid w:val="00DF27DA"/>
    <w:rsid w:val="00DF4DBE"/>
    <w:rsid w:val="00DF5BB0"/>
    <w:rsid w:val="00DF7447"/>
    <w:rsid w:val="00E024D9"/>
    <w:rsid w:val="00E02C69"/>
    <w:rsid w:val="00E15122"/>
    <w:rsid w:val="00E17B5C"/>
    <w:rsid w:val="00E26868"/>
    <w:rsid w:val="00E40820"/>
    <w:rsid w:val="00E40A2D"/>
    <w:rsid w:val="00E41D8C"/>
    <w:rsid w:val="00E453C5"/>
    <w:rsid w:val="00E45B94"/>
    <w:rsid w:val="00E4658F"/>
    <w:rsid w:val="00E51B35"/>
    <w:rsid w:val="00E54A67"/>
    <w:rsid w:val="00E54B21"/>
    <w:rsid w:val="00E61C0D"/>
    <w:rsid w:val="00E62014"/>
    <w:rsid w:val="00E63EB4"/>
    <w:rsid w:val="00E66160"/>
    <w:rsid w:val="00E7079B"/>
    <w:rsid w:val="00E71329"/>
    <w:rsid w:val="00E7263B"/>
    <w:rsid w:val="00E80B53"/>
    <w:rsid w:val="00E82AAB"/>
    <w:rsid w:val="00E8363B"/>
    <w:rsid w:val="00E8406F"/>
    <w:rsid w:val="00E84966"/>
    <w:rsid w:val="00E916C5"/>
    <w:rsid w:val="00E92383"/>
    <w:rsid w:val="00E97325"/>
    <w:rsid w:val="00EA0624"/>
    <w:rsid w:val="00EA0E66"/>
    <w:rsid w:val="00EA1B3A"/>
    <w:rsid w:val="00EA2109"/>
    <w:rsid w:val="00EA22BB"/>
    <w:rsid w:val="00EA262D"/>
    <w:rsid w:val="00EA2EB9"/>
    <w:rsid w:val="00EA744A"/>
    <w:rsid w:val="00EA78EC"/>
    <w:rsid w:val="00EB057A"/>
    <w:rsid w:val="00EB0E7D"/>
    <w:rsid w:val="00EC3BFA"/>
    <w:rsid w:val="00EC5D16"/>
    <w:rsid w:val="00EC7D83"/>
    <w:rsid w:val="00ED15B4"/>
    <w:rsid w:val="00ED3B51"/>
    <w:rsid w:val="00ED4D4E"/>
    <w:rsid w:val="00ED6D58"/>
    <w:rsid w:val="00EE0C77"/>
    <w:rsid w:val="00EE1521"/>
    <w:rsid w:val="00EE4E54"/>
    <w:rsid w:val="00EF31D1"/>
    <w:rsid w:val="00EF4334"/>
    <w:rsid w:val="00F00691"/>
    <w:rsid w:val="00F022A5"/>
    <w:rsid w:val="00F026C9"/>
    <w:rsid w:val="00F0447C"/>
    <w:rsid w:val="00F06BCC"/>
    <w:rsid w:val="00F1685D"/>
    <w:rsid w:val="00F17111"/>
    <w:rsid w:val="00F20579"/>
    <w:rsid w:val="00F26250"/>
    <w:rsid w:val="00F31077"/>
    <w:rsid w:val="00F32746"/>
    <w:rsid w:val="00F436BB"/>
    <w:rsid w:val="00F4423C"/>
    <w:rsid w:val="00F47145"/>
    <w:rsid w:val="00F47E2B"/>
    <w:rsid w:val="00F51E06"/>
    <w:rsid w:val="00F5281D"/>
    <w:rsid w:val="00F545BF"/>
    <w:rsid w:val="00F56023"/>
    <w:rsid w:val="00F5623B"/>
    <w:rsid w:val="00F61532"/>
    <w:rsid w:val="00F61CC9"/>
    <w:rsid w:val="00F624C9"/>
    <w:rsid w:val="00F64C3F"/>
    <w:rsid w:val="00F71B56"/>
    <w:rsid w:val="00F74166"/>
    <w:rsid w:val="00F77A5B"/>
    <w:rsid w:val="00F82692"/>
    <w:rsid w:val="00F832C8"/>
    <w:rsid w:val="00F873B3"/>
    <w:rsid w:val="00F95654"/>
    <w:rsid w:val="00F96330"/>
    <w:rsid w:val="00FA00BE"/>
    <w:rsid w:val="00FA13F5"/>
    <w:rsid w:val="00FA1F13"/>
    <w:rsid w:val="00FA33FE"/>
    <w:rsid w:val="00FA42B9"/>
    <w:rsid w:val="00FA45D9"/>
    <w:rsid w:val="00FA755A"/>
    <w:rsid w:val="00FB2B0F"/>
    <w:rsid w:val="00FB4F6B"/>
    <w:rsid w:val="00FB5FE1"/>
    <w:rsid w:val="00FB72F4"/>
    <w:rsid w:val="00FB7C72"/>
    <w:rsid w:val="00FC0255"/>
    <w:rsid w:val="00FC0E8D"/>
    <w:rsid w:val="00FC46EF"/>
    <w:rsid w:val="00FD073E"/>
    <w:rsid w:val="00FD31B3"/>
    <w:rsid w:val="00FD4204"/>
    <w:rsid w:val="00FD4369"/>
    <w:rsid w:val="00FD6EF2"/>
    <w:rsid w:val="00FE157F"/>
    <w:rsid w:val="00FE2BEE"/>
    <w:rsid w:val="00FF3231"/>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outlineLvl w:val="0"/>
    </w:pPr>
    <w:rPr>
      <w:color w:val="22413A"/>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4414B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4414B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4414B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autoRedefine/>
    <w:uiPriority w:val="1"/>
    <w:qFormat/>
    <w:rsid w:val="006F68D7"/>
    <w:pPr>
      <w:numPr>
        <w:numId w:val="44"/>
      </w:numPr>
      <w:tabs>
        <w:tab w:val="clear" w:pos="357"/>
      </w:tabs>
      <w:ind w:left="1134" w:hanging="360"/>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uiPriority w:val="99"/>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customStyle="1" w:styleId="Heading7Char">
    <w:name w:val="Heading 7 Char"/>
    <w:basedOn w:val="DefaultParagraphFont"/>
    <w:link w:val="Heading7"/>
    <w:rsid w:val="004414B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4414B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4414B4"/>
    <w:rPr>
      <w:rFonts w:ascii="Arial" w:eastAsia="Times New Roman" w:hAnsi="Arial"/>
      <w:sz w:val="22"/>
      <w:szCs w:val="22"/>
      <w:lang w:eastAsia="en-US"/>
    </w:rPr>
  </w:style>
  <w:style w:type="paragraph" w:customStyle="1" w:styleId="TSHeadingNumbered1">
    <w:name w:val="TS Heading Numbered 1."/>
    <w:basedOn w:val="Normal"/>
    <w:rsid w:val="004414B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4414B4"/>
  </w:style>
  <w:style w:type="paragraph" w:customStyle="1" w:styleId="TSHeadingNumbered111">
    <w:name w:val="TS Heading Numbered 1.1.1"/>
    <w:basedOn w:val="TSHeadingNumbered1"/>
    <w:rsid w:val="004414B4"/>
  </w:style>
  <w:style w:type="paragraph" w:customStyle="1" w:styleId="TSHeadingNumbered1111">
    <w:name w:val="TS Heading Numbered 1.1.1.1"/>
    <w:basedOn w:val="TSHeadingNumbered1"/>
    <w:rsid w:val="004414B4"/>
  </w:style>
  <w:style w:type="paragraph" w:customStyle="1" w:styleId="TSNumberedParagraph11">
    <w:name w:val="TS Numbered Paragraph 1.1"/>
    <w:basedOn w:val="TSHeadingNumbered11"/>
    <w:rsid w:val="004414B4"/>
    <w:pPr>
      <w:numPr>
        <w:ilvl w:val="1"/>
      </w:numPr>
      <w:tabs>
        <w:tab w:val="num" w:pos="-31680"/>
      </w:tabs>
      <w:ind w:left="720" w:hanging="720"/>
    </w:pPr>
    <w:rPr>
      <w:rFonts w:ascii="Arial" w:hAnsi="Arial"/>
      <w:b w:val="0"/>
      <w:caps w:val="0"/>
    </w:rPr>
  </w:style>
  <w:style w:type="paragraph" w:customStyle="1" w:styleId="Default">
    <w:name w:val="Default"/>
    <w:rsid w:val="00565880"/>
    <w:pPr>
      <w:autoSpaceDE w:val="0"/>
      <w:autoSpaceDN w:val="0"/>
      <w:adjustRightInd w:val="0"/>
    </w:pPr>
    <w:rPr>
      <w:rFonts w:ascii="Arial" w:hAnsi="Arial"/>
      <w:color w:val="000000"/>
      <w:sz w:val="24"/>
      <w:szCs w:val="24"/>
    </w:rPr>
  </w:style>
  <w:style w:type="paragraph" w:styleId="CommentSubject">
    <w:name w:val="annotation subject"/>
    <w:basedOn w:val="CommentText"/>
    <w:next w:val="CommentText"/>
    <w:link w:val="CommentSubjectChar"/>
    <w:uiPriority w:val="99"/>
    <w:semiHidden/>
    <w:unhideWhenUsed/>
    <w:rsid w:val="00CF56F4"/>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CF56F4"/>
    <w:rPr>
      <w:rFonts w:ascii="Arial" w:eastAsiaTheme="minorHAnsi" w:hAnsi="Arial" w:cstheme="minorBidi"/>
      <w:b/>
      <w:bCs/>
      <w:lang w:eastAsia="en-US" w:bidi="he-IL"/>
    </w:rPr>
  </w:style>
  <w:style w:type="paragraph" w:styleId="Revision">
    <w:name w:val="Revision"/>
    <w:hidden/>
    <w:uiPriority w:val="99"/>
    <w:semiHidden/>
    <w:rsid w:val="00C2440C"/>
    <w:rPr>
      <w:rFonts w:ascii="Arial" w:hAnsi="Arial"/>
      <w:sz w:val="24"/>
      <w:szCs w:val="22"/>
      <w:lang w:eastAsia="en-US" w:bidi="he-IL"/>
    </w:rPr>
  </w:style>
  <w:style w:type="paragraph" w:customStyle="1" w:styleId="NumberedPara">
    <w:name w:val="Numbered Para"/>
    <w:basedOn w:val="ListParagraph"/>
    <w:link w:val="NumberedParaChar"/>
    <w:qFormat/>
    <w:rsid w:val="0025207B"/>
    <w:pPr>
      <w:numPr>
        <w:numId w:val="35"/>
      </w:numPr>
      <w:spacing w:before="240" w:after="120" w:line="240" w:lineRule="auto"/>
      <w:ind w:left="851" w:hanging="851"/>
      <w:contextualSpacing w:val="0"/>
    </w:pPr>
  </w:style>
  <w:style w:type="character" w:customStyle="1" w:styleId="NumberedParaChar">
    <w:name w:val="Numbered Para Char"/>
    <w:basedOn w:val="DefaultParagraphFont"/>
    <w:link w:val="NumberedPara"/>
    <w:rsid w:val="0025207B"/>
    <w:rPr>
      <w:rFonts w:ascii="Arial" w:hAnsi="Arial"/>
      <w:sz w:val="24"/>
      <w:szCs w:val="22"/>
      <w:lang w:eastAsia="en-US" w:bidi="he-IL"/>
    </w:rPr>
  </w:style>
  <w:style w:type="paragraph" w:customStyle="1" w:styleId="TSBullet1Square">
    <w:name w:val="TS Bullet 1 Square"/>
    <w:basedOn w:val="Normal"/>
    <w:rsid w:val="000E5C3B"/>
    <w:pPr>
      <w:spacing w:line="240" w:lineRule="auto"/>
      <w:contextualSpacing/>
    </w:pPr>
    <w:rPr>
      <w:rFonts w:eastAsia="Times New Roman" w:cs="Times New Roman"/>
      <w:sz w:val="22"/>
      <w:szCs w:val="24"/>
      <w:lang w:bidi="ar-SA"/>
    </w:rPr>
  </w:style>
  <w:style w:type="character" w:styleId="LineNumber">
    <w:name w:val="line number"/>
    <w:basedOn w:val="DefaultParagraphFont"/>
    <w:uiPriority w:val="99"/>
    <w:semiHidden/>
    <w:unhideWhenUsed/>
    <w:rsid w:val="00C15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335">
      <w:bodyDiv w:val="1"/>
      <w:marLeft w:val="0"/>
      <w:marRight w:val="0"/>
      <w:marTop w:val="0"/>
      <w:marBottom w:val="0"/>
      <w:divBdr>
        <w:top w:val="none" w:sz="0" w:space="0" w:color="auto"/>
        <w:left w:val="none" w:sz="0" w:space="0" w:color="auto"/>
        <w:bottom w:val="none" w:sz="0" w:space="0" w:color="auto"/>
        <w:right w:val="none" w:sz="0" w:space="0" w:color="auto"/>
      </w:divBdr>
    </w:div>
    <w:div w:id="4787435">
      <w:bodyDiv w:val="1"/>
      <w:marLeft w:val="0"/>
      <w:marRight w:val="0"/>
      <w:marTop w:val="0"/>
      <w:marBottom w:val="0"/>
      <w:divBdr>
        <w:top w:val="none" w:sz="0" w:space="0" w:color="auto"/>
        <w:left w:val="none" w:sz="0" w:space="0" w:color="auto"/>
        <w:bottom w:val="none" w:sz="0" w:space="0" w:color="auto"/>
        <w:right w:val="none" w:sz="0" w:space="0" w:color="auto"/>
      </w:divBdr>
    </w:div>
    <w:div w:id="21784971">
      <w:bodyDiv w:val="1"/>
      <w:marLeft w:val="0"/>
      <w:marRight w:val="0"/>
      <w:marTop w:val="0"/>
      <w:marBottom w:val="0"/>
      <w:divBdr>
        <w:top w:val="none" w:sz="0" w:space="0" w:color="auto"/>
        <w:left w:val="none" w:sz="0" w:space="0" w:color="auto"/>
        <w:bottom w:val="none" w:sz="0" w:space="0" w:color="auto"/>
        <w:right w:val="none" w:sz="0" w:space="0" w:color="auto"/>
      </w:divBdr>
    </w:div>
    <w:div w:id="35325411">
      <w:bodyDiv w:val="1"/>
      <w:marLeft w:val="0"/>
      <w:marRight w:val="0"/>
      <w:marTop w:val="0"/>
      <w:marBottom w:val="0"/>
      <w:divBdr>
        <w:top w:val="none" w:sz="0" w:space="0" w:color="auto"/>
        <w:left w:val="none" w:sz="0" w:space="0" w:color="auto"/>
        <w:bottom w:val="none" w:sz="0" w:space="0" w:color="auto"/>
        <w:right w:val="none" w:sz="0" w:space="0" w:color="auto"/>
      </w:divBdr>
    </w:div>
    <w:div w:id="36779235">
      <w:bodyDiv w:val="1"/>
      <w:marLeft w:val="0"/>
      <w:marRight w:val="0"/>
      <w:marTop w:val="0"/>
      <w:marBottom w:val="0"/>
      <w:divBdr>
        <w:top w:val="none" w:sz="0" w:space="0" w:color="auto"/>
        <w:left w:val="none" w:sz="0" w:space="0" w:color="auto"/>
        <w:bottom w:val="none" w:sz="0" w:space="0" w:color="auto"/>
        <w:right w:val="none" w:sz="0" w:space="0" w:color="auto"/>
      </w:divBdr>
    </w:div>
    <w:div w:id="38436698">
      <w:bodyDiv w:val="1"/>
      <w:marLeft w:val="0"/>
      <w:marRight w:val="0"/>
      <w:marTop w:val="0"/>
      <w:marBottom w:val="0"/>
      <w:divBdr>
        <w:top w:val="none" w:sz="0" w:space="0" w:color="auto"/>
        <w:left w:val="none" w:sz="0" w:space="0" w:color="auto"/>
        <w:bottom w:val="none" w:sz="0" w:space="0" w:color="auto"/>
        <w:right w:val="none" w:sz="0" w:space="0" w:color="auto"/>
      </w:divBdr>
    </w:div>
    <w:div w:id="44303320">
      <w:bodyDiv w:val="1"/>
      <w:marLeft w:val="0"/>
      <w:marRight w:val="0"/>
      <w:marTop w:val="0"/>
      <w:marBottom w:val="0"/>
      <w:divBdr>
        <w:top w:val="none" w:sz="0" w:space="0" w:color="auto"/>
        <w:left w:val="none" w:sz="0" w:space="0" w:color="auto"/>
        <w:bottom w:val="none" w:sz="0" w:space="0" w:color="auto"/>
        <w:right w:val="none" w:sz="0" w:space="0" w:color="auto"/>
      </w:divBdr>
    </w:div>
    <w:div w:id="45447471">
      <w:bodyDiv w:val="1"/>
      <w:marLeft w:val="0"/>
      <w:marRight w:val="0"/>
      <w:marTop w:val="0"/>
      <w:marBottom w:val="0"/>
      <w:divBdr>
        <w:top w:val="none" w:sz="0" w:space="0" w:color="auto"/>
        <w:left w:val="none" w:sz="0" w:space="0" w:color="auto"/>
        <w:bottom w:val="none" w:sz="0" w:space="0" w:color="auto"/>
        <w:right w:val="none" w:sz="0" w:space="0" w:color="auto"/>
      </w:divBdr>
    </w:div>
    <w:div w:id="46612135">
      <w:bodyDiv w:val="1"/>
      <w:marLeft w:val="0"/>
      <w:marRight w:val="0"/>
      <w:marTop w:val="0"/>
      <w:marBottom w:val="0"/>
      <w:divBdr>
        <w:top w:val="none" w:sz="0" w:space="0" w:color="auto"/>
        <w:left w:val="none" w:sz="0" w:space="0" w:color="auto"/>
        <w:bottom w:val="none" w:sz="0" w:space="0" w:color="auto"/>
        <w:right w:val="none" w:sz="0" w:space="0" w:color="auto"/>
      </w:divBdr>
    </w:div>
    <w:div w:id="49302838">
      <w:bodyDiv w:val="1"/>
      <w:marLeft w:val="0"/>
      <w:marRight w:val="0"/>
      <w:marTop w:val="0"/>
      <w:marBottom w:val="0"/>
      <w:divBdr>
        <w:top w:val="none" w:sz="0" w:space="0" w:color="auto"/>
        <w:left w:val="none" w:sz="0" w:space="0" w:color="auto"/>
        <w:bottom w:val="none" w:sz="0" w:space="0" w:color="auto"/>
        <w:right w:val="none" w:sz="0" w:space="0" w:color="auto"/>
      </w:divBdr>
    </w:div>
    <w:div w:id="51928334">
      <w:bodyDiv w:val="1"/>
      <w:marLeft w:val="0"/>
      <w:marRight w:val="0"/>
      <w:marTop w:val="0"/>
      <w:marBottom w:val="0"/>
      <w:divBdr>
        <w:top w:val="none" w:sz="0" w:space="0" w:color="auto"/>
        <w:left w:val="none" w:sz="0" w:space="0" w:color="auto"/>
        <w:bottom w:val="none" w:sz="0" w:space="0" w:color="auto"/>
        <w:right w:val="none" w:sz="0" w:space="0" w:color="auto"/>
      </w:divBdr>
    </w:div>
    <w:div w:id="59063657">
      <w:bodyDiv w:val="1"/>
      <w:marLeft w:val="0"/>
      <w:marRight w:val="0"/>
      <w:marTop w:val="0"/>
      <w:marBottom w:val="0"/>
      <w:divBdr>
        <w:top w:val="none" w:sz="0" w:space="0" w:color="auto"/>
        <w:left w:val="none" w:sz="0" w:space="0" w:color="auto"/>
        <w:bottom w:val="none" w:sz="0" w:space="0" w:color="auto"/>
        <w:right w:val="none" w:sz="0" w:space="0" w:color="auto"/>
      </w:divBdr>
    </w:div>
    <w:div w:id="66075662">
      <w:bodyDiv w:val="1"/>
      <w:marLeft w:val="0"/>
      <w:marRight w:val="0"/>
      <w:marTop w:val="0"/>
      <w:marBottom w:val="0"/>
      <w:divBdr>
        <w:top w:val="none" w:sz="0" w:space="0" w:color="auto"/>
        <w:left w:val="none" w:sz="0" w:space="0" w:color="auto"/>
        <w:bottom w:val="none" w:sz="0" w:space="0" w:color="auto"/>
        <w:right w:val="none" w:sz="0" w:space="0" w:color="auto"/>
      </w:divBdr>
    </w:div>
    <w:div w:id="68624678">
      <w:bodyDiv w:val="1"/>
      <w:marLeft w:val="0"/>
      <w:marRight w:val="0"/>
      <w:marTop w:val="0"/>
      <w:marBottom w:val="0"/>
      <w:divBdr>
        <w:top w:val="none" w:sz="0" w:space="0" w:color="auto"/>
        <w:left w:val="none" w:sz="0" w:space="0" w:color="auto"/>
        <w:bottom w:val="none" w:sz="0" w:space="0" w:color="auto"/>
        <w:right w:val="none" w:sz="0" w:space="0" w:color="auto"/>
      </w:divBdr>
    </w:div>
    <w:div w:id="69811240">
      <w:bodyDiv w:val="1"/>
      <w:marLeft w:val="0"/>
      <w:marRight w:val="0"/>
      <w:marTop w:val="0"/>
      <w:marBottom w:val="0"/>
      <w:divBdr>
        <w:top w:val="none" w:sz="0" w:space="0" w:color="auto"/>
        <w:left w:val="none" w:sz="0" w:space="0" w:color="auto"/>
        <w:bottom w:val="none" w:sz="0" w:space="0" w:color="auto"/>
        <w:right w:val="none" w:sz="0" w:space="0" w:color="auto"/>
      </w:divBdr>
    </w:div>
    <w:div w:id="71708442">
      <w:bodyDiv w:val="1"/>
      <w:marLeft w:val="0"/>
      <w:marRight w:val="0"/>
      <w:marTop w:val="0"/>
      <w:marBottom w:val="0"/>
      <w:divBdr>
        <w:top w:val="none" w:sz="0" w:space="0" w:color="auto"/>
        <w:left w:val="none" w:sz="0" w:space="0" w:color="auto"/>
        <w:bottom w:val="none" w:sz="0" w:space="0" w:color="auto"/>
        <w:right w:val="none" w:sz="0" w:space="0" w:color="auto"/>
      </w:divBdr>
    </w:div>
    <w:div w:id="73747170">
      <w:bodyDiv w:val="1"/>
      <w:marLeft w:val="0"/>
      <w:marRight w:val="0"/>
      <w:marTop w:val="0"/>
      <w:marBottom w:val="0"/>
      <w:divBdr>
        <w:top w:val="none" w:sz="0" w:space="0" w:color="auto"/>
        <w:left w:val="none" w:sz="0" w:space="0" w:color="auto"/>
        <w:bottom w:val="none" w:sz="0" w:space="0" w:color="auto"/>
        <w:right w:val="none" w:sz="0" w:space="0" w:color="auto"/>
      </w:divBdr>
    </w:div>
    <w:div w:id="79179280">
      <w:bodyDiv w:val="1"/>
      <w:marLeft w:val="0"/>
      <w:marRight w:val="0"/>
      <w:marTop w:val="0"/>
      <w:marBottom w:val="0"/>
      <w:divBdr>
        <w:top w:val="none" w:sz="0" w:space="0" w:color="auto"/>
        <w:left w:val="none" w:sz="0" w:space="0" w:color="auto"/>
        <w:bottom w:val="none" w:sz="0" w:space="0" w:color="auto"/>
        <w:right w:val="none" w:sz="0" w:space="0" w:color="auto"/>
      </w:divBdr>
    </w:div>
    <w:div w:id="83233364">
      <w:bodyDiv w:val="1"/>
      <w:marLeft w:val="0"/>
      <w:marRight w:val="0"/>
      <w:marTop w:val="0"/>
      <w:marBottom w:val="0"/>
      <w:divBdr>
        <w:top w:val="none" w:sz="0" w:space="0" w:color="auto"/>
        <w:left w:val="none" w:sz="0" w:space="0" w:color="auto"/>
        <w:bottom w:val="none" w:sz="0" w:space="0" w:color="auto"/>
        <w:right w:val="none" w:sz="0" w:space="0" w:color="auto"/>
      </w:divBdr>
    </w:div>
    <w:div w:id="90201713">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4175422">
      <w:bodyDiv w:val="1"/>
      <w:marLeft w:val="0"/>
      <w:marRight w:val="0"/>
      <w:marTop w:val="0"/>
      <w:marBottom w:val="0"/>
      <w:divBdr>
        <w:top w:val="none" w:sz="0" w:space="0" w:color="auto"/>
        <w:left w:val="none" w:sz="0" w:space="0" w:color="auto"/>
        <w:bottom w:val="none" w:sz="0" w:space="0" w:color="auto"/>
        <w:right w:val="none" w:sz="0" w:space="0" w:color="auto"/>
      </w:divBdr>
    </w:div>
    <w:div w:id="99877804">
      <w:bodyDiv w:val="1"/>
      <w:marLeft w:val="0"/>
      <w:marRight w:val="0"/>
      <w:marTop w:val="0"/>
      <w:marBottom w:val="0"/>
      <w:divBdr>
        <w:top w:val="none" w:sz="0" w:space="0" w:color="auto"/>
        <w:left w:val="none" w:sz="0" w:space="0" w:color="auto"/>
        <w:bottom w:val="none" w:sz="0" w:space="0" w:color="auto"/>
        <w:right w:val="none" w:sz="0" w:space="0" w:color="auto"/>
      </w:divBdr>
    </w:div>
    <w:div w:id="103692841">
      <w:bodyDiv w:val="1"/>
      <w:marLeft w:val="0"/>
      <w:marRight w:val="0"/>
      <w:marTop w:val="0"/>
      <w:marBottom w:val="0"/>
      <w:divBdr>
        <w:top w:val="none" w:sz="0" w:space="0" w:color="auto"/>
        <w:left w:val="none" w:sz="0" w:space="0" w:color="auto"/>
        <w:bottom w:val="none" w:sz="0" w:space="0" w:color="auto"/>
        <w:right w:val="none" w:sz="0" w:space="0" w:color="auto"/>
      </w:divBdr>
    </w:div>
    <w:div w:id="103766043">
      <w:bodyDiv w:val="1"/>
      <w:marLeft w:val="0"/>
      <w:marRight w:val="0"/>
      <w:marTop w:val="0"/>
      <w:marBottom w:val="0"/>
      <w:divBdr>
        <w:top w:val="none" w:sz="0" w:space="0" w:color="auto"/>
        <w:left w:val="none" w:sz="0" w:space="0" w:color="auto"/>
        <w:bottom w:val="none" w:sz="0" w:space="0" w:color="auto"/>
        <w:right w:val="none" w:sz="0" w:space="0" w:color="auto"/>
      </w:divBdr>
    </w:div>
    <w:div w:id="120344864">
      <w:bodyDiv w:val="1"/>
      <w:marLeft w:val="0"/>
      <w:marRight w:val="0"/>
      <w:marTop w:val="0"/>
      <w:marBottom w:val="0"/>
      <w:divBdr>
        <w:top w:val="none" w:sz="0" w:space="0" w:color="auto"/>
        <w:left w:val="none" w:sz="0" w:space="0" w:color="auto"/>
        <w:bottom w:val="none" w:sz="0" w:space="0" w:color="auto"/>
        <w:right w:val="none" w:sz="0" w:space="0" w:color="auto"/>
      </w:divBdr>
    </w:div>
    <w:div w:id="138158270">
      <w:bodyDiv w:val="1"/>
      <w:marLeft w:val="0"/>
      <w:marRight w:val="0"/>
      <w:marTop w:val="0"/>
      <w:marBottom w:val="0"/>
      <w:divBdr>
        <w:top w:val="none" w:sz="0" w:space="0" w:color="auto"/>
        <w:left w:val="none" w:sz="0" w:space="0" w:color="auto"/>
        <w:bottom w:val="none" w:sz="0" w:space="0" w:color="auto"/>
        <w:right w:val="none" w:sz="0" w:space="0" w:color="auto"/>
      </w:divBdr>
    </w:div>
    <w:div w:id="139854504">
      <w:bodyDiv w:val="1"/>
      <w:marLeft w:val="0"/>
      <w:marRight w:val="0"/>
      <w:marTop w:val="0"/>
      <w:marBottom w:val="0"/>
      <w:divBdr>
        <w:top w:val="none" w:sz="0" w:space="0" w:color="auto"/>
        <w:left w:val="none" w:sz="0" w:space="0" w:color="auto"/>
        <w:bottom w:val="none" w:sz="0" w:space="0" w:color="auto"/>
        <w:right w:val="none" w:sz="0" w:space="0" w:color="auto"/>
      </w:divBdr>
    </w:div>
    <w:div w:id="143087890">
      <w:bodyDiv w:val="1"/>
      <w:marLeft w:val="0"/>
      <w:marRight w:val="0"/>
      <w:marTop w:val="0"/>
      <w:marBottom w:val="0"/>
      <w:divBdr>
        <w:top w:val="none" w:sz="0" w:space="0" w:color="auto"/>
        <w:left w:val="none" w:sz="0" w:space="0" w:color="auto"/>
        <w:bottom w:val="none" w:sz="0" w:space="0" w:color="auto"/>
        <w:right w:val="none" w:sz="0" w:space="0" w:color="auto"/>
      </w:divBdr>
    </w:div>
    <w:div w:id="152111350">
      <w:bodyDiv w:val="1"/>
      <w:marLeft w:val="0"/>
      <w:marRight w:val="0"/>
      <w:marTop w:val="0"/>
      <w:marBottom w:val="0"/>
      <w:divBdr>
        <w:top w:val="none" w:sz="0" w:space="0" w:color="auto"/>
        <w:left w:val="none" w:sz="0" w:space="0" w:color="auto"/>
        <w:bottom w:val="none" w:sz="0" w:space="0" w:color="auto"/>
        <w:right w:val="none" w:sz="0" w:space="0" w:color="auto"/>
      </w:divBdr>
    </w:div>
    <w:div w:id="160432671">
      <w:bodyDiv w:val="1"/>
      <w:marLeft w:val="0"/>
      <w:marRight w:val="0"/>
      <w:marTop w:val="0"/>
      <w:marBottom w:val="0"/>
      <w:divBdr>
        <w:top w:val="none" w:sz="0" w:space="0" w:color="auto"/>
        <w:left w:val="none" w:sz="0" w:space="0" w:color="auto"/>
        <w:bottom w:val="none" w:sz="0" w:space="0" w:color="auto"/>
        <w:right w:val="none" w:sz="0" w:space="0" w:color="auto"/>
      </w:divBdr>
    </w:div>
    <w:div w:id="161438751">
      <w:bodyDiv w:val="1"/>
      <w:marLeft w:val="0"/>
      <w:marRight w:val="0"/>
      <w:marTop w:val="0"/>
      <w:marBottom w:val="0"/>
      <w:divBdr>
        <w:top w:val="none" w:sz="0" w:space="0" w:color="auto"/>
        <w:left w:val="none" w:sz="0" w:space="0" w:color="auto"/>
        <w:bottom w:val="none" w:sz="0" w:space="0" w:color="auto"/>
        <w:right w:val="none" w:sz="0" w:space="0" w:color="auto"/>
      </w:divBdr>
    </w:div>
    <w:div w:id="161628519">
      <w:bodyDiv w:val="1"/>
      <w:marLeft w:val="0"/>
      <w:marRight w:val="0"/>
      <w:marTop w:val="0"/>
      <w:marBottom w:val="0"/>
      <w:divBdr>
        <w:top w:val="none" w:sz="0" w:space="0" w:color="auto"/>
        <w:left w:val="none" w:sz="0" w:space="0" w:color="auto"/>
        <w:bottom w:val="none" w:sz="0" w:space="0" w:color="auto"/>
        <w:right w:val="none" w:sz="0" w:space="0" w:color="auto"/>
      </w:divBdr>
    </w:div>
    <w:div w:id="165174443">
      <w:bodyDiv w:val="1"/>
      <w:marLeft w:val="0"/>
      <w:marRight w:val="0"/>
      <w:marTop w:val="0"/>
      <w:marBottom w:val="0"/>
      <w:divBdr>
        <w:top w:val="none" w:sz="0" w:space="0" w:color="auto"/>
        <w:left w:val="none" w:sz="0" w:space="0" w:color="auto"/>
        <w:bottom w:val="none" w:sz="0" w:space="0" w:color="auto"/>
        <w:right w:val="none" w:sz="0" w:space="0" w:color="auto"/>
      </w:divBdr>
    </w:div>
    <w:div w:id="172039498">
      <w:bodyDiv w:val="1"/>
      <w:marLeft w:val="0"/>
      <w:marRight w:val="0"/>
      <w:marTop w:val="0"/>
      <w:marBottom w:val="0"/>
      <w:divBdr>
        <w:top w:val="none" w:sz="0" w:space="0" w:color="auto"/>
        <w:left w:val="none" w:sz="0" w:space="0" w:color="auto"/>
        <w:bottom w:val="none" w:sz="0" w:space="0" w:color="auto"/>
        <w:right w:val="none" w:sz="0" w:space="0" w:color="auto"/>
      </w:divBdr>
    </w:div>
    <w:div w:id="173539475">
      <w:bodyDiv w:val="1"/>
      <w:marLeft w:val="0"/>
      <w:marRight w:val="0"/>
      <w:marTop w:val="0"/>
      <w:marBottom w:val="0"/>
      <w:divBdr>
        <w:top w:val="none" w:sz="0" w:space="0" w:color="auto"/>
        <w:left w:val="none" w:sz="0" w:space="0" w:color="auto"/>
        <w:bottom w:val="none" w:sz="0" w:space="0" w:color="auto"/>
        <w:right w:val="none" w:sz="0" w:space="0" w:color="auto"/>
      </w:divBdr>
    </w:div>
    <w:div w:id="175926075">
      <w:bodyDiv w:val="1"/>
      <w:marLeft w:val="0"/>
      <w:marRight w:val="0"/>
      <w:marTop w:val="0"/>
      <w:marBottom w:val="0"/>
      <w:divBdr>
        <w:top w:val="none" w:sz="0" w:space="0" w:color="auto"/>
        <w:left w:val="none" w:sz="0" w:space="0" w:color="auto"/>
        <w:bottom w:val="none" w:sz="0" w:space="0" w:color="auto"/>
        <w:right w:val="none" w:sz="0" w:space="0" w:color="auto"/>
      </w:divBdr>
    </w:div>
    <w:div w:id="182012726">
      <w:bodyDiv w:val="1"/>
      <w:marLeft w:val="0"/>
      <w:marRight w:val="0"/>
      <w:marTop w:val="0"/>
      <w:marBottom w:val="0"/>
      <w:divBdr>
        <w:top w:val="none" w:sz="0" w:space="0" w:color="auto"/>
        <w:left w:val="none" w:sz="0" w:space="0" w:color="auto"/>
        <w:bottom w:val="none" w:sz="0" w:space="0" w:color="auto"/>
        <w:right w:val="none" w:sz="0" w:space="0" w:color="auto"/>
      </w:divBdr>
    </w:div>
    <w:div w:id="188763296">
      <w:bodyDiv w:val="1"/>
      <w:marLeft w:val="0"/>
      <w:marRight w:val="0"/>
      <w:marTop w:val="0"/>
      <w:marBottom w:val="0"/>
      <w:divBdr>
        <w:top w:val="none" w:sz="0" w:space="0" w:color="auto"/>
        <w:left w:val="none" w:sz="0" w:space="0" w:color="auto"/>
        <w:bottom w:val="none" w:sz="0" w:space="0" w:color="auto"/>
        <w:right w:val="none" w:sz="0" w:space="0" w:color="auto"/>
      </w:divBdr>
    </w:div>
    <w:div w:id="196967172">
      <w:bodyDiv w:val="1"/>
      <w:marLeft w:val="0"/>
      <w:marRight w:val="0"/>
      <w:marTop w:val="0"/>
      <w:marBottom w:val="0"/>
      <w:divBdr>
        <w:top w:val="none" w:sz="0" w:space="0" w:color="auto"/>
        <w:left w:val="none" w:sz="0" w:space="0" w:color="auto"/>
        <w:bottom w:val="none" w:sz="0" w:space="0" w:color="auto"/>
        <w:right w:val="none" w:sz="0" w:space="0" w:color="auto"/>
      </w:divBdr>
    </w:div>
    <w:div w:id="197788598">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3734583">
      <w:bodyDiv w:val="1"/>
      <w:marLeft w:val="0"/>
      <w:marRight w:val="0"/>
      <w:marTop w:val="0"/>
      <w:marBottom w:val="0"/>
      <w:divBdr>
        <w:top w:val="none" w:sz="0" w:space="0" w:color="auto"/>
        <w:left w:val="none" w:sz="0" w:space="0" w:color="auto"/>
        <w:bottom w:val="none" w:sz="0" w:space="0" w:color="auto"/>
        <w:right w:val="none" w:sz="0" w:space="0" w:color="auto"/>
      </w:divBdr>
    </w:div>
    <w:div w:id="225070070">
      <w:bodyDiv w:val="1"/>
      <w:marLeft w:val="0"/>
      <w:marRight w:val="0"/>
      <w:marTop w:val="0"/>
      <w:marBottom w:val="0"/>
      <w:divBdr>
        <w:top w:val="none" w:sz="0" w:space="0" w:color="auto"/>
        <w:left w:val="none" w:sz="0" w:space="0" w:color="auto"/>
        <w:bottom w:val="none" w:sz="0" w:space="0" w:color="auto"/>
        <w:right w:val="none" w:sz="0" w:space="0" w:color="auto"/>
      </w:divBdr>
    </w:div>
    <w:div w:id="232160901">
      <w:bodyDiv w:val="1"/>
      <w:marLeft w:val="0"/>
      <w:marRight w:val="0"/>
      <w:marTop w:val="0"/>
      <w:marBottom w:val="0"/>
      <w:divBdr>
        <w:top w:val="none" w:sz="0" w:space="0" w:color="auto"/>
        <w:left w:val="none" w:sz="0" w:space="0" w:color="auto"/>
        <w:bottom w:val="none" w:sz="0" w:space="0" w:color="auto"/>
        <w:right w:val="none" w:sz="0" w:space="0" w:color="auto"/>
      </w:divBdr>
    </w:div>
    <w:div w:id="258880557">
      <w:bodyDiv w:val="1"/>
      <w:marLeft w:val="0"/>
      <w:marRight w:val="0"/>
      <w:marTop w:val="0"/>
      <w:marBottom w:val="0"/>
      <w:divBdr>
        <w:top w:val="none" w:sz="0" w:space="0" w:color="auto"/>
        <w:left w:val="none" w:sz="0" w:space="0" w:color="auto"/>
        <w:bottom w:val="none" w:sz="0" w:space="0" w:color="auto"/>
        <w:right w:val="none" w:sz="0" w:space="0" w:color="auto"/>
      </w:divBdr>
    </w:div>
    <w:div w:id="268050051">
      <w:bodyDiv w:val="1"/>
      <w:marLeft w:val="0"/>
      <w:marRight w:val="0"/>
      <w:marTop w:val="0"/>
      <w:marBottom w:val="0"/>
      <w:divBdr>
        <w:top w:val="none" w:sz="0" w:space="0" w:color="auto"/>
        <w:left w:val="none" w:sz="0" w:space="0" w:color="auto"/>
        <w:bottom w:val="none" w:sz="0" w:space="0" w:color="auto"/>
        <w:right w:val="none" w:sz="0" w:space="0" w:color="auto"/>
      </w:divBdr>
    </w:div>
    <w:div w:id="278225796">
      <w:bodyDiv w:val="1"/>
      <w:marLeft w:val="0"/>
      <w:marRight w:val="0"/>
      <w:marTop w:val="0"/>
      <w:marBottom w:val="0"/>
      <w:divBdr>
        <w:top w:val="none" w:sz="0" w:space="0" w:color="auto"/>
        <w:left w:val="none" w:sz="0" w:space="0" w:color="auto"/>
        <w:bottom w:val="none" w:sz="0" w:space="0" w:color="auto"/>
        <w:right w:val="none" w:sz="0" w:space="0" w:color="auto"/>
      </w:divBdr>
    </w:div>
    <w:div w:id="294453424">
      <w:bodyDiv w:val="1"/>
      <w:marLeft w:val="0"/>
      <w:marRight w:val="0"/>
      <w:marTop w:val="0"/>
      <w:marBottom w:val="0"/>
      <w:divBdr>
        <w:top w:val="none" w:sz="0" w:space="0" w:color="auto"/>
        <w:left w:val="none" w:sz="0" w:space="0" w:color="auto"/>
        <w:bottom w:val="none" w:sz="0" w:space="0" w:color="auto"/>
        <w:right w:val="none" w:sz="0" w:space="0" w:color="auto"/>
      </w:divBdr>
    </w:div>
    <w:div w:id="302540049">
      <w:bodyDiv w:val="1"/>
      <w:marLeft w:val="0"/>
      <w:marRight w:val="0"/>
      <w:marTop w:val="0"/>
      <w:marBottom w:val="0"/>
      <w:divBdr>
        <w:top w:val="none" w:sz="0" w:space="0" w:color="auto"/>
        <w:left w:val="none" w:sz="0" w:space="0" w:color="auto"/>
        <w:bottom w:val="none" w:sz="0" w:space="0" w:color="auto"/>
        <w:right w:val="none" w:sz="0" w:space="0" w:color="auto"/>
      </w:divBdr>
    </w:div>
    <w:div w:id="311105457">
      <w:bodyDiv w:val="1"/>
      <w:marLeft w:val="0"/>
      <w:marRight w:val="0"/>
      <w:marTop w:val="0"/>
      <w:marBottom w:val="0"/>
      <w:divBdr>
        <w:top w:val="none" w:sz="0" w:space="0" w:color="auto"/>
        <w:left w:val="none" w:sz="0" w:space="0" w:color="auto"/>
        <w:bottom w:val="none" w:sz="0" w:space="0" w:color="auto"/>
        <w:right w:val="none" w:sz="0" w:space="0" w:color="auto"/>
      </w:divBdr>
    </w:div>
    <w:div w:id="314997816">
      <w:bodyDiv w:val="1"/>
      <w:marLeft w:val="0"/>
      <w:marRight w:val="0"/>
      <w:marTop w:val="0"/>
      <w:marBottom w:val="0"/>
      <w:divBdr>
        <w:top w:val="none" w:sz="0" w:space="0" w:color="auto"/>
        <w:left w:val="none" w:sz="0" w:space="0" w:color="auto"/>
        <w:bottom w:val="none" w:sz="0" w:space="0" w:color="auto"/>
        <w:right w:val="none" w:sz="0" w:space="0" w:color="auto"/>
      </w:divBdr>
    </w:div>
    <w:div w:id="315496101">
      <w:bodyDiv w:val="1"/>
      <w:marLeft w:val="0"/>
      <w:marRight w:val="0"/>
      <w:marTop w:val="0"/>
      <w:marBottom w:val="0"/>
      <w:divBdr>
        <w:top w:val="none" w:sz="0" w:space="0" w:color="auto"/>
        <w:left w:val="none" w:sz="0" w:space="0" w:color="auto"/>
        <w:bottom w:val="none" w:sz="0" w:space="0" w:color="auto"/>
        <w:right w:val="none" w:sz="0" w:space="0" w:color="auto"/>
      </w:divBdr>
    </w:div>
    <w:div w:id="316956302">
      <w:bodyDiv w:val="1"/>
      <w:marLeft w:val="0"/>
      <w:marRight w:val="0"/>
      <w:marTop w:val="0"/>
      <w:marBottom w:val="0"/>
      <w:divBdr>
        <w:top w:val="none" w:sz="0" w:space="0" w:color="auto"/>
        <w:left w:val="none" w:sz="0" w:space="0" w:color="auto"/>
        <w:bottom w:val="none" w:sz="0" w:space="0" w:color="auto"/>
        <w:right w:val="none" w:sz="0" w:space="0" w:color="auto"/>
      </w:divBdr>
    </w:div>
    <w:div w:id="321012911">
      <w:bodyDiv w:val="1"/>
      <w:marLeft w:val="0"/>
      <w:marRight w:val="0"/>
      <w:marTop w:val="0"/>
      <w:marBottom w:val="0"/>
      <w:divBdr>
        <w:top w:val="none" w:sz="0" w:space="0" w:color="auto"/>
        <w:left w:val="none" w:sz="0" w:space="0" w:color="auto"/>
        <w:bottom w:val="none" w:sz="0" w:space="0" w:color="auto"/>
        <w:right w:val="none" w:sz="0" w:space="0" w:color="auto"/>
      </w:divBdr>
    </w:div>
    <w:div w:id="321932385">
      <w:bodyDiv w:val="1"/>
      <w:marLeft w:val="0"/>
      <w:marRight w:val="0"/>
      <w:marTop w:val="0"/>
      <w:marBottom w:val="0"/>
      <w:divBdr>
        <w:top w:val="none" w:sz="0" w:space="0" w:color="auto"/>
        <w:left w:val="none" w:sz="0" w:space="0" w:color="auto"/>
        <w:bottom w:val="none" w:sz="0" w:space="0" w:color="auto"/>
        <w:right w:val="none" w:sz="0" w:space="0" w:color="auto"/>
      </w:divBdr>
    </w:div>
    <w:div w:id="323163365">
      <w:bodyDiv w:val="1"/>
      <w:marLeft w:val="0"/>
      <w:marRight w:val="0"/>
      <w:marTop w:val="0"/>
      <w:marBottom w:val="0"/>
      <w:divBdr>
        <w:top w:val="none" w:sz="0" w:space="0" w:color="auto"/>
        <w:left w:val="none" w:sz="0" w:space="0" w:color="auto"/>
        <w:bottom w:val="none" w:sz="0" w:space="0" w:color="auto"/>
        <w:right w:val="none" w:sz="0" w:space="0" w:color="auto"/>
      </w:divBdr>
    </w:div>
    <w:div w:id="330525102">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6926905">
      <w:bodyDiv w:val="1"/>
      <w:marLeft w:val="0"/>
      <w:marRight w:val="0"/>
      <w:marTop w:val="0"/>
      <w:marBottom w:val="0"/>
      <w:divBdr>
        <w:top w:val="none" w:sz="0" w:space="0" w:color="auto"/>
        <w:left w:val="none" w:sz="0" w:space="0" w:color="auto"/>
        <w:bottom w:val="none" w:sz="0" w:space="0" w:color="auto"/>
        <w:right w:val="none" w:sz="0" w:space="0" w:color="auto"/>
      </w:divBdr>
    </w:div>
    <w:div w:id="340395220">
      <w:bodyDiv w:val="1"/>
      <w:marLeft w:val="0"/>
      <w:marRight w:val="0"/>
      <w:marTop w:val="0"/>
      <w:marBottom w:val="0"/>
      <w:divBdr>
        <w:top w:val="none" w:sz="0" w:space="0" w:color="auto"/>
        <w:left w:val="none" w:sz="0" w:space="0" w:color="auto"/>
        <w:bottom w:val="none" w:sz="0" w:space="0" w:color="auto"/>
        <w:right w:val="none" w:sz="0" w:space="0" w:color="auto"/>
      </w:divBdr>
    </w:div>
    <w:div w:id="344482299">
      <w:bodyDiv w:val="1"/>
      <w:marLeft w:val="0"/>
      <w:marRight w:val="0"/>
      <w:marTop w:val="0"/>
      <w:marBottom w:val="0"/>
      <w:divBdr>
        <w:top w:val="none" w:sz="0" w:space="0" w:color="auto"/>
        <w:left w:val="none" w:sz="0" w:space="0" w:color="auto"/>
        <w:bottom w:val="none" w:sz="0" w:space="0" w:color="auto"/>
        <w:right w:val="none" w:sz="0" w:space="0" w:color="auto"/>
      </w:divBdr>
    </w:div>
    <w:div w:id="345325755">
      <w:bodyDiv w:val="1"/>
      <w:marLeft w:val="0"/>
      <w:marRight w:val="0"/>
      <w:marTop w:val="0"/>
      <w:marBottom w:val="0"/>
      <w:divBdr>
        <w:top w:val="none" w:sz="0" w:space="0" w:color="auto"/>
        <w:left w:val="none" w:sz="0" w:space="0" w:color="auto"/>
        <w:bottom w:val="none" w:sz="0" w:space="0" w:color="auto"/>
        <w:right w:val="none" w:sz="0" w:space="0" w:color="auto"/>
      </w:divBdr>
    </w:div>
    <w:div w:id="355084364">
      <w:bodyDiv w:val="1"/>
      <w:marLeft w:val="0"/>
      <w:marRight w:val="0"/>
      <w:marTop w:val="0"/>
      <w:marBottom w:val="0"/>
      <w:divBdr>
        <w:top w:val="none" w:sz="0" w:space="0" w:color="auto"/>
        <w:left w:val="none" w:sz="0" w:space="0" w:color="auto"/>
        <w:bottom w:val="none" w:sz="0" w:space="0" w:color="auto"/>
        <w:right w:val="none" w:sz="0" w:space="0" w:color="auto"/>
      </w:divBdr>
    </w:div>
    <w:div w:id="357892272">
      <w:bodyDiv w:val="1"/>
      <w:marLeft w:val="0"/>
      <w:marRight w:val="0"/>
      <w:marTop w:val="0"/>
      <w:marBottom w:val="0"/>
      <w:divBdr>
        <w:top w:val="none" w:sz="0" w:space="0" w:color="auto"/>
        <w:left w:val="none" w:sz="0" w:space="0" w:color="auto"/>
        <w:bottom w:val="none" w:sz="0" w:space="0" w:color="auto"/>
        <w:right w:val="none" w:sz="0" w:space="0" w:color="auto"/>
      </w:divBdr>
    </w:div>
    <w:div w:id="360477755">
      <w:bodyDiv w:val="1"/>
      <w:marLeft w:val="0"/>
      <w:marRight w:val="0"/>
      <w:marTop w:val="0"/>
      <w:marBottom w:val="0"/>
      <w:divBdr>
        <w:top w:val="none" w:sz="0" w:space="0" w:color="auto"/>
        <w:left w:val="none" w:sz="0" w:space="0" w:color="auto"/>
        <w:bottom w:val="none" w:sz="0" w:space="0" w:color="auto"/>
        <w:right w:val="none" w:sz="0" w:space="0" w:color="auto"/>
      </w:divBdr>
    </w:div>
    <w:div w:id="361129976">
      <w:bodyDiv w:val="1"/>
      <w:marLeft w:val="0"/>
      <w:marRight w:val="0"/>
      <w:marTop w:val="0"/>
      <w:marBottom w:val="0"/>
      <w:divBdr>
        <w:top w:val="none" w:sz="0" w:space="0" w:color="auto"/>
        <w:left w:val="none" w:sz="0" w:space="0" w:color="auto"/>
        <w:bottom w:val="none" w:sz="0" w:space="0" w:color="auto"/>
        <w:right w:val="none" w:sz="0" w:space="0" w:color="auto"/>
      </w:divBdr>
    </w:div>
    <w:div w:id="363600578">
      <w:bodyDiv w:val="1"/>
      <w:marLeft w:val="0"/>
      <w:marRight w:val="0"/>
      <w:marTop w:val="0"/>
      <w:marBottom w:val="0"/>
      <w:divBdr>
        <w:top w:val="none" w:sz="0" w:space="0" w:color="auto"/>
        <w:left w:val="none" w:sz="0" w:space="0" w:color="auto"/>
        <w:bottom w:val="none" w:sz="0" w:space="0" w:color="auto"/>
        <w:right w:val="none" w:sz="0" w:space="0" w:color="auto"/>
      </w:divBdr>
    </w:div>
    <w:div w:id="382558135">
      <w:bodyDiv w:val="1"/>
      <w:marLeft w:val="0"/>
      <w:marRight w:val="0"/>
      <w:marTop w:val="0"/>
      <w:marBottom w:val="0"/>
      <w:divBdr>
        <w:top w:val="none" w:sz="0" w:space="0" w:color="auto"/>
        <w:left w:val="none" w:sz="0" w:space="0" w:color="auto"/>
        <w:bottom w:val="none" w:sz="0" w:space="0" w:color="auto"/>
        <w:right w:val="none" w:sz="0" w:space="0" w:color="auto"/>
      </w:divBdr>
    </w:div>
    <w:div w:id="391269309">
      <w:bodyDiv w:val="1"/>
      <w:marLeft w:val="0"/>
      <w:marRight w:val="0"/>
      <w:marTop w:val="0"/>
      <w:marBottom w:val="0"/>
      <w:divBdr>
        <w:top w:val="none" w:sz="0" w:space="0" w:color="auto"/>
        <w:left w:val="none" w:sz="0" w:space="0" w:color="auto"/>
        <w:bottom w:val="none" w:sz="0" w:space="0" w:color="auto"/>
        <w:right w:val="none" w:sz="0" w:space="0" w:color="auto"/>
      </w:divBdr>
    </w:div>
    <w:div w:id="395470791">
      <w:bodyDiv w:val="1"/>
      <w:marLeft w:val="0"/>
      <w:marRight w:val="0"/>
      <w:marTop w:val="0"/>
      <w:marBottom w:val="0"/>
      <w:divBdr>
        <w:top w:val="none" w:sz="0" w:space="0" w:color="auto"/>
        <w:left w:val="none" w:sz="0" w:space="0" w:color="auto"/>
        <w:bottom w:val="none" w:sz="0" w:space="0" w:color="auto"/>
        <w:right w:val="none" w:sz="0" w:space="0" w:color="auto"/>
      </w:divBdr>
    </w:div>
    <w:div w:id="400754188">
      <w:bodyDiv w:val="1"/>
      <w:marLeft w:val="0"/>
      <w:marRight w:val="0"/>
      <w:marTop w:val="0"/>
      <w:marBottom w:val="0"/>
      <w:divBdr>
        <w:top w:val="none" w:sz="0" w:space="0" w:color="auto"/>
        <w:left w:val="none" w:sz="0" w:space="0" w:color="auto"/>
        <w:bottom w:val="none" w:sz="0" w:space="0" w:color="auto"/>
        <w:right w:val="none" w:sz="0" w:space="0" w:color="auto"/>
      </w:divBdr>
    </w:div>
    <w:div w:id="402871828">
      <w:bodyDiv w:val="1"/>
      <w:marLeft w:val="0"/>
      <w:marRight w:val="0"/>
      <w:marTop w:val="0"/>
      <w:marBottom w:val="0"/>
      <w:divBdr>
        <w:top w:val="none" w:sz="0" w:space="0" w:color="auto"/>
        <w:left w:val="none" w:sz="0" w:space="0" w:color="auto"/>
        <w:bottom w:val="none" w:sz="0" w:space="0" w:color="auto"/>
        <w:right w:val="none" w:sz="0" w:space="0" w:color="auto"/>
      </w:divBdr>
    </w:div>
    <w:div w:id="407651465">
      <w:bodyDiv w:val="1"/>
      <w:marLeft w:val="0"/>
      <w:marRight w:val="0"/>
      <w:marTop w:val="0"/>
      <w:marBottom w:val="0"/>
      <w:divBdr>
        <w:top w:val="none" w:sz="0" w:space="0" w:color="auto"/>
        <w:left w:val="none" w:sz="0" w:space="0" w:color="auto"/>
        <w:bottom w:val="none" w:sz="0" w:space="0" w:color="auto"/>
        <w:right w:val="none" w:sz="0" w:space="0" w:color="auto"/>
      </w:divBdr>
    </w:div>
    <w:div w:id="409499961">
      <w:bodyDiv w:val="1"/>
      <w:marLeft w:val="0"/>
      <w:marRight w:val="0"/>
      <w:marTop w:val="0"/>
      <w:marBottom w:val="0"/>
      <w:divBdr>
        <w:top w:val="none" w:sz="0" w:space="0" w:color="auto"/>
        <w:left w:val="none" w:sz="0" w:space="0" w:color="auto"/>
        <w:bottom w:val="none" w:sz="0" w:space="0" w:color="auto"/>
        <w:right w:val="none" w:sz="0" w:space="0" w:color="auto"/>
      </w:divBdr>
    </w:div>
    <w:div w:id="411506639">
      <w:bodyDiv w:val="1"/>
      <w:marLeft w:val="0"/>
      <w:marRight w:val="0"/>
      <w:marTop w:val="0"/>
      <w:marBottom w:val="0"/>
      <w:divBdr>
        <w:top w:val="none" w:sz="0" w:space="0" w:color="auto"/>
        <w:left w:val="none" w:sz="0" w:space="0" w:color="auto"/>
        <w:bottom w:val="none" w:sz="0" w:space="0" w:color="auto"/>
        <w:right w:val="none" w:sz="0" w:space="0" w:color="auto"/>
      </w:divBdr>
    </w:div>
    <w:div w:id="412892201">
      <w:bodyDiv w:val="1"/>
      <w:marLeft w:val="0"/>
      <w:marRight w:val="0"/>
      <w:marTop w:val="0"/>
      <w:marBottom w:val="0"/>
      <w:divBdr>
        <w:top w:val="none" w:sz="0" w:space="0" w:color="auto"/>
        <w:left w:val="none" w:sz="0" w:space="0" w:color="auto"/>
        <w:bottom w:val="none" w:sz="0" w:space="0" w:color="auto"/>
        <w:right w:val="none" w:sz="0" w:space="0" w:color="auto"/>
      </w:divBdr>
    </w:div>
    <w:div w:id="428504700">
      <w:bodyDiv w:val="1"/>
      <w:marLeft w:val="0"/>
      <w:marRight w:val="0"/>
      <w:marTop w:val="0"/>
      <w:marBottom w:val="0"/>
      <w:divBdr>
        <w:top w:val="none" w:sz="0" w:space="0" w:color="auto"/>
        <w:left w:val="none" w:sz="0" w:space="0" w:color="auto"/>
        <w:bottom w:val="none" w:sz="0" w:space="0" w:color="auto"/>
        <w:right w:val="none" w:sz="0" w:space="0" w:color="auto"/>
      </w:divBdr>
    </w:div>
    <w:div w:id="432483540">
      <w:bodyDiv w:val="1"/>
      <w:marLeft w:val="0"/>
      <w:marRight w:val="0"/>
      <w:marTop w:val="0"/>
      <w:marBottom w:val="0"/>
      <w:divBdr>
        <w:top w:val="none" w:sz="0" w:space="0" w:color="auto"/>
        <w:left w:val="none" w:sz="0" w:space="0" w:color="auto"/>
        <w:bottom w:val="none" w:sz="0" w:space="0" w:color="auto"/>
        <w:right w:val="none" w:sz="0" w:space="0" w:color="auto"/>
      </w:divBdr>
    </w:div>
    <w:div w:id="435636855">
      <w:bodyDiv w:val="1"/>
      <w:marLeft w:val="0"/>
      <w:marRight w:val="0"/>
      <w:marTop w:val="0"/>
      <w:marBottom w:val="0"/>
      <w:divBdr>
        <w:top w:val="none" w:sz="0" w:space="0" w:color="auto"/>
        <w:left w:val="none" w:sz="0" w:space="0" w:color="auto"/>
        <w:bottom w:val="none" w:sz="0" w:space="0" w:color="auto"/>
        <w:right w:val="none" w:sz="0" w:space="0" w:color="auto"/>
      </w:divBdr>
    </w:div>
    <w:div w:id="436757219">
      <w:bodyDiv w:val="1"/>
      <w:marLeft w:val="0"/>
      <w:marRight w:val="0"/>
      <w:marTop w:val="0"/>
      <w:marBottom w:val="0"/>
      <w:divBdr>
        <w:top w:val="none" w:sz="0" w:space="0" w:color="auto"/>
        <w:left w:val="none" w:sz="0" w:space="0" w:color="auto"/>
        <w:bottom w:val="none" w:sz="0" w:space="0" w:color="auto"/>
        <w:right w:val="none" w:sz="0" w:space="0" w:color="auto"/>
      </w:divBdr>
    </w:div>
    <w:div w:id="439302326">
      <w:bodyDiv w:val="1"/>
      <w:marLeft w:val="0"/>
      <w:marRight w:val="0"/>
      <w:marTop w:val="0"/>
      <w:marBottom w:val="0"/>
      <w:divBdr>
        <w:top w:val="none" w:sz="0" w:space="0" w:color="auto"/>
        <w:left w:val="none" w:sz="0" w:space="0" w:color="auto"/>
        <w:bottom w:val="none" w:sz="0" w:space="0" w:color="auto"/>
        <w:right w:val="none" w:sz="0" w:space="0" w:color="auto"/>
      </w:divBdr>
    </w:div>
    <w:div w:id="445782306">
      <w:bodyDiv w:val="1"/>
      <w:marLeft w:val="0"/>
      <w:marRight w:val="0"/>
      <w:marTop w:val="0"/>
      <w:marBottom w:val="0"/>
      <w:divBdr>
        <w:top w:val="none" w:sz="0" w:space="0" w:color="auto"/>
        <w:left w:val="none" w:sz="0" w:space="0" w:color="auto"/>
        <w:bottom w:val="none" w:sz="0" w:space="0" w:color="auto"/>
        <w:right w:val="none" w:sz="0" w:space="0" w:color="auto"/>
      </w:divBdr>
    </w:div>
    <w:div w:id="453600917">
      <w:bodyDiv w:val="1"/>
      <w:marLeft w:val="0"/>
      <w:marRight w:val="0"/>
      <w:marTop w:val="0"/>
      <w:marBottom w:val="0"/>
      <w:divBdr>
        <w:top w:val="none" w:sz="0" w:space="0" w:color="auto"/>
        <w:left w:val="none" w:sz="0" w:space="0" w:color="auto"/>
        <w:bottom w:val="none" w:sz="0" w:space="0" w:color="auto"/>
        <w:right w:val="none" w:sz="0" w:space="0" w:color="auto"/>
      </w:divBdr>
    </w:div>
    <w:div w:id="455369311">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5050523">
      <w:bodyDiv w:val="1"/>
      <w:marLeft w:val="0"/>
      <w:marRight w:val="0"/>
      <w:marTop w:val="0"/>
      <w:marBottom w:val="0"/>
      <w:divBdr>
        <w:top w:val="none" w:sz="0" w:space="0" w:color="auto"/>
        <w:left w:val="none" w:sz="0" w:space="0" w:color="auto"/>
        <w:bottom w:val="none" w:sz="0" w:space="0" w:color="auto"/>
        <w:right w:val="none" w:sz="0" w:space="0" w:color="auto"/>
      </w:divBdr>
    </w:div>
    <w:div w:id="466238215">
      <w:bodyDiv w:val="1"/>
      <w:marLeft w:val="0"/>
      <w:marRight w:val="0"/>
      <w:marTop w:val="0"/>
      <w:marBottom w:val="0"/>
      <w:divBdr>
        <w:top w:val="none" w:sz="0" w:space="0" w:color="auto"/>
        <w:left w:val="none" w:sz="0" w:space="0" w:color="auto"/>
        <w:bottom w:val="none" w:sz="0" w:space="0" w:color="auto"/>
        <w:right w:val="none" w:sz="0" w:space="0" w:color="auto"/>
      </w:divBdr>
    </w:div>
    <w:div w:id="467431752">
      <w:bodyDiv w:val="1"/>
      <w:marLeft w:val="0"/>
      <w:marRight w:val="0"/>
      <w:marTop w:val="0"/>
      <w:marBottom w:val="0"/>
      <w:divBdr>
        <w:top w:val="none" w:sz="0" w:space="0" w:color="auto"/>
        <w:left w:val="none" w:sz="0" w:space="0" w:color="auto"/>
        <w:bottom w:val="none" w:sz="0" w:space="0" w:color="auto"/>
        <w:right w:val="none" w:sz="0" w:space="0" w:color="auto"/>
      </w:divBdr>
    </w:div>
    <w:div w:id="472720184">
      <w:bodyDiv w:val="1"/>
      <w:marLeft w:val="0"/>
      <w:marRight w:val="0"/>
      <w:marTop w:val="0"/>
      <w:marBottom w:val="0"/>
      <w:divBdr>
        <w:top w:val="none" w:sz="0" w:space="0" w:color="auto"/>
        <w:left w:val="none" w:sz="0" w:space="0" w:color="auto"/>
        <w:bottom w:val="none" w:sz="0" w:space="0" w:color="auto"/>
        <w:right w:val="none" w:sz="0" w:space="0" w:color="auto"/>
      </w:divBdr>
    </w:div>
    <w:div w:id="478692541">
      <w:bodyDiv w:val="1"/>
      <w:marLeft w:val="0"/>
      <w:marRight w:val="0"/>
      <w:marTop w:val="0"/>
      <w:marBottom w:val="0"/>
      <w:divBdr>
        <w:top w:val="none" w:sz="0" w:space="0" w:color="auto"/>
        <w:left w:val="none" w:sz="0" w:space="0" w:color="auto"/>
        <w:bottom w:val="none" w:sz="0" w:space="0" w:color="auto"/>
        <w:right w:val="none" w:sz="0" w:space="0" w:color="auto"/>
      </w:divBdr>
    </w:div>
    <w:div w:id="479620557">
      <w:bodyDiv w:val="1"/>
      <w:marLeft w:val="0"/>
      <w:marRight w:val="0"/>
      <w:marTop w:val="0"/>
      <w:marBottom w:val="0"/>
      <w:divBdr>
        <w:top w:val="none" w:sz="0" w:space="0" w:color="auto"/>
        <w:left w:val="none" w:sz="0" w:space="0" w:color="auto"/>
        <w:bottom w:val="none" w:sz="0" w:space="0" w:color="auto"/>
        <w:right w:val="none" w:sz="0" w:space="0" w:color="auto"/>
      </w:divBdr>
    </w:div>
    <w:div w:id="483590347">
      <w:bodyDiv w:val="1"/>
      <w:marLeft w:val="0"/>
      <w:marRight w:val="0"/>
      <w:marTop w:val="0"/>
      <w:marBottom w:val="0"/>
      <w:divBdr>
        <w:top w:val="none" w:sz="0" w:space="0" w:color="auto"/>
        <w:left w:val="none" w:sz="0" w:space="0" w:color="auto"/>
        <w:bottom w:val="none" w:sz="0" w:space="0" w:color="auto"/>
        <w:right w:val="none" w:sz="0" w:space="0" w:color="auto"/>
      </w:divBdr>
    </w:div>
    <w:div w:id="488328099">
      <w:bodyDiv w:val="1"/>
      <w:marLeft w:val="0"/>
      <w:marRight w:val="0"/>
      <w:marTop w:val="0"/>
      <w:marBottom w:val="0"/>
      <w:divBdr>
        <w:top w:val="none" w:sz="0" w:space="0" w:color="auto"/>
        <w:left w:val="none" w:sz="0" w:space="0" w:color="auto"/>
        <w:bottom w:val="none" w:sz="0" w:space="0" w:color="auto"/>
        <w:right w:val="none" w:sz="0" w:space="0" w:color="auto"/>
      </w:divBdr>
    </w:div>
    <w:div w:id="488909406">
      <w:bodyDiv w:val="1"/>
      <w:marLeft w:val="0"/>
      <w:marRight w:val="0"/>
      <w:marTop w:val="0"/>
      <w:marBottom w:val="0"/>
      <w:divBdr>
        <w:top w:val="none" w:sz="0" w:space="0" w:color="auto"/>
        <w:left w:val="none" w:sz="0" w:space="0" w:color="auto"/>
        <w:bottom w:val="none" w:sz="0" w:space="0" w:color="auto"/>
        <w:right w:val="none" w:sz="0" w:space="0" w:color="auto"/>
      </w:divBdr>
    </w:div>
    <w:div w:id="491258305">
      <w:bodyDiv w:val="1"/>
      <w:marLeft w:val="0"/>
      <w:marRight w:val="0"/>
      <w:marTop w:val="0"/>
      <w:marBottom w:val="0"/>
      <w:divBdr>
        <w:top w:val="none" w:sz="0" w:space="0" w:color="auto"/>
        <w:left w:val="none" w:sz="0" w:space="0" w:color="auto"/>
        <w:bottom w:val="none" w:sz="0" w:space="0" w:color="auto"/>
        <w:right w:val="none" w:sz="0" w:space="0" w:color="auto"/>
      </w:divBdr>
    </w:div>
    <w:div w:id="493373909">
      <w:bodyDiv w:val="1"/>
      <w:marLeft w:val="0"/>
      <w:marRight w:val="0"/>
      <w:marTop w:val="0"/>
      <w:marBottom w:val="0"/>
      <w:divBdr>
        <w:top w:val="none" w:sz="0" w:space="0" w:color="auto"/>
        <w:left w:val="none" w:sz="0" w:space="0" w:color="auto"/>
        <w:bottom w:val="none" w:sz="0" w:space="0" w:color="auto"/>
        <w:right w:val="none" w:sz="0" w:space="0" w:color="auto"/>
      </w:divBdr>
    </w:div>
    <w:div w:id="497040294">
      <w:bodyDiv w:val="1"/>
      <w:marLeft w:val="0"/>
      <w:marRight w:val="0"/>
      <w:marTop w:val="0"/>
      <w:marBottom w:val="0"/>
      <w:divBdr>
        <w:top w:val="none" w:sz="0" w:space="0" w:color="auto"/>
        <w:left w:val="none" w:sz="0" w:space="0" w:color="auto"/>
        <w:bottom w:val="none" w:sz="0" w:space="0" w:color="auto"/>
        <w:right w:val="none" w:sz="0" w:space="0" w:color="auto"/>
      </w:divBdr>
    </w:div>
    <w:div w:id="499198049">
      <w:bodyDiv w:val="1"/>
      <w:marLeft w:val="0"/>
      <w:marRight w:val="0"/>
      <w:marTop w:val="0"/>
      <w:marBottom w:val="0"/>
      <w:divBdr>
        <w:top w:val="none" w:sz="0" w:space="0" w:color="auto"/>
        <w:left w:val="none" w:sz="0" w:space="0" w:color="auto"/>
        <w:bottom w:val="none" w:sz="0" w:space="0" w:color="auto"/>
        <w:right w:val="none" w:sz="0" w:space="0" w:color="auto"/>
      </w:divBdr>
    </w:div>
    <w:div w:id="503397178">
      <w:bodyDiv w:val="1"/>
      <w:marLeft w:val="0"/>
      <w:marRight w:val="0"/>
      <w:marTop w:val="0"/>
      <w:marBottom w:val="0"/>
      <w:divBdr>
        <w:top w:val="none" w:sz="0" w:space="0" w:color="auto"/>
        <w:left w:val="none" w:sz="0" w:space="0" w:color="auto"/>
        <w:bottom w:val="none" w:sz="0" w:space="0" w:color="auto"/>
        <w:right w:val="none" w:sz="0" w:space="0" w:color="auto"/>
      </w:divBdr>
    </w:div>
    <w:div w:id="506793269">
      <w:bodyDiv w:val="1"/>
      <w:marLeft w:val="0"/>
      <w:marRight w:val="0"/>
      <w:marTop w:val="0"/>
      <w:marBottom w:val="0"/>
      <w:divBdr>
        <w:top w:val="none" w:sz="0" w:space="0" w:color="auto"/>
        <w:left w:val="none" w:sz="0" w:space="0" w:color="auto"/>
        <w:bottom w:val="none" w:sz="0" w:space="0" w:color="auto"/>
        <w:right w:val="none" w:sz="0" w:space="0" w:color="auto"/>
      </w:divBdr>
    </w:div>
    <w:div w:id="517082756">
      <w:bodyDiv w:val="1"/>
      <w:marLeft w:val="0"/>
      <w:marRight w:val="0"/>
      <w:marTop w:val="0"/>
      <w:marBottom w:val="0"/>
      <w:divBdr>
        <w:top w:val="none" w:sz="0" w:space="0" w:color="auto"/>
        <w:left w:val="none" w:sz="0" w:space="0" w:color="auto"/>
        <w:bottom w:val="none" w:sz="0" w:space="0" w:color="auto"/>
        <w:right w:val="none" w:sz="0" w:space="0" w:color="auto"/>
      </w:divBdr>
    </w:div>
    <w:div w:id="520435552">
      <w:bodyDiv w:val="1"/>
      <w:marLeft w:val="0"/>
      <w:marRight w:val="0"/>
      <w:marTop w:val="0"/>
      <w:marBottom w:val="0"/>
      <w:divBdr>
        <w:top w:val="none" w:sz="0" w:space="0" w:color="auto"/>
        <w:left w:val="none" w:sz="0" w:space="0" w:color="auto"/>
        <w:bottom w:val="none" w:sz="0" w:space="0" w:color="auto"/>
        <w:right w:val="none" w:sz="0" w:space="0" w:color="auto"/>
      </w:divBdr>
    </w:div>
    <w:div w:id="522133444">
      <w:bodyDiv w:val="1"/>
      <w:marLeft w:val="0"/>
      <w:marRight w:val="0"/>
      <w:marTop w:val="0"/>
      <w:marBottom w:val="0"/>
      <w:divBdr>
        <w:top w:val="none" w:sz="0" w:space="0" w:color="auto"/>
        <w:left w:val="none" w:sz="0" w:space="0" w:color="auto"/>
        <w:bottom w:val="none" w:sz="0" w:space="0" w:color="auto"/>
        <w:right w:val="none" w:sz="0" w:space="0" w:color="auto"/>
      </w:divBdr>
    </w:div>
    <w:div w:id="52286888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0213535">
      <w:bodyDiv w:val="1"/>
      <w:marLeft w:val="0"/>
      <w:marRight w:val="0"/>
      <w:marTop w:val="0"/>
      <w:marBottom w:val="0"/>
      <w:divBdr>
        <w:top w:val="none" w:sz="0" w:space="0" w:color="auto"/>
        <w:left w:val="none" w:sz="0" w:space="0" w:color="auto"/>
        <w:bottom w:val="none" w:sz="0" w:space="0" w:color="auto"/>
        <w:right w:val="none" w:sz="0" w:space="0" w:color="auto"/>
      </w:divBdr>
    </w:div>
    <w:div w:id="543106496">
      <w:bodyDiv w:val="1"/>
      <w:marLeft w:val="0"/>
      <w:marRight w:val="0"/>
      <w:marTop w:val="0"/>
      <w:marBottom w:val="0"/>
      <w:divBdr>
        <w:top w:val="none" w:sz="0" w:space="0" w:color="auto"/>
        <w:left w:val="none" w:sz="0" w:space="0" w:color="auto"/>
        <w:bottom w:val="none" w:sz="0" w:space="0" w:color="auto"/>
        <w:right w:val="none" w:sz="0" w:space="0" w:color="auto"/>
      </w:divBdr>
    </w:div>
    <w:div w:id="546530462">
      <w:bodyDiv w:val="1"/>
      <w:marLeft w:val="0"/>
      <w:marRight w:val="0"/>
      <w:marTop w:val="0"/>
      <w:marBottom w:val="0"/>
      <w:divBdr>
        <w:top w:val="none" w:sz="0" w:space="0" w:color="auto"/>
        <w:left w:val="none" w:sz="0" w:space="0" w:color="auto"/>
        <w:bottom w:val="none" w:sz="0" w:space="0" w:color="auto"/>
        <w:right w:val="none" w:sz="0" w:space="0" w:color="auto"/>
      </w:divBdr>
    </w:div>
    <w:div w:id="547423134">
      <w:bodyDiv w:val="1"/>
      <w:marLeft w:val="0"/>
      <w:marRight w:val="0"/>
      <w:marTop w:val="0"/>
      <w:marBottom w:val="0"/>
      <w:divBdr>
        <w:top w:val="none" w:sz="0" w:space="0" w:color="auto"/>
        <w:left w:val="none" w:sz="0" w:space="0" w:color="auto"/>
        <w:bottom w:val="none" w:sz="0" w:space="0" w:color="auto"/>
        <w:right w:val="none" w:sz="0" w:space="0" w:color="auto"/>
      </w:divBdr>
    </w:div>
    <w:div w:id="549809648">
      <w:bodyDiv w:val="1"/>
      <w:marLeft w:val="0"/>
      <w:marRight w:val="0"/>
      <w:marTop w:val="0"/>
      <w:marBottom w:val="0"/>
      <w:divBdr>
        <w:top w:val="none" w:sz="0" w:space="0" w:color="auto"/>
        <w:left w:val="none" w:sz="0" w:space="0" w:color="auto"/>
        <w:bottom w:val="none" w:sz="0" w:space="0" w:color="auto"/>
        <w:right w:val="none" w:sz="0" w:space="0" w:color="auto"/>
      </w:divBdr>
    </w:div>
    <w:div w:id="550656916">
      <w:bodyDiv w:val="1"/>
      <w:marLeft w:val="0"/>
      <w:marRight w:val="0"/>
      <w:marTop w:val="0"/>
      <w:marBottom w:val="0"/>
      <w:divBdr>
        <w:top w:val="none" w:sz="0" w:space="0" w:color="auto"/>
        <w:left w:val="none" w:sz="0" w:space="0" w:color="auto"/>
        <w:bottom w:val="none" w:sz="0" w:space="0" w:color="auto"/>
        <w:right w:val="none" w:sz="0" w:space="0" w:color="auto"/>
      </w:divBdr>
    </w:div>
    <w:div w:id="558444558">
      <w:bodyDiv w:val="1"/>
      <w:marLeft w:val="0"/>
      <w:marRight w:val="0"/>
      <w:marTop w:val="0"/>
      <w:marBottom w:val="0"/>
      <w:divBdr>
        <w:top w:val="none" w:sz="0" w:space="0" w:color="auto"/>
        <w:left w:val="none" w:sz="0" w:space="0" w:color="auto"/>
        <w:bottom w:val="none" w:sz="0" w:space="0" w:color="auto"/>
        <w:right w:val="none" w:sz="0" w:space="0" w:color="auto"/>
      </w:divBdr>
    </w:div>
    <w:div w:id="563419421">
      <w:bodyDiv w:val="1"/>
      <w:marLeft w:val="0"/>
      <w:marRight w:val="0"/>
      <w:marTop w:val="0"/>
      <w:marBottom w:val="0"/>
      <w:divBdr>
        <w:top w:val="none" w:sz="0" w:space="0" w:color="auto"/>
        <w:left w:val="none" w:sz="0" w:space="0" w:color="auto"/>
        <w:bottom w:val="none" w:sz="0" w:space="0" w:color="auto"/>
        <w:right w:val="none" w:sz="0" w:space="0" w:color="auto"/>
      </w:divBdr>
    </w:div>
    <w:div w:id="566038555">
      <w:bodyDiv w:val="1"/>
      <w:marLeft w:val="0"/>
      <w:marRight w:val="0"/>
      <w:marTop w:val="0"/>
      <w:marBottom w:val="0"/>
      <w:divBdr>
        <w:top w:val="none" w:sz="0" w:space="0" w:color="auto"/>
        <w:left w:val="none" w:sz="0" w:space="0" w:color="auto"/>
        <w:bottom w:val="none" w:sz="0" w:space="0" w:color="auto"/>
        <w:right w:val="none" w:sz="0" w:space="0" w:color="auto"/>
      </w:divBdr>
    </w:div>
    <w:div w:id="566722203">
      <w:bodyDiv w:val="1"/>
      <w:marLeft w:val="0"/>
      <w:marRight w:val="0"/>
      <w:marTop w:val="0"/>
      <w:marBottom w:val="0"/>
      <w:divBdr>
        <w:top w:val="none" w:sz="0" w:space="0" w:color="auto"/>
        <w:left w:val="none" w:sz="0" w:space="0" w:color="auto"/>
        <w:bottom w:val="none" w:sz="0" w:space="0" w:color="auto"/>
        <w:right w:val="none" w:sz="0" w:space="0" w:color="auto"/>
      </w:divBdr>
    </w:div>
    <w:div w:id="576130927">
      <w:bodyDiv w:val="1"/>
      <w:marLeft w:val="0"/>
      <w:marRight w:val="0"/>
      <w:marTop w:val="0"/>
      <w:marBottom w:val="0"/>
      <w:divBdr>
        <w:top w:val="none" w:sz="0" w:space="0" w:color="auto"/>
        <w:left w:val="none" w:sz="0" w:space="0" w:color="auto"/>
        <w:bottom w:val="none" w:sz="0" w:space="0" w:color="auto"/>
        <w:right w:val="none" w:sz="0" w:space="0" w:color="auto"/>
      </w:divBdr>
    </w:div>
    <w:div w:id="584220103">
      <w:bodyDiv w:val="1"/>
      <w:marLeft w:val="0"/>
      <w:marRight w:val="0"/>
      <w:marTop w:val="0"/>
      <w:marBottom w:val="0"/>
      <w:divBdr>
        <w:top w:val="none" w:sz="0" w:space="0" w:color="auto"/>
        <w:left w:val="none" w:sz="0" w:space="0" w:color="auto"/>
        <w:bottom w:val="none" w:sz="0" w:space="0" w:color="auto"/>
        <w:right w:val="none" w:sz="0" w:space="0" w:color="auto"/>
      </w:divBdr>
    </w:div>
    <w:div w:id="585041107">
      <w:bodyDiv w:val="1"/>
      <w:marLeft w:val="0"/>
      <w:marRight w:val="0"/>
      <w:marTop w:val="0"/>
      <w:marBottom w:val="0"/>
      <w:divBdr>
        <w:top w:val="none" w:sz="0" w:space="0" w:color="auto"/>
        <w:left w:val="none" w:sz="0" w:space="0" w:color="auto"/>
        <w:bottom w:val="none" w:sz="0" w:space="0" w:color="auto"/>
        <w:right w:val="none" w:sz="0" w:space="0" w:color="auto"/>
      </w:divBdr>
    </w:div>
    <w:div w:id="592082249">
      <w:bodyDiv w:val="1"/>
      <w:marLeft w:val="0"/>
      <w:marRight w:val="0"/>
      <w:marTop w:val="0"/>
      <w:marBottom w:val="0"/>
      <w:divBdr>
        <w:top w:val="none" w:sz="0" w:space="0" w:color="auto"/>
        <w:left w:val="none" w:sz="0" w:space="0" w:color="auto"/>
        <w:bottom w:val="none" w:sz="0" w:space="0" w:color="auto"/>
        <w:right w:val="none" w:sz="0" w:space="0" w:color="auto"/>
      </w:divBdr>
    </w:div>
    <w:div w:id="598871343">
      <w:bodyDiv w:val="1"/>
      <w:marLeft w:val="0"/>
      <w:marRight w:val="0"/>
      <w:marTop w:val="0"/>
      <w:marBottom w:val="0"/>
      <w:divBdr>
        <w:top w:val="none" w:sz="0" w:space="0" w:color="auto"/>
        <w:left w:val="none" w:sz="0" w:space="0" w:color="auto"/>
        <w:bottom w:val="none" w:sz="0" w:space="0" w:color="auto"/>
        <w:right w:val="none" w:sz="0" w:space="0" w:color="auto"/>
      </w:divBdr>
    </w:div>
    <w:div w:id="600725799">
      <w:bodyDiv w:val="1"/>
      <w:marLeft w:val="0"/>
      <w:marRight w:val="0"/>
      <w:marTop w:val="0"/>
      <w:marBottom w:val="0"/>
      <w:divBdr>
        <w:top w:val="none" w:sz="0" w:space="0" w:color="auto"/>
        <w:left w:val="none" w:sz="0" w:space="0" w:color="auto"/>
        <w:bottom w:val="none" w:sz="0" w:space="0" w:color="auto"/>
        <w:right w:val="none" w:sz="0" w:space="0" w:color="auto"/>
      </w:divBdr>
    </w:div>
    <w:div w:id="601765507">
      <w:bodyDiv w:val="1"/>
      <w:marLeft w:val="0"/>
      <w:marRight w:val="0"/>
      <w:marTop w:val="0"/>
      <w:marBottom w:val="0"/>
      <w:divBdr>
        <w:top w:val="none" w:sz="0" w:space="0" w:color="auto"/>
        <w:left w:val="none" w:sz="0" w:space="0" w:color="auto"/>
        <w:bottom w:val="none" w:sz="0" w:space="0" w:color="auto"/>
        <w:right w:val="none" w:sz="0" w:space="0" w:color="auto"/>
      </w:divBdr>
    </w:div>
    <w:div w:id="604851566">
      <w:bodyDiv w:val="1"/>
      <w:marLeft w:val="0"/>
      <w:marRight w:val="0"/>
      <w:marTop w:val="0"/>
      <w:marBottom w:val="0"/>
      <w:divBdr>
        <w:top w:val="none" w:sz="0" w:space="0" w:color="auto"/>
        <w:left w:val="none" w:sz="0" w:space="0" w:color="auto"/>
        <w:bottom w:val="none" w:sz="0" w:space="0" w:color="auto"/>
        <w:right w:val="none" w:sz="0" w:space="0" w:color="auto"/>
      </w:divBdr>
    </w:div>
    <w:div w:id="605692999">
      <w:bodyDiv w:val="1"/>
      <w:marLeft w:val="0"/>
      <w:marRight w:val="0"/>
      <w:marTop w:val="0"/>
      <w:marBottom w:val="0"/>
      <w:divBdr>
        <w:top w:val="none" w:sz="0" w:space="0" w:color="auto"/>
        <w:left w:val="none" w:sz="0" w:space="0" w:color="auto"/>
        <w:bottom w:val="none" w:sz="0" w:space="0" w:color="auto"/>
        <w:right w:val="none" w:sz="0" w:space="0" w:color="auto"/>
      </w:divBdr>
    </w:div>
    <w:div w:id="607086013">
      <w:bodyDiv w:val="1"/>
      <w:marLeft w:val="0"/>
      <w:marRight w:val="0"/>
      <w:marTop w:val="0"/>
      <w:marBottom w:val="0"/>
      <w:divBdr>
        <w:top w:val="none" w:sz="0" w:space="0" w:color="auto"/>
        <w:left w:val="none" w:sz="0" w:space="0" w:color="auto"/>
        <w:bottom w:val="none" w:sz="0" w:space="0" w:color="auto"/>
        <w:right w:val="none" w:sz="0" w:space="0" w:color="auto"/>
      </w:divBdr>
    </w:div>
    <w:div w:id="610626180">
      <w:bodyDiv w:val="1"/>
      <w:marLeft w:val="0"/>
      <w:marRight w:val="0"/>
      <w:marTop w:val="0"/>
      <w:marBottom w:val="0"/>
      <w:divBdr>
        <w:top w:val="none" w:sz="0" w:space="0" w:color="auto"/>
        <w:left w:val="none" w:sz="0" w:space="0" w:color="auto"/>
        <w:bottom w:val="none" w:sz="0" w:space="0" w:color="auto"/>
        <w:right w:val="none" w:sz="0" w:space="0" w:color="auto"/>
      </w:divBdr>
    </w:div>
    <w:div w:id="611014313">
      <w:bodyDiv w:val="1"/>
      <w:marLeft w:val="0"/>
      <w:marRight w:val="0"/>
      <w:marTop w:val="0"/>
      <w:marBottom w:val="0"/>
      <w:divBdr>
        <w:top w:val="none" w:sz="0" w:space="0" w:color="auto"/>
        <w:left w:val="none" w:sz="0" w:space="0" w:color="auto"/>
        <w:bottom w:val="none" w:sz="0" w:space="0" w:color="auto"/>
        <w:right w:val="none" w:sz="0" w:space="0" w:color="auto"/>
      </w:divBdr>
    </w:div>
    <w:div w:id="613248054">
      <w:bodyDiv w:val="1"/>
      <w:marLeft w:val="0"/>
      <w:marRight w:val="0"/>
      <w:marTop w:val="0"/>
      <w:marBottom w:val="0"/>
      <w:divBdr>
        <w:top w:val="none" w:sz="0" w:space="0" w:color="auto"/>
        <w:left w:val="none" w:sz="0" w:space="0" w:color="auto"/>
        <w:bottom w:val="none" w:sz="0" w:space="0" w:color="auto"/>
        <w:right w:val="none" w:sz="0" w:space="0" w:color="auto"/>
      </w:divBdr>
    </w:div>
    <w:div w:id="616643500">
      <w:bodyDiv w:val="1"/>
      <w:marLeft w:val="0"/>
      <w:marRight w:val="0"/>
      <w:marTop w:val="0"/>
      <w:marBottom w:val="0"/>
      <w:divBdr>
        <w:top w:val="none" w:sz="0" w:space="0" w:color="auto"/>
        <w:left w:val="none" w:sz="0" w:space="0" w:color="auto"/>
        <w:bottom w:val="none" w:sz="0" w:space="0" w:color="auto"/>
        <w:right w:val="none" w:sz="0" w:space="0" w:color="auto"/>
      </w:divBdr>
    </w:div>
    <w:div w:id="624191983">
      <w:bodyDiv w:val="1"/>
      <w:marLeft w:val="0"/>
      <w:marRight w:val="0"/>
      <w:marTop w:val="0"/>
      <w:marBottom w:val="0"/>
      <w:divBdr>
        <w:top w:val="none" w:sz="0" w:space="0" w:color="auto"/>
        <w:left w:val="none" w:sz="0" w:space="0" w:color="auto"/>
        <w:bottom w:val="none" w:sz="0" w:space="0" w:color="auto"/>
        <w:right w:val="none" w:sz="0" w:space="0" w:color="auto"/>
      </w:divBdr>
    </w:div>
    <w:div w:id="627862541">
      <w:bodyDiv w:val="1"/>
      <w:marLeft w:val="0"/>
      <w:marRight w:val="0"/>
      <w:marTop w:val="0"/>
      <w:marBottom w:val="0"/>
      <w:divBdr>
        <w:top w:val="none" w:sz="0" w:space="0" w:color="auto"/>
        <w:left w:val="none" w:sz="0" w:space="0" w:color="auto"/>
        <w:bottom w:val="none" w:sz="0" w:space="0" w:color="auto"/>
        <w:right w:val="none" w:sz="0" w:space="0" w:color="auto"/>
      </w:divBdr>
    </w:div>
    <w:div w:id="629895810">
      <w:bodyDiv w:val="1"/>
      <w:marLeft w:val="0"/>
      <w:marRight w:val="0"/>
      <w:marTop w:val="0"/>
      <w:marBottom w:val="0"/>
      <w:divBdr>
        <w:top w:val="none" w:sz="0" w:space="0" w:color="auto"/>
        <w:left w:val="none" w:sz="0" w:space="0" w:color="auto"/>
        <w:bottom w:val="none" w:sz="0" w:space="0" w:color="auto"/>
        <w:right w:val="none" w:sz="0" w:space="0" w:color="auto"/>
      </w:divBdr>
    </w:div>
    <w:div w:id="634799766">
      <w:bodyDiv w:val="1"/>
      <w:marLeft w:val="0"/>
      <w:marRight w:val="0"/>
      <w:marTop w:val="0"/>
      <w:marBottom w:val="0"/>
      <w:divBdr>
        <w:top w:val="none" w:sz="0" w:space="0" w:color="auto"/>
        <w:left w:val="none" w:sz="0" w:space="0" w:color="auto"/>
        <w:bottom w:val="none" w:sz="0" w:space="0" w:color="auto"/>
        <w:right w:val="none" w:sz="0" w:space="0" w:color="auto"/>
      </w:divBdr>
    </w:div>
    <w:div w:id="638386255">
      <w:bodyDiv w:val="1"/>
      <w:marLeft w:val="0"/>
      <w:marRight w:val="0"/>
      <w:marTop w:val="0"/>
      <w:marBottom w:val="0"/>
      <w:divBdr>
        <w:top w:val="none" w:sz="0" w:space="0" w:color="auto"/>
        <w:left w:val="none" w:sz="0" w:space="0" w:color="auto"/>
        <w:bottom w:val="none" w:sz="0" w:space="0" w:color="auto"/>
        <w:right w:val="none" w:sz="0" w:space="0" w:color="auto"/>
      </w:divBdr>
    </w:div>
    <w:div w:id="640503650">
      <w:bodyDiv w:val="1"/>
      <w:marLeft w:val="0"/>
      <w:marRight w:val="0"/>
      <w:marTop w:val="0"/>
      <w:marBottom w:val="0"/>
      <w:divBdr>
        <w:top w:val="none" w:sz="0" w:space="0" w:color="auto"/>
        <w:left w:val="none" w:sz="0" w:space="0" w:color="auto"/>
        <w:bottom w:val="none" w:sz="0" w:space="0" w:color="auto"/>
        <w:right w:val="none" w:sz="0" w:space="0" w:color="auto"/>
      </w:divBdr>
    </w:div>
    <w:div w:id="646519974">
      <w:bodyDiv w:val="1"/>
      <w:marLeft w:val="0"/>
      <w:marRight w:val="0"/>
      <w:marTop w:val="0"/>
      <w:marBottom w:val="0"/>
      <w:divBdr>
        <w:top w:val="none" w:sz="0" w:space="0" w:color="auto"/>
        <w:left w:val="none" w:sz="0" w:space="0" w:color="auto"/>
        <w:bottom w:val="none" w:sz="0" w:space="0" w:color="auto"/>
        <w:right w:val="none" w:sz="0" w:space="0" w:color="auto"/>
      </w:divBdr>
    </w:div>
    <w:div w:id="649019842">
      <w:bodyDiv w:val="1"/>
      <w:marLeft w:val="0"/>
      <w:marRight w:val="0"/>
      <w:marTop w:val="0"/>
      <w:marBottom w:val="0"/>
      <w:divBdr>
        <w:top w:val="none" w:sz="0" w:space="0" w:color="auto"/>
        <w:left w:val="none" w:sz="0" w:space="0" w:color="auto"/>
        <w:bottom w:val="none" w:sz="0" w:space="0" w:color="auto"/>
        <w:right w:val="none" w:sz="0" w:space="0" w:color="auto"/>
      </w:divBdr>
    </w:div>
    <w:div w:id="649947424">
      <w:bodyDiv w:val="1"/>
      <w:marLeft w:val="0"/>
      <w:marRight w:val="0"/>
      <w:marTop w:val="0"/>
      <w:marBottom w:val="0"/>
      <w:divBdr>
        <w:top w:val="none" w:sz="0" w:space="0" w:color="auto"/>
        <w:left w:val="none" w:sz="0" w:space="0" w:color="auto"/>
        <w:bottom w:val="none" w:sz="0" w:space="0" w:color="auto"/>
        <w:right w:val="none" w:sz="0" w:space="0" w:color="auto"/>
      </w:divBdr>
    </w:div>
    <w:div w:id="650518726">
      <w:bodyDiv w:val="1"/>
      <w:marLeft w:val="0"/>
      <w:marRight w:val="0"/>
      <w:marTop w:val="0"/>
      <w:marBottom w:val="0"/>
      <w:divBdr>
        <w:top w:val="none" w:sz="0" w:space="0" w:color="auto"/>
        <w:left w:val="none" w:sz="0" w:space="0" w:color="auto"/>
        <w:bottom w:val="none" w:sz="0" w:space="0" w:color="auto"/>
        <w:right w:val="none" w:sz="0" w:space="0" w:color="auto"/>
      </w:divBdr>
    </w:div>
    <w:div w:id="652027335">
      <w:bodyDiv w:val="1"/>
      <w:marLeft w:val="0"/>
      <w:marRight w:val="0"/>
      <w:marTop w:val="0"/>
      <w:marBottom w:val="0"/>
      <w:divBdr>
        <w:top w:val="none" w:sz="0" w:space="0" w:color="auto"/>
        <w:left w:val="none" w:sz="0" w:space="0" w:color="auto"/>
        <w:bottom w:val="none" w:sz="0" w:space="0" w:color="auto"/>
        <w:right w:val="none" w:sz="0" w:space="0" w:color="auto"/>
      </w:divBdr>
    </w:div>
    <w:div w:id="665595462">
      <w:bodyDiv w:val="1"/>
      <w:marLeft w:val="0"/>
      <w:marRight w:val="0"/>
      <w:marTop w:val="0"/>
      <w:marBottom w:val="0"/>
      <w:divBdr>
        <w:top w:val="none" w:sz="0" w:space="0" w:color="auto"/>
        <w:left w:val="none" w:sz="0" w:space="0" w:color="auto"/>
        <w:bottom w:val="none" w:sz="0" w:space="0" w:color="auto"/>
        <w:right w:val="none" w:sz="0" w:space="0" w:color="auto"/>
      </w:divBdr>
    </w:div>
    <w:div w:id="683018631">
      <w:bodyDiv w:val="1"/>
      <w:marLeft w:val="0"/>
      <w:marRight w:val="0"/>
      <w:marTop w:val="0"/>
      <w:marBottom w:val="0"/>
      <w:divBdr>
        <w:top w:val="none" w:sz="0" w:space="0" w:color="auto"/>
        <w:left w:val="none" w:sz="0" w:space="0" w:color="auto"/>
        <w:bottom w:val="none" w:sz="0" w:space="0" w:color="auto"/>
        <w:right w:val="none" w:sz="0" w:space="0" w:color="auto"/>
      </w:divBdr>
    </w:div>
    <w:div w:id="696810462">
      <w:bodyDiv w:val="1"/>
      <w:marLeft w:val="0"/>
      <w:marRight w:val="0"/>
      <w:marTop w:val="0"/>
      <w:marBottom w:val="0"/>
      <w:divBdr>
        <w:top w:val="none" w:sz="0" w:space="0" w:color="auto"/>
        <w:left w:val="none" w:sz="0" w:space="0" w:color="auto"/>
        <w:bottom w:val="none" w:sz="0" w:space="0" w:color="auto"/>
        <w:right w:val="none" w:sz="0" w:space="0" w:color="auto"/>
      </w:divBdr>
    </w:div>
    <w:div w:id="700202847">
      <w:bodyDiv w:val="1"/>
      <w:marLeft w:val="0"/>
      <w:marRight w:val="0"/>
      <w:marTop w:val="0"/>
      <w:marBottom w:val="0"/>
      <w:divBdr>
        <w:top w:val="none" w:sz="0" w:space="0" w:color="auto"/>
        <w:left w:val="none" w:sz="0" w:space="0" w:color="auto"/>
        <w:bottom w:val="none" w:sz="0" w:space="0" w:color="auto"/>
        <w:right w:val="none" w:sz="0" w:space="0" w:color="auto"/>
      </w:divBdr>
    </w:div>
    <w:div w:id="700322054">
      <w:bodyDiv w:val="1"/>
      <w:marLeft w:val="0"/>
      <w:marRight w:val="0"/>
      <w:marTop w:val="0"/>
      <w:marBottom w:val="0"/>
      <w:divBdr>
        <w:top w:val="none" w:sz="0" w:space="0" w:color="auto"/>
        <w:left w:val="none" w:sz="0" w:space="0" w:color="auto"/>
        <w:bottom w:val="none" w:sz="0" w:space="0" w:color="auto"/>
        <w:right w:val="none" w:sz="0" w:space="0" w:color="auto"/>
      </w:divBdr>
    </w:div>
    <w:div w:id="702050523">
      <w:bodyDiv w:val="1"/>
      <w:marLeft w:val="0"/>
      <w:marRight w:val="0"/>
      <w:marTop w:val="0"/>
      <w:marBottom w:val="0"/>
      <w:divBdr>
        <w:top w:val="none" w:sz="0" w:space="0" w:color="auto"/>
        <w:left w:val="none" w:sz="0" w:space="0" w:color="auto"/>
        <w:bottom w:val="none" w:sz="0" w:space="0" w:color="auto"/>
        <w:right w:val="none" w:sz="0" w:space="0" w:color="auto"/>
      </w:divBdr>
    </w:div>
    <w:div w:id="705640647">
      <w:bodyDiv w:val="1"/>
      <w:marLeft w:val="0"/>
      <w:marRight w:val="0"/>
      <w:marTop w:val="0"/>
      <w:marBottom w:val="0"/>
      <w:divBdr>
        <w:top w:val="none" w:sz="0" w:space="0" w:color="auto"/>
        <w:left w:val="none" w:sz="0" w:space="0" w:color="auto"/>
        <w:bottom w:val="none" w:sz="0" w:space="0" w:color="auto"/>
        <w:right w:val="none" w:sz="0" w:space="0" w:color="auto"/>
      </w:divBdr>
    </w:div>
    <w:div w:id="715198080">
      <w:bodyDiv w:val="1"/>
      <w:marLeft w:val="0"/>
      <w:marRight w:val="0"/>
      <w:marTop w:val="0"/>
      <w:marBottom w:val="0"/>
      <w:divBdr>
        <w:top w:val="none" w:sz="0" w:space="0" w:color="auto"/>
        <w:left w:val="none" w:sz="0" w:space="0" w:color="auto"/>
        <w:bottom w:val="none" w:sz="0" w:space="0" w:color="auto"/>
        <w:right w:val="none" w:sz="0" w:space="0" w:color="auto"/>
      </w:divBdr>
    </w:div>
    <w:div w:id="717902803">
      <w:bodyDiv w:val="1"/>
      <w:marLeft w:val="0"/>
      <w:marRight w:val="0"/>
      <w:marTop w:val="0"/>
      <w:marBottom w:val="0"/>
      <w:divBdr>
        <w:top w:val="none" w:sz="0" w:space="0" w:color="auto"/>
        <w:left w:val="none" w:sz="0" w:space="0" w:color="auto"/>
        <w:bottom w:val="none" w:sz="0" w:space="0" w:color="auto"/>
        <w:right w:val="none" w:sz="0" w:space="0" w:color="auto"/>
      </w:divBdr>
    </w:div>
    <w:div w:id="732703234">
      <w:bodyDiv w:val="1"/>
      <w:marLeft w:val="0"/>
      <w:marRight w:val="0"/>
      <w:marTop w:val="0"/>
      <w:marBottom w:val="0"/>
      <w:divBdr>
        <w:top w:val="none" w:sz="0" w:space="0" w:color="auto"/>
        <w:left w:val="none" w:sz="0" w:space="0" w:color="auto"/>
        <w:bottom w:val="none" w:sz="0" w:space="0" w:color="auto"/>
        <w:right w:val="none" w:sz="0" w:space="0" w:color="auto"/>
      </w:divBdr>
    </w:div>
    <w:div w:id="734864831">
      <w:bodyDiv w:val="1"/>
      <w:marLeft w:val="0"/>
      <w:marRight w:val="0"/>
      <w:marTop w:val="0"/>
      <w:marBottom w:val="0"/>
      <w:divBdr>
        <w:top w:val="none" w:sz="0" w:space="0" w:color="auto"/>
        <w:left w:val="none" w:sz="0" w:space="0" w:color="auto"/>
        <w:bottom w:val="none" w:sz="0" w:space="0" w:color="auto"/>
        <w:right w:val="none" w:sz="0" w:space="0" w:color="auto"/>
      </w:divBdr>
    </w:div>
    <w:div w:id="740714963">
      <w:bodyDiv w:val="1"/>
      <w:marLeft w:val="0"/>
      <w:marRight w:val="0"/>
      <w:marTop w:val="0"/>
      <w:marBottom w:val="0"/>
      <w:divBdr>
        <w:top w:val="none" w:sz="0" w:space="0" w:color="auto"/>
        <w:left w:val="none" w:sz="0" w:space="0" w:color="auto"/>
        <w:bottom w:val="none" w:sz="0" w:space="0" w:color="auto"/>
        <w:right w:val="none" w:sz="0" w:space="0" w:color="auto"/>
      </w:divBdr>
    </w:div>
    <w:div w:id="753554718">
      <w:bodyDiv w:val="1"/>
      <w:marLeft w:val="0"/>
      <w:marRight w:val="0"/>
      <w:marTop w:val="0"/>
      <w:marBottom w:val="0"/>
      <w:divBdr>
        <w:top w:val="none" w:sz="0" w:space="0" w:color="auto"/>
        <w:left w:val="none" w:sz="0" w:space="0" w:color="auto"/>
        <w:bottom w:val="none" w:sz="0" w:space="0" w:color="auto"/>
        <w:right w:val="none" w:sz="0" w:space="0" w:color="auto"/>
      </w:divBdr>
    </w:div>
    <w:div w:id="757335600">
      <w:bodyDiv w:val="1"/>
      <w:marLeft w:val="0"/>
      <w:marRight w:val="0"/>
      <w:marTop w:val="0"/>
      <w:marBottom w:val="0"/>
      <w:divBdr>
        <w:top w:val="none" w:sz="0" w:space="0" w:color="auto"/>
        <w:left w:val="none" w:sz="0" w:space="0" w:color="auto"/>
        <w:bottom w:val="none" w:sz="0" w:space="0" w:color="auto"/>
        <w:right w:val="none" w:sz="0" w:space="0" w:color="auto"/>
      </w:divBdr>
    </w:div>
    <w:div w:id="764232695">
      <w:bodyDiv w:val="1"/>
      <w:marLeft w:val="0"/>
      <w:marRight w:val="0"/>
      <w:marTop w:val="0"/>
      <w:marBottom w:val="0"/>
      <w:divBdr>
        <w:top w:val="none" w:sz="0" w:space="0" w:color="auto"/>
        <w:left w:val="none" w:sz="0" w:space="0" w:color="auto"/>
        <w:bottom w:val="none" w:sz="0" w:space="0" w:color="auto"/>
        <w:right w:val="none" w:sz="0" w:space="0" w:color="auto"/>
      </w:divBdr>
    </w:div>
    <w:div w:id="765271855">
      <w:bodyDiv w:val="1"/>
      <w:marLeft w:val="0"/>
      <w:marRight w:val="0"/>
      <w:marTop w:val="0"/>
      <w:marBottom w:val="0"/>
      <w:divBdr>
        <w:top w:val="none" w:sz="0" w:space="0" w:color="auto"/>
        <w:left w:val="none" w:sz="0" w:space="0" w:color="auto"/>
        <w:bottom w:val="none" w:sz="0" w:space="0" w:color="auto"/>
        <w:right w:val="none" w:sz="0" w:space="0" w:color="auto"/>
      </w:divBdr>
    </w:div>
    <w:div w:id="776027715">
      <w:bodyDiv w:val="1"/>
      <w:marLeft w:val="0"/>
      <w:marRight w:val="0"/>
      <w:marTop w:val="0"/>
      <w:marBottom w:val="0"/>
      <w:divBdr>
        <w:top w:val="none" w:sz="0" w:space="0" w:color="auto"/>
        <w:left w:val="none" w:sz="0" w:space="0" w:color="auto"/>
        <w:bottom w:val="none" w:sz="0" w:space="0" w:color="auto"/>
        <w:right w:val="none" w:sz="0" w:space="0" w:color="auto"/>
      </w:divBdr>
    </w:div>
    <w:div w:id="776603370">
      <w:bodyDiv w:val="1"/>
      <w:marLeft w:val="0"/>
      <w:marRight w:val="0"/>
      <w:marTop w:val="0"/>
      <w:marBottom w:val="0"/>
      <w:divBdr>
        <w:top w:val="none" w:sz="0" w:space="0" w:color="auto"/>
        <w:left w:val="none" w:sz="0" w:space="0" w:color="auto"/>
        <w:bottom w:val="none" w:sz="0" w:space="0" w:color="auto"/>
        <w:right w:val="none" w:sz="0" w:space="0" w:color="auto"/>
      </w:divBdr>
    </w:div>
    <w:div w:id="785999895">
      <w:bodyDiv w:val="1"/>
      <w:marLeft w:val="0"/>
      <w:marRight w:val="0"/>
      <w:marTop w:val="0"/>
      <w:marBottom w:val="0"/>
      <w:divBdr>
        <w:top w:val="none" w:sz="0" w:space="0" w:color="auto"/>
        <w:left w:val="none" w:sz="0" w:space="0" w:color="auto"/>
        <w:bottom w:val="none" w:sz="0" w:space="0" w:color="auto"/>
        <w:right w:val="none" w:sz="0" w:space="0" w:color="auto"/>
      </w:divBdr>
    </w:div>
    <w:div w:id="789862662">
      <w:bodyDiv w:val="1"/>
      <w:marLeft w:val="0"/>
      <w:marRight w:val="0"/>
      <w:marTop w:val="0"/>
      <w:marBottom w:val="0"/>
      <w:divBdr>
        <w:top w:val="none" w:sz="0" w:space="0" w:color="auto"/>
        <w:left w:val="none" w:sz="0" w:space="0" w:color="auto"/>
        <w:bottom w:val="none" w:sz="0" w:space="0" w:color="auto"/>
        <w:right w:val="none" w:sz="0" w:space="0" w:color="auto"/>
      </w:divBdr>
    </w:div>
    <w:div w:id="812135208">
      <w:bodyDiv w:val="1"/>
      <w:marLeft w:val="0"/>
      <w:marRight w:val="0"/>
      <w:marTop w:val="0"/>
      <w:marBottom w:val="0"/>
      <w:divBdr>
        <w:top w:val="none" w:sz="0" w:space="0" w:color="auto"/>
        <w:left w:val="none" w:sz="0" w:space="0" w:color="auto"/>
        <w:bottom w:val="none" w:sz="0" w:space="0" w:color="auto"/>
        <w:right w:val="none" w:sz="0" w:space="0" w:color="auto"/>
      </w:divBdr>
    </w:div>
    <w:div w:id="815145294">
      <w:bodyDiv w:val="1"/>
      <w:marLeft w:val="0"/>
      <w:marRight w:val="0"/>
      <w:marTop w:val="0"/>
      <w:marBottom w:val="0"/>
      <w:divBdr>
        <w:top w:val="none" w:sz="0" w:space="0" w:color="auto"/>
        <w:left w:val="none" w:sz="0" w:space="0" w:color="auto"/>
        <w:bottom w:val="none" w:sz="0" w:space="0" w:color="auto"/>
        <w:right w:val="none" w:sz="0" w:space="0" w:color="auto"/>
      </w:divBdr>
    </w:div>
    <w:div w:id="815492098">
      <w:bodyDiv w:val="1"/>
      <w:marLeft w:val="0"/>
      <w:marRight w:val="0"/>
      <w:marTop w:val="0"/>
      <w:marBottom w:val="0"/>
      <w:divBdr>
        <w:top w:val="none" w:sz="0" w:space="0" w:color="auto"/>
        <w:left w:val="none" w:sz="0" w:space="0" w:color="auto"/>
        <w:bottom w:val="none" w:sz="0" w:space="0" w:color="auto"/>
        <w:right w:val="none" w:sz="0" w:space="0" w:color="auto"/>
      </w:divBdr>
    </w:div>
    <w:div w:id="823738364">
      <w:bodyDiv w:val="1"/>
      <w:marLeft w:val="0"/>
      <w:marRight w:val="0"/>
      <w:marTop w:val="0"/>
      <w:marBottom w:val="0"/>
      <w:divBdr>
        <w:top w:val="none" w:sz="0" w:space="0" w:color="auto"/>
        <w:left w:val="none" w:sz="0" w:space="0" w:color="auto"/>
        <w:bottom w:val="none" w:sz="0" w:space="0" w:color="auto"/>
        <w:right w:val="none" w:sz="0" w:space="0" w:color="auto"/>
      </w:divBdr>
    </w:div>
    <w:div w:id="824783403">
      <w:bodyDiv w:val="1"/>
      <w:marLeft w:val="0"/>
      <w:marRight w:val="0"/>
      <w:marTop w:val="0"/>
      <w:marBottom w:val="0"/>
      <w:divBdr>
        <w:top w:val="none" w:sz="0" w:space="0" w:color="auto"/>
        <w:left w:val="none" w:sz="0" w:space="0" w:color="auto"/>
        <w:bottom w:val="none" w:sz="0" w:space="0" w:color="auto"/>
        <w:right w:val="none" w:sz="0" w:space="0" w:color="auto"/>
      </w:divBdr>
    </w:div>
    <w:div w:id="829716986">
      <w:bodyDiv w:val="1"/>
      <w:marLeft w:val="0"/>
      <w:marRight w:val="0"/>
      <w:marTop w:val="0"/>
      <w:marBottom w:val="0"/>
      <w:divBdr>
        <w:top w:val="none" w:sz="0" w:space="0" w:color="auto"/>
        <w:left w:val="none" w:sz="0" w:space="0" w:color="auto"/>
        <w:bottom w:val="none" w:sz="0" w:space="0" w:color="auto"/>
        <w:right w:val="none" w:sz="0" w:space="0" w:color="auto"/>
      </w:divBdr>
    </w:div>
    <w:div w:id="831800062">
      <w:bodyDiv w:val="1"/>
      <w:marLeft w:val="0"/>
      <w:marRight w:val="0"/>
      <w:marTop w:val="0"/>
      <w:marBottom w:val="0"/>
      <w:divBdr>
        <w:top w:val="none" w:sz="0" w:space="0" w:color="auto"/>
        <w:left w:val="none" w:sz="0" w:space="0" w:color="auto"/>
        <w:bottom w:val="none" w:sz="0" w:space="0" w:color="auto"/>
        <w:right w:val="none" w:sz="0" w:space="0" w:color="auto"/>
      </w:divBdr>
    </w:div>
    <w:div w:id="837424284">
      <w:bodyDiv w:val="1"/>
      <w:marLeft w:val="0"/>
      <w:marRight w:val="0"/>
      <w:marTop w:val="0"/>
      <w:marBottom w:val="0"/>
      <w:divBdr>
        <w:top w:val="none" w:sz="0" w:space="0" w:color="auto"/>
        <w:left w:val="none" w:sz="0" w:space="0" w:color="auto"/>
        <w:bottom w:val="none" w:sz="0" w:space="0" w:color="auto"/>
        <w:right w:val="none" w:sz="0" w:space="0" w:color="auto"/>
      </w:divBdr>
    </w:div>
    <w:div w:id="839924899">
      <w:bodyDiv w:val="1"/>
      <w:marLeft w:val="0"/>
      <w:marRight w:val="0"/>
      <w:marTop w:val="0"/>
      <w:marBottom w:val="0"/>
      <w:divBdr>
        <w:top w:val="none" w:sz="0" w:space="0" w:color="auto"/>
        <w:left w:val="none" w:sz="0" w:space="0" w:color="auto"/>
        <w:bottom w:val="none" w:sz="0" w:space="0" w:color="auto"/>
        <w:right w:val="none" w:sz="0" w:space="0" w:color="auto"/>
      </w:divBdr>
    </w:div>
    <w:div w:id="840317785">
      <w:bodyDiv w:val="1"/>
      <w:marLeft w:val="0"/>
      <w:marRight w:val="0"/>
      <w:marTop w:val="0"/>
      <w:marBottom w:val="0"/>
      <w:divBdr>
        <w:top w:val="none" w:sz="0" w:space="0" w:color="auto"/>
        <w:left w:val="none" w:sz="0" w:space="0" w:color="auto"/>
        <w:bottom w:val="none" w:sz="0" w:space="0" w:color="auto"/>
        <w:right w:val="none" w:sz="0" w:space="0" w:color="auto"/>
      </w:divBdr>
    </w:div>
    <w:div w:id="842355486">
      <w:bodyDiv w:val="1"/>
      <w:marLeft w:val="0"/>
      <w:marRight w:val="0"/>
      <w:marTop w:val="0"/>
      <w:marBottom w:val="0"/>
      <w:divBdr>
        <w:top w:val="none" w:sz="0" w:space="0" w:color="auto"/>
        <w:left w:val="none" w:sz="0" w:space="0" w:color="auto"/>
        <w:bottom w:val="none" w:sz="0" w:space="0" w:color="auto"/>
        <w:right w:val="none" w:sz="0" w:space="0" w:color="auto"/>
      </w:divBdr>
    </w:div>
    <w:div w:id="855196205">
      <w:bodyDiv w:val="1"/>
      <w:marLeft w:val="0"/>
      <w:marRight w:val="0"/>
      <w:marTop w:val="0"/>
      <w:marBottom w:val="0"/>
      <w:divBdr>
        <w:top w:val="none" w:sz="0" w:space="0" w:color="auto"/>
        <w:left w:val="none" w:sz="0" w:space="0" w:color="auto"/>
        <w:bottom w:val="none" w:sz="0" w:space="0" w:color="auto"/>
        <w:right w:val="none" w:sz="0" w:space="0" w:color="auto"/>
      </w:divBdr>
    </w:div>
    <w:div w:id="858010234">
      <w:bodyDiv w:val="1"/>
      <w:marLeft w:val="0"/>
      <w:marRight w:val="0"/>
      <w:marTop w:val="0"/>
      <w:marBottom w:val="0"/>
      <w:divBdr>
        <w:top w:val="none" w:sz="0" w:space="0" w:color="auto"/>
        <w:left w:val="none" w:sz="0" w:space="0" w:color="auto"/>
        <w:bottom w:val="none" w:sz="0" w:space="0" w:color="auto"/>
        <w:right w:val="none" w:sz="0" w:space="0" w:color="auto"/>
      </w:divBdr>
    </w:div>
    <w:div w:id="862550743">
      <w:bodyDiv w:val="1"/>
      <w:marLeft w:val="0"/>
      <w:marRight w:val="0"/>
      <w:marTop w:val="0"/>
      <w:marBottom w:val="0"/>
      <w:divBdr>
        <w:top w:val="none" w:sz="0" w:space="0" w:color="auto"/>
        <w:left w:val="none" w:sz="0" w:space="0" w:color="auto"/>
        <w:bottom w:val="none" w:sz="0" w:space="0" w:color="auto"/>
        <w:right w:val="none" w:sz="0" w:space="0" w:color="auto"/>
      </w:divBdr>
    </w:div>
    <w:div w:id="867839834">
      <w:bodyDiv w:val="1"/>
      <w:marLeft w:val="0"/>
      <w:marRight w:val="0"/>
      <w:marTop w:val="0"/>
      <w:marBottom w:val="0"/>
      <w:divBdr>
        <w:top w:val="none" w:sz="0" w:space="0" w:color="auto"/>
        <w:left w:val="none" w:sz="0" w:space="0" w:color="auto"/>
        <w:bottom w:val="none" w:sz="0" w:space="0" w:color="auto"/>
        <w:right w:val="none" w:sz="0" w:space="0" w:color="auto"/>
      </w:divBdr>
    </w:div>
    <w:div w:id="869875967">
      <w:bodyDiv w:val="1"/>
      <w:marLeft w:val="0"/>
      <w:marRight w:val="0"/>
      <w:marTop w:val="0"/>
      <w:marBottom w:val="0"/>
      <w:divBdr>
        <w:top w:val="none" w:sz="0" w:space="0" w:color="auto"/>
        <w:left w:val="none" w:sz="0" w:space="0" w:color="auto"/>
        <w:bottom w:val="none" w:sz="0" w:space="0" w:color="auto"/>
        <w:right w:val="none" w:sz="0" w:space="0" w:color="auto"/>
      </w:divBdr>
    </w:div>
    <w:div w:id="877859414">
      <w:bodyDiv w:val="1"/>
      <w:marLeft w:val="0"/>
      <w:marRight w:val="0"/>
      <w:marTop w:val="0"/>
      <w:marBottom w:val="0"/>
      <w:divBdr>
        <w:top w:val="none" w:sz="0" w:space="0" w:color="auto"/>
        <w:left w:val="none" w:sz="0" w:space="0" w:color="auto"/>
        <w:bottom w:val="none" w:sz="0" w:space="0" w:color="auto"/>
        <w:right w:val="none" w:sz="0" w:space="0" w:color="auto"/>
      </w:divBdr>
    </w:div>
    <w:div w:id="878780905">
      <w:bodyDiv w:val="1"/>
      <w:marLeft w:val="0"/>
      <w:marRight w:val="0"/>
      <w:marTop w:val="0"/>
      <w:marBottom w:val="0"/>
      <w:divBdr>
        <w:top w:val="none" w:sz="0" w:space="0" w:color="auto"/>
        <w:left w:val="none" w:sz="0" w:space="0" w:color="auto"/>
        <w:bottom w:val="none" w:sz="0" w:space="0" w:color="auto"/>
        <w:right w:val="none" w:sz="0" w:space="0" w:color="auto"/>
      </w:divBdr>
    </w:div>
    <w:div w:id="878905880">
      <w:bodyDiv w:val="1"/>
      <w:marLeft w:val="0"/>
      <w:marRight w:val="0"/>
      <w:marTop w:val="0"/>
      <w:marBottom w:val="0"/>
      <w:divBdr>
        <w:top w:val="none" w:sz="0" w:space="0" w:color="auto"/>
        <w:left w:val="none" w:sz="0" w:space="0" w:color="auto"/>
        <w:bottom w:val="none" w:sz="0" w:space="0" w:color="auto"/>
        <w:right w:val="none" w:sz="0" w:space="0" w:color="auto"/>
      </w:divBdr>
    </w:div>
    <w:div w:id="889876894">
      <w:bodyDiv w:val="1"/>
      <w:marLeft w:val="0"/>
      <w:marRight w:val="0"/>
      <w:marTop w:val="0"/>
      <w:marBottom w:val="0"/>
      <w:divBdr>
        <w:top w:val="none" w:sz="0" w:space="0" w:color="auto"/>
        <w:left w:val="none" w:sz="0" w:space="0" w:color="auto"/>
        <w:bottom w:val="none" w:sz="0" w:space="0" w:color="auto"/>
        <w:right w:val="none" w:sz="0" w:space="0" w:color="auto"/>
      </w:divBdr>
    </w:div>
    <w:div w:id="900407844">
      <w:bodyDiv w:val="1"/>
      <w:marLeft w:val="0"/>
      <w:marRight w:val="0"/>
      <w:marTop w:val="0"/>
      <w:marBottom w:val="0"/>
      <w:divBdr>
        <w:top w:val="none" w:sz="0" w:space="0" w:color="auto"/>
        <w:left w:val="none" w:sz="0" w:space="0" w:color="auto"/>
        <w:bottom w:val="none" w:sz="0" w:space="0" w:color="auto"/>
        <w:right w:val="none" w:sz="0" w:space="0" w:color="auto"/>
      </w:divBdr>
    </w:div>
    <w:div w:id="903638735">
      <w:bodyDiv w:val="1"/>
      <w:marLeft w:val="0"/>
      <w:marRight w:val="0"/>
      <w:marTop w:val="0"/>
      <w:marBottom w:val="0"/>
      <w:divBdr>
        <w:top w:val="none" w:sz="0" w:space="0" w:color="auto"/>
        <w:left w:val="none" w:sz="0" w:space="0" w:color="auto"/>
        <w:bottom w:val="none" w:sz="0" w:space="0" w:color="auto"/>
        <w:right w:val="none" w:sz="0" w:space="0" w:color="auto"/>
      </w:divBdr>
    </w:div>
    <w:div w:id="906186845">
      <w:bodyDiv w:val="1"/>
      <w:marLeft w:val="0"/>
      <w:marRight w:val="0"/>
      <w:marTop w:val="0"/>
      <w:marBottom w:val="0"/>
      <w:divBdr>
        <w:top w:val="none" w:sz="0" w:space="0" w:color="auto"/>
        <w:left w:val="none" w:sz="0" w:space="0" w:color="auto"/>
        <w:bottom w:val="none" w:sz="0" w:space="0" w:color="auto"/>
        <w:right w:val="none" w:sz="0" w:space="0" w:color="auto"/>
      </w:divBdr>
    </w:div>
    <w:div w:id="910194065">
      <w:bodyDiv w:val="1"/>
      <w:marLeft w:val="0"/>
      <w:marRight w:val="0"/>
      <w:marTop w:val="0"/>
      <w:marBottom w:val="0"/>
      <w:divBdr>
        <w:top w:val="none" w:sz="0" w:space="0" w:color="auto"/>
        <w:left w:val="none" w:sz="0" w:space="0" w:color="auto"/>
        <w:bottom w:val="none" w:sz="0" w:space="0" w:color="auto"/>
        <w:right w:val="none" w:sz="0" w:space="0" w:color="auto"/>
      </w:divBdr>
    </w:div>
    <w:div w:id="921573249">
      <w:bodyDiv w:val="1"/>
      <w:marLeft w:val="0"/>
      <w:marRight w:val="0"/>
      <w:marTop w:val="0"/>
      <w:marBottom w:val="0"/>
      <w:divBdr>
        <w:top w:val="none" w:sz="0" w:space="0" w:color="auto"/>
        <w:left w:val="none" w:sz="0" w:space="0" w:color="auto"/>
        <w:bottom w:val="none" w:sz="0" w:space="0" w:color="auto"/>
        <w:right w:val="none" w:sz="0" w:space="0" w:color="auto"/>
      </w:divBdr>
    </w:div>
    <w:div w:id="928732503">
      <w:bodyDiv w:val="1"/>
      <w:marLeft w:val="0"/>
      <w:marRight w:val="0"/>
      <w:marTop w:val="0"/>
      <w:marBottom w:val="0"/>
      <w:divBdr>
        <w:top w:val="none" w:sz="0" w:space="0" w:color="auto"/>
        <w:left w:val="none" w:sz="0" w:space="0" w:color="auto"/>
        <w:bottom w:val="none" w:sz="0" w:space="0" w:color="auto"/>
        <w:right w:val="none" w:sz="0" w:space="0" w:color="auto"/>
      </w:divBdr>
    </w:div>
    <w:div w:id="930970142">
      <w:bodyDiv w:val="1"/>
      <w:marLeft w:val="0"/>
      <w:marRight w:val="0"/>
      <w:marTop w:val="0"/>
      <w:marBottom w:val="0"/>
      <w:divBdr>
        <w:top w:val="none" w:sz="0" w:space="0" w:color="auto"/>
        <w:left w:val="none" w:sz="0" w:space="0" w:color="auto"/>
        <w:bottom w:val="none" w:sz="0" w:space="0" w:color="auto"/>
        <w:right w:val="none" w:sz="0" w:space="0" w:color="auto"/>
      </w:divBdr>
    </w:div>
    <w:div w:id="932477054">
      <w:bodyDiv w:val="1"/>
      <w:marLeft w:val="0"/>
      <w:marRight w:val="0"/>
      <w:marTop w:val="0"/>
      <w:marBottom w:val="0"/>
      <w:divBdr>
        <w:top w:val="none" w:sz="0" w:space="0" w:color="auto"/>
        <w:left w:val="none" w:sz="0" w:space="0" w:color="auto"/>
        <w:bottom w:val="none" w:sz="0" w:space="0" w:color="auto"/>
        <w:right w:val="none" w:sz="0" w:space="0" w:color="auto"/>
      </w:divBdr>
    </w:div>
    <w:div w:id="935360624">
      <w:bodyDiv w:val="1"/>
      <w:marLeft w:val="0"/>
      <w:marRight w:val="0"/>
      <w:marTop w:val="0"/>
      <w:marBottom w:val="0"/>
      <w:divBdr>
        <w:top w:val="none" w:sz="0" w:space="0" w:color="auto"/>
        <w:left w:val="none" w:sz="0" w:space="0" w:color="auto"/>
        <w:bottom w:val="none" w:sz="0" w:space="0" w:color="auto"/>
        <w:right w:val="none" w:sz="0" w:space="0" w:color="auto"/>
      </w:divBdr>
    </w:div>
    <w:div w:id="940987335">
      <w:bodyDiv w:val="1"/>
      <w:marLeft w:val="0"/>
      <w:marRight w:val="0"/>
      <w:marTop w:val="0"/>
      <w:marBottom w:val="0"/>
      <w:divBdr>
        <w:top w:val="none" w:sz="0" w:space="0" w:color="auto"/>
        <w:left w:val="none" w:sz="0" w:space="0" w:color="auto"/>
        <w:bottom w:val="none" w:sz="0" w:space="0" w:color="auto"/>
        <w:right w:val="none" w:sz="0" w:space="0" w:color="auto"/>
      </w:divBdr>
    </w:div>
    <w:div w:id="942762326">
      <w:bodyDiv w:val="1"/>
      <w:marLeft w:val="0"/>
      <w:marRight w:val="0"/>
      <w:marTop w:val="0"/>
      <w:marBottom w:val="0"/>
      <w:divBdr>
        <w:top w:val="none" w:sz="0" w:space="0" w:color="auto"/>
        <w:left w:val="none" w:sz="0" w:space="0" w:color="auto"/>
        <w:bottom w:val="none" w:sz="0" w:space="0" w:color="auto"/>
        <w:right w:val="none" w:sz="0" w:space="0" w:color="auto"/>
      </w:divBdr>
    </w:div>
    <w:div w:id="947082928">
      <w:bodyDiv w:val="1"/>
      <w:marLeft w:val="0"/>
      <w:marRight w:val="0"/>
      <w:marTop w:val="0"/>
      <w:marBottom w:val="0"/>
      <w:divBdr>
        <w:top w:val="none" w:sz="0" w:space="0" w:color="auto"/>
        <w:left w:val="none" w:sz="0" w:space="0" w:color="auto"/>
        <w:bottom w:val="none" w:sz="0" w:space="0" w:color="auto"/>
        <w:right w:val="none" w:sz="0" w:space="0" w:color="auto"/>
      </w:divBdr>
    </w:div>
    <w:div w:id="956638594">
      <w:bodyDiv w:val="1"/>
      <w:marLeft w:val="0"/>
      <w:marRight w:val="0"/>
      <w:marTop w:val="0"/>
      <w:marBottom w:val="0"/>
      <w:divBdr>
        <w:top w:val="none" w:sz="0" w:space="0" w:color="auto"/>
        <w:left w:val="none" w:sz="0" w:space="0" w:color="auto"/>
        <w:bottom w:val="none" w:sz="0" w:space="0" w:color="auto"/>
        <w:right w:val="none" w:sz="0" w:space="0" w:color="auto"/>
      </w:divBdr>
    </w:div>
    <w:div w:id="958534335">
      <w:bodyDiv w:val="1"/>
      <w:marLeft w:val="0"/>
      <w:marRight w:val="0"/>
      <w:marTop w:val="0"/>
      <w:marBottom w:val="0"/>
      <w:divBdr>
        <w:top w:val="none" w:sz="0" w:space="0" w:color="auto"/>
        <w:left w:val="none" w:sz="0" w:space="0" w:color="auto"/>
        <w:bottom w:val="none" w:sz="0" w:space="0" w:color="auto"/>
        <w:right w:val="none" w:sz="0" w:space="0" w:color="auto"/>
      </w:divBdr>
    </w:div>
    <w:div w:id="964311163">
      <w:bodyDiv w:val="1"/>
      <w:marLeft w:val="0"/>
      <w:marRight w:val="0"/>
      <w:marTop w:val="0"/>
      <w:marBottom w:val="0"/>
      <w:divBdr>
        <w:top w:val="none" w:sz="0" w:space="0" w:color="auto"/>
        <w:left w:val="none" w:sz="0" w:space="0" w:color="auto"/>
        <w:bottom w:val="none" w:sz="0" w:space="0" w:color="auto"/>
        <w:right w:val="none" w:sz="0" w:space="0" w:color="auto"/>
      </w:divBdr>
    </w:div>
    <w:div w:id="96870670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92953297">
      <w:bodyDiv w:val="1"/>
      <w:marLeft w:val="0"/>
      <w:marRight w:val="0"/>
      <w:marTop w:val="0"/>
      <w:marBottom w:val="0"/>
      <w:divBdr>
        <w:top w:val="none" w:sz="0" w:space="0" w:color="auto"/>
        <w:left w:val="none" w:sz="0" w:space="0" w:color="auto"/>
        <w:bottom w:val="none" w:sz="0" w:space="0" w:color="auto"/>
        <w:right w:val="none" w:sz="0" w:space="0" w:color="auto"/>
      </w:divBdr>
    </w:div>
    <w:div w:id="995493774">
      <w:bodyDiv w:val="1"/>
      <w:marLeft w:val="0"/>
      <w:marRight w:val="0"/>
      <w:marTop w:val="0"/>
      <w:marBottom w:val="0"/>
      <w:divBdr>
        <w:top w:val="none" w:sz="0" w:space="0" w:color="auto"/>
        <w:left w:val="none" w:sz="0" w:space="0" w:color="auto"/>
        <w:bottom w:val="none" w:sz="0" w:space="0" w:color="auto"/>
        <w:right w:val="none" w:sz="0" w:space="0" w:color="auto"/>
      </w:divBdr>
    </w:div>
    <w:div w:id="1006858956">
      <w:bodyDiv w:val="1"/>
      <w:marLeft w:val="0"/>
      <w:marRight w:val="0"/>
      <w:marTop w:val="0"/>
      <w:marBottom w:val="0"/>
      <w:divBdr>
        <w:top w:val="none" w:sz="0" w:space="0" w:color="auto"/>
        <w:left w:val="none" w:sz="0" w:space="0" w:color="auto"/>
        <w:bottom w:val="none" w:sz="0" w:space="0" w:color="auto"/>
        <w:right w:val="none" w:sz="0" w:space="0" w:color="auto"/>
      </w:divBdr>
    </w:div>
    <w:div w:id="1008947890">
      <w:bodyDiv w:val="1"/>
      <w:marLeft w:val="0"/>
      <w:marRight w:val="0"/>
      <w:marTop w:val="0"/>
      <w:marBottom w:val="0"/>
      <w:divBdr>
        <w:top w:val="none" w:sz="0" w:space="0" w:color="auto"/>
        <w:left w:val="none" w:sz="0" w:space="0" w:color="auto"/>
        <w:bottom w:val="none" w:sz="0" w:space="0" w:color="auto"/>
        <w:right w:val="none" w:sz="0" w:space="0" w:color="auto"/>
      </w:divBdr>
    </w:div>
    <w:div w:id="1015494357">
      <w:bodyDiv w:val="1"/>
      <w:marLeft w:val="0"/>
      <w:marRight w:val="0"/>
      <w:marTop w:val="0"/>
      <w:marBottom w:val="0"/>
      <w:divBdr>
        <w:top w:val="none" w:sz="0" w:space="0" w:color="auto"/>
        <w:left w:val="none" w:sz="0" w:space="0" w:color="auto"/>
        <w:bottom w:val="none" w:sz="0" w:space="0" w:color="auto"/>
        <w:right w:val="none" w:sz="0" w:space="0" w:color="auto"/>
      </w:divBdr>
    </w:div>
    <w:div w:id="1021669491">
      <w:bodyDiv w:val="1"/>
      <w:marLeft w:val="0"/>
      <w:marRight w:val="0"/>
      <w:marTop w:val="0"/>
      <w:marBottom w:val="0"/>
      <w:divBdr>
        <w:top w:val="none" w:sz="0" w:space="0" w:color="auto"/>
        <w:left w:val="none" w:sz="0" w:space="0" w:color="auto"/>
        <w:bottom w:val="none" w:sz="0" w:space="0" w:color="auto"/>
        <w:right w:val="none" w:sz="0" w:space="0" w:color="auto"/>
      </w:divBdr>
    </w:div>
    <w:div w:id="1025983014">
      <w:bodyDiv w:val="1"/>
      <w:marLeft w:val="0"/>
      <w:marRight w:val="0"/>
      <w:marTop w:val="0"/>
      <w:marBottom w:val="0"/>
      <w:divBdr>
        <w:top w:val="none" w:sz="0" w:space="0" w:color="auto"/>
        <w:left w:val="none" w:sz="0" w:space="0" w:color="auto"/>
        <w:bottom w:val="none" w:sz="0" w:space="0" w:color="auto"/>
        <w:right w:val="none" w:sz="0" w:space="0" w:color="auto"/>
      </w:divBdr>
    </w:div>
    <w:div w:id="1036739304">
      <w:bodyDiv w:val="1"/>
      <w:marLeft w:val="0"/>
      <w:marRight w:val="0"/>
      <w:marTop w:val="0"/>
      <w:marBottom w:val="0"/>
      <w:divBdr>
        <w:top w:val="none" w:sz="0" w:space="0" w:color="auto"/>
        <w:left w:val="none" w:sz="0" w:space="0" w:color="auto"/>
        <w:bottom w:val="none" w:sz="0" w:space="0" w:color="auto"/>
        <w:right w:val="none" w:sz="0" w:space="0" w:color="auto"/>
      </w:divBdr>
    </w:div>
    <w:div w:id="1036807351">
      <w:bodyDiv w:val="1"/>
      <w:marLeft w:val="0"/>
      <w:marRight w:val="0"/>
      <w:marTop w:val="0"/>
      <w:marBottom w:val="0"/>
      <w:divBdr>
        <w:top w:val="none" w:sz="0" w:space="0" w:color="auto"/>
        <w:left w:val="none" w:sz="0" w:space="0" w:color="auto"/>
        <w:bottom w:val="none" w:sz="0" w:space="0" w:color="auto"/>
        <w:right w:val="none" w:sz="0" w:space="0" w:color="auto"/>
      </w:divBdr>
    </w:div>
    <w:div w:id="1042166756">
      <w:bodyDiv w:val="1"/>
      <w:marLeft w:val="0"/>
      <w:marRight w:val="0"/>
      <w:marTop w:val="0"/>
      <w:marBottom w:val="0"/>
      <w:divBdr>
        <w:top w:val="none" w:sz="0" w:space="0" w:color="auto"/>
        <w:left w:val="none" w:sz="0" w:space="0" w:color="auto"/>
        <w:bottom w:val="none" w:sz="0" w:space="0" w:color="auto"/>
        <w:right w:val="none" w:sz="0" w:space="0" w:color="auto"/>
      </w:divBdr>
    </w:div>
    <w:div w:id="1048803618">
      <w:bodyDiv w:val="1"/>
      <w:marLeft w:val="0"/>
      <w:marRight w:val="0"/>
      <w:marTop w:val="0"/>
      <w:marBottom w:val="0"/>
      <w:divBdr>
        <w:top w:val="none" w:sz="0" w:space="0" w:color="auto"/>
        <w:left w:val="none" w:sz="0" w:space="0" w:color="auto"/>
        <w:bottom w:val="none" w:sz="0" w:space="0" w:color="auto"/>
        <w:right w:val="none" w:sz="0" w:space="0" w:color="auto"/>
      </w:divBdr>
    </w:div>
    <w:div w:id="1049299169">
      <w:bodyDiv w:val="1"/>
      <w:marLeft w:val="0"/>
      <w:marRight w:val="0"/>
      <w:marTop w:val="0"/>
      <w:marBottom w:val="0"/>
      <w:divBdr>
        <w:top w:val="none" w:sz="0" w:space="0" w:color="auto"/>
        <w:left w:val="none" w:sz="0" w:space="0" w:color="auto"/>
        <w:bottom w:val="none" w:sz="0" w:space="0" w:color="auto"/>
        <w:right w:val="none" w:sz="0" w:space="0" w:color="auto"/>
      </w:divBdr>
    </w:div>
    <w:div w:id="1054623828">
      <w:bodyDiv w:val="1"/>
      <w:marLeft w:val="0"/>
      <w:marRight w:val="0"/>
      <w:marTop w:val="0"/>
      <w:marBottom w:val="0"/>
      <w:divBdr>
        <w:top w:val="none" w:sz="0" w:space="0" w:color="auto"/>
        <w:left w:val="none" w:sz="0" w:space="0" w:color="auto"/>
        <w:bottom w:val="none" w:sz="0" w:space="0" w:color="auto"/>
        <w:right w:val="none" w:sz="0" w:space="0" w:color="auto"/>
      </w:divBdr>
    </w:div>
    <w:div w:id="1055617040">
      <w:bodyDiv w:val="1"/>
      <w:marLeft w:val="0"/>
      <w:marRight w:val="0"/>
      <w:marTop w:val="0"/>
      <w:marBottom w:val="0"/>
      <w:divBdr>
        <w:top w:val="none" w:sz="0" w:space="0" w:color="auto"/>
        <w:left w:val="none" w:sz="0" w:space="0" w:color="auto"/>
        <w:bottom w:val="none" w:sz="0" w:space="0" w:color="auto"/>
        <w:right w:val="none" w:sz="0" w:space="0" w:color="auto"/>
      </w:divBdr>
    </w:div>
    <w:div w:id="1056128028">
      <w:bodyDiv w:val="1"/>
      <w:marLeft w:val="0"/>
      <w:marRight w:val="0"/>
      <w:marTop w:val="0"/>
      <w:marBottom w:val="0"/>
      <w:divBdr>
        <w:top w:val="none" w:sz="0" w:space="0" w:color="auto"/>
        <w:left w:val="none" w:sz="0" w:space="0" w:color="auto"/>
        <w:bottom w:val="none" w:sz="0" w:space="0" w:color="auto"/>
        <w:right w:val="none" w:sz="0" w:space="0" w:color="auto"/>
      </w:divBdr>
    </w:div>
    <w:div w:id="1075082811">
      <w:bodyDiv w:val="1"/>
      <w:marLeft w:val="0"/>
      <w:marRight w:val="0"/>
      <w:marTop w:val="0"/>
      <w:marBottom w:val="0"/>
      <w:divBdr>
        <w:top w:val="none" w:sz="0" w:space="0" w:color="auto"/>
        <w:left w:val="none" w:sz="0" w:space="0" w:color="auto"/>
        <w:bottom w:val="none" w:sz="0" w:space="0" w:color="auto"/>
        <w:right w:val="none" w:sz="0" w:space="0" w:color="auto"/>
      </w:divBdr>
    </w:div>
    <w:div w:id="1076511524">
      <w:bodyDiv w:val="1"/>
      <w:marLeft w:val="0"/>
      <w:marRight w:val="0"/>
      <w:marTop w:val="0"/>
      <w:marBottom w:val="0"/>
      <w:divBdr>
        <w:top w:val="none" w:sz="0" w:space="0" w:color="auto"/>
        <w:left w:val="none" w:sz="0" w:space="0" w:color="auto"/>
        <w:bottom w:val="none" w:sz="0" w:space="0" w:color="auto"/>
        <w:right w:val="none" w:sz="0" w:space="0" w:color="auto"/>
      </w:divBdr>
    </w:div>
    <w:div w:id="1077703721">
      <w:bodyDiv w:val="1"/>
      <w:marLeft w:val="0"/>
      <w:marRight w:val="0"/>
      <w:marTop w:val="0"/>
      <w:marBottom w:val="0"/>
      <w:divBdr>
        <w:top w:val="none" w:sz="0" w:space="0" w:color="auto"/>
        <w:left w:val="none" w:sz="0" w:space="0" w:color="auto"/>
        <w:bottom w:val="none" w:sz="0" w:space="0" w:color="auto"/>
        <w:right w:val="none" w:sz="0" w:space="0" w:color="auto"/>
      </w:divBdr>
    </w:div>
    <w:div w:id="1079062125">
      <w:bodyDiv w:val="1"/>
      <w:marLeft w:val="0"/>
      <w:marRight w:val="0"/>
      <w:marTop w:val="0"/>
      <w:marBottom w:val="0"/>
      <w:divBdr>
        <w:top w:val="none" w:sz="0" w:space="0" w:color="auto"/>
        <w:left w:val="none" w:sz="0" w:space="0" w:color="auto"/>
        <w:bottom w:val="none" w:sz="0" w:space="0" w:color="auto"/>
        <w:right w:val="none" w:sz="0" w:space="0" w:color="auto"/>
      </w:divBdr>
    </w:div>
    <w:div w:id="1079906148">
      <w:bodyDiv w:val="1"/>
      <w:marLeft w:val="0"/>
      <w:marRight w:val="0"/>
      <w:marTop w:val="0"/>
      <w:marBottom w:val="0"/>
      <w:divBdr>
        <w:top w:val="none" w:sz="0" w:space="0" w:color="auto"/>
        <w:left w:val="none" w:sz="0" w:space="0" w:color="auto"/>
        <w:bottom w:val="none" w:sz="0" w:space="0" w:color="auto"/>
        <w:right w:val="none" w:sz="0" w:space="0" w:color="auto"/>
      </w:divBdr>
    </w:div>
    <w:div w:id="1086995591">
      <w:bodyDiv w:val="1"/>
      <w:marLeft w:val="0"/>
      <w:marRight w:val="0"/>
      <w:marTop w:val="0"/>
      <w:marBottom w:val="0"/>
      <w:divBdr>
        <w:top w:val="none" w:sz="0" w:space="0" w:color="auto"/>
        <w:left w:val="none" w:sz="0" w:space="0" w:color="auto"/>
        <w:bottom w:val="none" w:sz="0" w:space="0" w:color="auto"/>
        <w:right w:val="none" w:sz="0" w:space="0" w:color="auto"/>
      </w:divBdr>
    </w:div>
    <w:div w:id="1088383925">
      <w:bodyDiv w:val="1"/>
      <w:marLeft w:val="0"/>
      <w:marRight w:val="0"/>
      <w:marTop w:val="0"/>
      <w:marBottom w:val="0"/>
      <w:divBdr>
        <w:top w:val="none" w:sz="0" w:space="0" w:color="auto"/>
        <w:left w:val="none" w:sz="0" w:space="0" w:color="auto"/>
        <w:bottom w:val="none" w:sz="0" w:space="0" w:color="auto"/>
        <w:right w:val="none" w:sz="0" w:space="0" w:color="auto"/>
      </w:divBdr>
    </w:div>
    <w:div w:id="1090544743">
      <w:bodyDiv w:val="1"/>
      <w:marLeft w:val="0"/>
      <w:marRight w:val="0"/>
      <w:marTop w:val="0"/>
      <w:marBottom w:val="0"/>
      <w:divBdr>
        <w:top w:val="none" w:sz="0" w:space="0" w:color="auto"/>
        <w:left w:val="none" w:sz="0" w:space="0" w:color="auto"/>
        <w:bottom w:val="none" w:sz="0" w:space="0" w:color="auto"/>
        <w:right w:val="none" w:sz="0" w:space="0" w:color="auto"/>
      </w:divBdr>
    </w:div>
    <w:div w:id="1097402944">
      <w:bodyDiv w:val="1"/>
      <w:marLeft w:val="0"/>
      <w:marRight w:val="0"/>
      <w:marTop w:val="0"/>
      <w:marBottom w:val="0"/>
      <w:divBdr>
        <w:top w:val="none" w:sz="0" w:space="0" w:color="auto"/>
        <w:left w:val="none" w:sz="0" w:space="0" w:color="auto"/>
        <w:bottom w:val="none" w:sz="0" w:space="0" w:color="auto"/>
        <w:right w:val="none" w:sz="0" w:space="0" w:color="auto"/>
      </w:divBdr>
    </w:div>
    <w:div w:id="1098713834">
      <w:bodyDiv w:val="1"/>
      <w:marLeft w:val="0"/>
      <w:marRight w:val="0"/>
      <w:marTop w:val="0"/>
      <w:marBottom w:val="0"/>
      <w:divBdr>
        <w:top w:val="none" w:sz="0" w:space="0" w:color="auto"/>
        <w:left w:val="none" w:sz="0" w:space="0" w:color="auto"/>
        <w:bottom w:val="none" w:sz="0" w:space="0" w:color="auto"/>
        <w:right w:val="none" w:sz="0" w:space="0" w:color="auto"/>
      </w:divBdr>
    </w:div>
    <w:div w:id="1099643689">
      <w:bodyDiv w:val="1"/>
      <w:marLeft w:val="0"/>
      <w:marRight w:val="0"/>
      <w:marTop w:val="0"/>
      <w:marBottom w:val="0"/>
      <w:divBdr>
        <w:top w:val="none" w:sz="0" w:space="0" w:color="auto"/>
        <w:left w:val="none" w:sz="0" w:space="0" w:color="auto"/>
        <w:bottom w:val="none" w:sz="0" w:space="0" w:color="auto"/>
        <w:right w:val="none" w:sz="0" w:space="0" w:color="auto"/>
      </w:divBdr>
    </w:div>
    <w:div w:id="1106849078">
      <w:bodyDiv w:val="1"/>
      <w:marLeft w:val="0"/>
      <w:marRight w:val="0"/>
      <w:marTop w:val="0"/>
      <w:marBottom w:val="0"/>
      <w:divBdr>
        <w:top w:val="none" w:sz="0" w:space="0" w:color="auto"/>
        <w:left w:val="none" w:sz="0" w:space="0" w:color="auto"/>
        <w:bottom w:val="none" w:sz="0" w:space="0" w:color="auto"/>
        <w:right w:val="none" w:sz="0" w:space="0" w:color="auto"/>
      </w:divBdr>
    </w:div>
    <w:div w:id="1114204794">
      <w:bodyDiv w:val="1"/>
      <w:marLeft w:val="0"/>
      <w:marRight w:val="0"/>
      <w:marTop w:val="0"/>
      <w:marBottom w:val="0"/>
      <w:divBdr>
        <w:top w:val="none" w:sz="0" w:space="0" w:color="auto"/>
        <w:left w:val="none" w:sz="0" w:space="0" w:color="auto"/>
        <w:bottom w:val="none" w:sz="0" w:space="0" w:color="auto"/>
        <w:right w:val="none" w:sz="0" w:space="0" w:color="auto"/>
      </w:divBdr>
    </w:div>
    <w:div w:id="1116950444">
      <w:bodyDiv w:val="1"/>
      <w:marLeft w:val="0"/>
      <w:marRight w:val="0"/>
      <w:marTop w:val="0"/>
      <w:marBottom w:val="0"/>
      <w:divBdr>
        <w:top w:val="none" w:sz="0" w:space="0" w:color="auto"/>
        <w:left w:val="none" w:sz="0" w:space="0" w:color="auto"/>
        <w:bottom w:val="none" w:sz="0" w:space="0" w:color="auto"/>
        <w:right w:val="none" w:sz="0" w:space="0" w:color="auto"/>
      </w:divBdr>
    </w:div>
    <w:div w:id="1119370829">
      <w:bodyDiv w:val="1"/>
      <w:marLeft w:val="0"/>
      <w:marRight w:val="0"/>
      <w:marTop w:val="0"/>
      <w:marBottom w:val="0"/>
      <w:divBdr>
        <w:top w:val="none" w:sz="0" w:space="0" w:color="auto"/>
        <w:left w:val="none" w:sz="0" w:space="0" w:color="auto"/>
        <w:bottom w:val="none" w:sz="0" w:space="0" w:color="auto"/>
        <w:right w:val="none" w:sz="0" w:space="0" w:color="auto"/>
      </w:divBdr>
    </w:div>
    <w:div w:id="1129739013">
      <w:bodyDiv w:val="1"/>
      <w:marLeft w:val="0"/>
      <w:marRight w:val="0"/>
      <w:marTop w:val="0"/>
      <w:marBottom w:val="0"/>
      <w:divBdr>
        <w:top w:val="none" w:sz="0" w:space="0" w:color="auto"/>
        <w:left w:val="none" w:sz="0" w:space="0" w:color="auto"/>
        <w:bottom w:val="none" w:sz="0" w:space="0" w:color="auto"/>
        <w:right w:val="none" w:sz="0" w:space="0" w:color="auto"/>
      </w:divBdr>
    </w:div>
    <w:div w:id="113024314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5850092">
      <w:bodyDiv w:val="1"/>
      <w:marLeft w:val="0"/>
      <w:marRight w:val="0"/>
      <w:marTop w:val="0"/>
      <w:marBottom w:val="0"/>
      <w:divBdr>
        <w:top w:val="none" w:sz="0" w:space="0" w:color="auto"/>
        <w:left w:val="none" w:sz="0" w:space="0" w:color="auto"/>
        <w:bottom w:val="none" w:sz="0" w:space="0" w:color="auto"/>
        <w:right w:val="none" w:sz="0" w:space="0" w:color="auto"/>
      </w:divBdr>
    </w:div>
    <w:div w:id="1151406898">
      <w:bodyDiv w:val="1"/>
      <w:marLeft w:val="0"/>
      <w:marRight w:val="0"/>
      <w:marTop w:val="0"/>
      <w:marBottom w:val="0"/>
      <w:divBdr>
        <w:top w:val="none" w:sz="0" w:space="0" w:color="auto"/>
        <w:left w:val="none" w:sz="0" w:space="0" w:color="auto"/>
        <w:bottom w:val="none" w:sz="0" w:space="0" w:color="auto"/>
        <w:right w:val="none" w:sz="0" w:space="0" w:color="auto"/>
      </w:divBdr>
    </w:div>
    <w:div w:id="1154491725">
      <w:bodyDiv w:val="1"/>
      <w:marLeft w:val="0"/>
      <w:marRight w:val="0"/>
      <w:marTop w:val="0"/>
      <w:marBottom w:val="0"/>
      <w:divBdr>
        <w:top w:val="none" w:sz="0" w:space="0" w:color="auto"/>
        <w:left w:val="none" w:sz="0" w:space="0" w:color="auto"/>
        <w:bottom w:val="none" w:sz="0" w:space="0" w:color="auto"/>
        <w:right w:val="none" w:sz="0" w:space="0" w:color="auto"/>
      </w:divBdr>
    </w:div>
    <w:div w:id="1157113236">
      <w:bodyDiv w:val="1"/>
      <w:marLeft w:val="0"/>
      <w:marRight w:val="0"/>
      <w:marTop w:val="0"/>
      <w:marBottom w:val="0"/>
      <w:divBdr>
        <w:top w:val="none" w:sz="0" w:space="0" w:color="auto"/>
        <w:left w:val="none" w:sz="0" w:space="0" w:color="auto"/>
        <w:bottom w:val="none" w:sz="0" w:space="0" w:color="auto"/>
        <w:right w:val="none" w:sz="0" w:space="0" w:color="auto"/>
      </w:divBdr>
    </w:div>
    <w:div w:id="1158034926">
      <w:bodyDiv w:val="1"/>
      <w:marLeft w:val="0"/>
      <w:marRight w:val="0"/>
      <w:marTop w:val="0"/>
      <w:marBottom w:val="0"/>
      <w:divBdr>
        <w:top w:val="none" w:sz="0" w:space="0" w:color="auto"/>
        <w:left w:val="none" w:sz="0" w:space="0" w:color="auto"/>
        <w:bottom w:val="none" w:sz="0" w:space="0" w:color="auto"/>
        <w:right w:val="none" w:sz="0" w:space="0" w:color="auto"/>
      </w:divBdr>
    </w:div>
    <w:div w:id="1158687013">
      <w:bodyDiv w:val="1"/>
      <w:marLeft w:val="0"/>
      <w:marRight w:val="0"/>
      <w:marTop w:val="0"/>
      <w:marBottom w:val="0"/>
      <w:divBdr>
        <w:top w:val="none" w:sz="0" w:space="0" w:color="auto"/>
        <w:left w:val="none" w:sz="0" w:space="0" w:color="auto"/>
        <w:bottom w:val="none" w:sz="0" w:space="0" w:color="auto"/>
        <w:right w:val="none" w:sz="0" w:space="0" w:color="auto"/>
      </w:divBdr>
    </w:div>
    <w:div w:id="1159230380">
      <w:bodyDiv w:val="1"/>
      <w:marLeft w:val="0"/>
      <w:marRight w:val="0"/>
      <w:marTop w:val="0"/>
      <w:marBottom w:val="0"/>
      <w:divBdr>
        <w:top w:val="none" w:sz="0" w:space="0" w:color="auto"/>
        <w:left w:val="none" w:sz="0" w:space="0" w:color="auto"/>
        <w:bottom w:val="none" w:sz="0" w:space="0" w:color="auto"/>
        <w:right w:val="none" w:sz="0" w:space="0" w:color="auto"/>
      </w:divBdr>
    </w:div>
    <w:div w:id="1166630930">
      <w:bodyDiv w:val="1"/>
      <w:marLeft w:val="0"/>
      <w:marRight w:val="0"/>
      <w:marTop w:val="0"/>
      <w:marBottom w:val="0"/>
      <w:divBdr>
        <w:top w:val="none" w:sz="0" w:space="0" w:color="auto"/>
        <w:left w:val="none" w:sz="0" w:space="0" w:color="auto"/>
        <w:bottom w:val="none" w:sz="0" w:space="0" w:color="auto"/>
        <w:right w:val="none" w:sz="0" w:space="0" w:color="auto"/>
      </w:divBdr>
    </w:div>
    <w:div w:id="1168058924">
      <w:bodyDiv w:val="1"/>
      <w:marLeft w:val="0"/>
      <w:marRight w:val="0"/>
      <w:marTop w:val="0"/>
      <w:marBottom w:val="0"/>
      <w:divBdr>
        <w:top w:val="none" w:sz="0" w:space="0" w:color="auto"/>
        <w:left w:val="none" w:sz="0" w:space="0" w:color="auto"/>
        <w:bottom w:val="none" w:sz="0" w:space="0" w:color="auto"/>
        <w:right w:val="none" w:sz="0" w:space="0" w:color="auto"/>
      </w:divBdr>
    </w:div>
    <w:div w:id="1170607433">
      <w:bodyDiv w:val="1"/>
      <w:marLeft w:val="0"/>
      <w:marRight w:val="0"/>
      <w:marTop w:val="0"/>
      <w:marBottom w:val="0"/>
      <w:divBdr>
        <w:top w:val="none" w:sz="0" w:space="0" w:color="auto"/>
        <w:left w:val="none" w:sz="0" w:space="0" w:color="auto"/>
        <w:bottom w:val="none" w:sz="0" w:space="0" w:color="auto"/>
        <w:right w:val="none" w:sz="0" w:space="0" w:color="auto"/>
      </w:divBdr>
    </w:div>
    <w:div w:id="1171217104">
      <w:bodyDiv w:val="1"/>
      <w:marLeft w:val="0"/>
      <w:marRight w:val="0"/>
      <w:marTop w:val="0"/>
      <w:marBottom w:val="0"/>
      <w:divBdr>
        <w:top w:val="none" w:sz="0" w:space="0" w:color="auto"/>
        <w:left w:val="none" w:sz="0" w:space="0" w:color="auto"/>
        <w:bottom w:val="none" w:sz="0" w:space="0" w:color="auto"/>
        <w:right w:val="none" w:sz="0" w:space="0" w:color="auto"/>
      </w:divBdr>
    </w:div>
    <w:div w:id="1178731239">
      <w:bodyDiv w:val="1"/>
      <w:marLeft w:val="0"/>
      <w:marRight w:val="0"/>
      <w:marTop w:val="0"/>
      <w:marBottom w:val="0"/>
      <w:divBdr>
        <w:top w:val="none" w:sz="0" w:space="0" w:color="auto"/>
        <w:left w:val="none" w:sz="0" w:space="0" w:color="auto"/>
        <w:bottom w:val="none" w:sz="0" w:space="0" w:color="auto"/>
        <w:right w:val="none" w:sz="0" w:space="0" w:color="auto"/>
      </w:divBdr>
    </w:div>
    <w:div w:id="1187325725">
      <w:bodyDiv w:val="1"/>
      <w:marLeft w:val="0"/>
      <w:marRight w:val="0"/>
      <w:marTop w:val="0"/>
      <w:marBottom w:val="0"/>
      <w:divBdr>
        <w:top w:val="none" w:sz="0" w:space="0" w:color="auto"/>
        <w:left w:val="none" w:sz="0" w:space="0" w:color="auto"/>
        <w:bottom w:val="none" w:sz="0" w:space="0" w:color="auto"/>
        <w:right w:val="none" w:sz="0" w:space="0" w:color="auto"/>
      </w:divBdr>
    </w:div>
    <w:div w:id="1191647330">
      <w:bodyDiv w:val="1"/>
      <w:marLeft w:val="0"/>
      <w:marRight w:val="0"/>
      <w:marTop w:val="0"/>
      <w:marBottom w:val="0"/>
      <w:divBdr>
        <w:top w:val="none" w:sz="0" w:space="0" w:color="auto"/>
        <w:left w:val="none" w:sz="0" w:space="0" w:color="auto"/>
        <w:bottom w:val="none" w:sz="0" w:space="0" w:color="auto"/>
        <w:right w:val="none" w:sz="0" w:space="0" w:color="auto"/>
      </w:divBdr>
    </w:div>
    <w:div w:id="1196886134">
      <w:bodyDiv w:val="1"/>
      <w:marLeft w:val="0"/>
      <w:marRight w:val="0"/>
      <w:marTop w:val="0"/>
      <w:marBottom w:val="0"/>
      <w:divBdr>
        <w:top w:val="none" w:sz="0" w:space="0" w:color="auto"/>
        <w:left w:val="none" w:sz="0" w:space="0" w:color="auto"/>
        <w:bottom w:val="none" w:sz="0" w:space="0" w:color="auto"/>
        <w:right w:val="none" w:sz="0" w:space="0" w:color="auto"/>
      </w:divBdr>
    </w:div>
    <w:div w:id="1198661567">
      <w:bodyDiv w:val="1"/>
      <w:marLeft w:val="0"/>
      <w:marRight w:val="0"/>
      <w:marTop w:val="0"/>
      <w:marBottom w:val="0"/>
      <w:divBdr>
        <w:top w:val="none" w:sz="0" w:space="0" w:color="auto"/>
        <w:left w:val="none" w:sz="0" w:space="0" w:color="auto"/>
        <w:bottom w:val="none" w:sz="0" w:space="0" w:color="auto"/>
        <w:right w:val="none" w:sz="0" w:space="0" w:color="auto"/>
      </w:divBdr>
    </w:div>
    <w:div w:id="1206329011">
      <w:bodyDiv w:val="1"/>
      <w:marLeft w:val="0"/>
      <w:marRight w:val="0"/>
      <w:marTop w:val="0"/>
      <w:marBottom w:val="0"/>
      <w:divBdr>
        <w:top w:val="none" w:sz="0" w:space="0" w:color="auto"/>
        <w:left w:val="none" w:sz="0" w:space="0" w:color="auto"/>
        <w:bottom w:val="none" w:sz="0" w:space="0" w:color="auto"/>
        <w:right w:val="none" w:sz="0" w:space="0" w:color="auto"/>
      </w:divBdr>
    </w:div>
    <w:div w:id="1215462564">
      <w:bodyDiv w:val="1"/>
      <w:marLeft w:val="0"/>
      <w:marRight w:val="0"/>
      <w:marTop w:val="0"/>
      <w:marBottom w:val="0"/>
      <w:divBdr>
        <w:top w:val="none" w:sz="0" w:space="0" w:color="auto"/>
        <w:left w:val="none" w:sz="0" w:space="0" w:color="auto"/>
        <w:bottom w:val="none" w:sz="0" w:space="0" w:color="auto"/>
        <w:right w:val="none" w:sz="0" w:space="0" w:color="auto"/>
      </w:divBdr>
    </w:div>
    <w:div w:id="1217205166">
      <w:bodyDiv w:val="1"/>
      <w:marLeft w:val="0"/>
      <w:marRight w:val="0"/>
      <w:marTop w:val="0"/>
      <w:marBottom w:val="0"/>
      <w:divBdr>
        <w:top w:val="none" w:sz="0" w:space="0" w:color="auto"/>
        <w:left w:val="none" w:sz="0" w:space="0" w:color="auto"/>
        <w:bottom w:val="none" w:sz="0" w:space="0" w:color="auto"/>
        <w:right w:val="none" w:sz="0" w:space="0" w:color="auto"/>
      </w:divBdr>
    </w:div>
    <w:div w:id="1217278455">
      <w:bodyDiv w:val="1"/>
      <w:marLeft w:val="0"/>
      <w:marRight w:val="0"/>
      <w:marTop w:val="0"/>
      <w:marBottom w:val="0"/>
      <w:divBdr>
        <w:top w:val="none" w:sz="0" w:space="0" w:color="auto"/>
        <w:left w:val="none" w:sz="0" w:space="0" w:color="auto"/>
        <w:bottom w:val="none" w:sz="0" w:space="0" w:color="auto"/>
        <w:right w:val="none" w:sz="0" w:space="0" w:color="auto"/>
      </w:divBdr>
    </w:div>
    <w:div w:id="1219902776">
      <w:bodyDiv w:val="1"/>
      <w:marLeft w:val="0"/>
      <w:marRight w:val="0"/>
      <w:marTop w:val="0"/>
      <w:marBottom w:val="0"/>
      <w:divBdr>
        <w:top w:val="none" w:sz="0" w:space="0" w:color="auto"/>
        <w:left w:val="none" w:sz="0" w:space="0" w:color="auto"/>
        <w:bottom w:val="none" w:sz="0" w:space="0" w:color="auto"/>
        <w:right w:val="none" w:sz="0" w:space="0" w:color="auto"/>
      </w:divBdr>
    </w:div>
    <w:div w:id="1220246728">
      <w:bodyDiv w:val="1"/>
      <w:marLeft w:val="0"/>
      <w:marRight w:val="0"/>
      <w:marTop w:val="0"/>
      <w:marBottom w:val="0"/>
      <w:divBdr>
        <w:top w:val="none" w:sz="0" w:space="0" w:color="auto"/>
        <w:left w:val="none" w:sz="0" w:space="0" w:color="auto"/>
        <w:bottom w:val="none" w:sz="0" w:space="0" w:color="auto"/>
        <w:right w:val="none" w:sz="0" w:space="0" w:color="auto"/>
      </w:divBdr>
    </w:div>
    <w:div w:id="1225532262">
      <w:bodyDiv w:val="1"/>
      <w:marLeft w:val="0"/>
      <w:marRight w:val="0"/>
      <w:marTop w:val="0"/>
      <w:marBottom w:val="0"/>
      <w:divBdr>
        <w:top w:val="none" w:sz="0" w:space="0" w:color="auto"/>
        <w:left w:val="none" w:sz="0" w:space="0" w:color="auto"/>
        <w:bottom w:val="none" w:sz="0" w:space="0" w:color="auto"/>
        <w:right w:val="none" w:sz="0" w:space="0" w:color="auto"/>
      </w:divBdr>
    </w:div>
    <w:div w:id="1228229877">
      <w:bodyDiv w:val="1"/>
      <w:marLeft w:val="0"/>
      <w:marRight w:val="0"/>
      <w:marTop w:val="0"/>
      <w:marBottom w:val="0"/>
      <w:divBdr>
        <w:top w:val="none" w:sz="0" w:space="0" w:color="auto"/>
        <w:left w:val="none" w:sz="0" w:space="0" w:color="auto"/>
        <w:bottom w:val="none" w:sz="0" w:space="0" w:color="auto"/>
        <w:right w:val="none" w:sz="0" w:space="0" w:color="auto"/>
      </w:divBdr>
    </w:div>
    <w:div w:id="1231697331">
      <w:bodyDiv w:val="1"/>
      <w:marLeft w:val="0"/>
      <w:marRight w:val="0"/>
      <w:marTop w:val="0"/>
      <w:marBottom w:val="0"/>
      <w:divBdr>
        <w:top w:val="none" w:sz="0" w:space="0" w:color="auto"/>
        <w:left w:val="none" w:sz="0" w:space="0" w:color="auto"/>
        <w:bottom w:val="none" w:sz="0" w:space="0" w:color="auto"/>
        <w:right w:val="none" w:sz="0" w:space="0" w:color="auto"/>
      </w:divBdr>
    </w:div>
    <w:div w:id="1249578051">
      <w:bodyDiv w:val="1"/>
      <w:marLeft w:val="0"/>
      <w:marRight w:val="0"/>
      <w:marTop w:val="0"/>
      <w:marBottom w:val="0"/>
      <w:divBdr>
        <w:top w:val="none" w:sz="0" w:space="0" w:color="auto"/>
        <w:left w:val="none" w:sz="0" w:space="0" w:color="auto"/>
        <w:bottom w:val="none" w:sz="0" w:space="0" w:color="auto"/>
        <w:right w:val="none" w:sz="0" w:space="0" w:color="auto"/>
      </w:divBdr>
    </w:div>
    <w:div w:id="1249580618">
      <w:bodyDiv w:val="1"/>
      <w:marLeft w:val="0"/>
      <w:marRight w:val="0"/>
      <w:marTop w:val="0"/>
      <w:marBottom w:val="0"/>
      <w:divBdr>
        <w:top w:val="none" w:sz="0" w:space="0" w:color="auto"/>
        <w:left w:val="none" w:sz="0" w:space="0" w:color="auto"/>
        <w:bottom w:val="none" w:sz="0" w:space="0" w:color="auto"/>
        <w:right w:val="none" w:sz="0" w:space="0" w:color="auto"/>
      </w:divBdr>
    </w:div>
    <w:div w:id="1265187979">
      <w:bodyDiv w:val="1"/>
      <w:marLeft w:val="0"/>
      <w:marRight w:val="0"/>
      <w:marTop w:val="0"/>
      <w:marBottom w:val="0"/>
      <w:divBdr>
        <w:top w:val="none" w:sz="0" w:space="0" w:color="auto"/>
        <w:left w:val="none" w:sz="0" w:space="0" w:color="auto"/>
        <w:bottom w:val="none" w:sz="0" w:space="0" w:color="auto"/>
        <w:right w:val="none" w:sz="0" w:space="0" w:color="auto"/>
      </w:divBdr>
    </w:div>
    <w:div w:id="1274940099">
      <w:bodyDiv w:val="1"/>
      <w:marLeft w:val="0"/>
      <w:marRight w:val="0"/>
      <w:marTop w:val="0"/>
      <w:marBottom w:val="0"/>
      <w:divBdr>
        <w:top w:val="none" w:sz="0" w:space="0" w:color="auto"/>
        <w:left w:val="none" w:sz="0" w:space="0" w:color="auto"/>
        <w:bottom w:val="none" w:sz="0" w:space="0" w:color="auto"/>
        <w:right w:val="none" w:sz="0" w:space="0" w:color="auto"/>
      </w:divBdr>
    </w:div>
    <w:div w:id="1284002155">
      <w:bodyDiv w:val="1"/>
      <w:marLeft w:val="0"/>
      <w:marRight w:val="0"/>
      <w:marTop w:val="0"/>
      <w:marBottom w:val="0"/>
      <w:divBdr>
        <w:top w:val="none" w:sz="0" w:space="0" w:color="auto"/>
        <w:left w:val="none" w:sz="0" w:space="0" w:color="auto"/>
        <w:bottom w:val="none" w:sz="0" w:space="0" w:color="auto"/>
        <w:right w:val="none" w:sz="0" w:space="0" w:color="auto"/>
      </w:divBdr>
    </w:div>
    <w:div w:id="1290892571">
      <w:bodyDiv w:val="1"/>
      <w:marLeft w:val="0"/>
      <w:marRight w:val="0"/>
      <w:marTop w:val="0"/>
      <w:marBottom w:val="0"/>
      <w:divBdr>
        <w:top w:val="none" w:sz="0" w:space="0" w:color="auto"/>
        <w:left w:val="none" w:sz="0" w:space="0" w:color="auto"/>
        <w:bottom w:val="none" w:sz="0" w:space="0" w:color="auto"/>
        <w:right w:val="none" w:sz="0" w:space="0" w:color="auto"/>
      </w:divBdr>
    </w:div>
    <w:div w:id="1291014361">
      <w:bodyDiv w:val="1"/>
      <w:marLeft w:val="0"/>
      <w:marRight w:val="0"/>
      <w:marTop w:val="0"/>
      <w:marBottom w:val="0"/>
      <w:divBdr>
        <w:top w:val="none" w:sz="0" w:space="0" w:color="auto"/>
        <w:left w:val="none" w:sz="0" w:space="0" w:color="auto"/>
        <w:bottom w:val="none" w:sz="0" w:space="0" w:color="auto"/>
        <w:right w:val="none" w:sz="0" w:space="0" w:color="auto"/>
      </w:divBdr>
    </w:div>
    <w:div w:id="1296720198">
      <w:bodyDiv w:val="1"/>
      <w:marLeft w:val="0"/>
      <w:marRight w:val="0"/>
      <w:marTop w:val="0"/>
      <w:marBottom w:val="0"/>
      <w:divBdr>
        <w:top w:val="none" w:sz="0" w:space="0" w:color="auto"/>
        <w:left w:val="none" w:sz="0" w:space="0" w:color="auto"/>
        <w:bottom w:val="none" w:sz="0" w:space="0" w:color="auto"/>
        <w:right w:val="none" w:sz="0" w:space="0" w:color="auto"/>
      </w:divBdr>
    </w:div>
    <w:div w:id="1302805871">
      <w:bodyDiv w:val="1"/>
      <w:marLeft w:val="0"/>
      <w:marRight w:val="0"/>
      <w:marTop w:val="0"/>
      <w:marBottom w:val="0"/>
      <w:divBdr>
        <w:top w:val="none" w:sz="0" w:space="0" w:color="auto"/>
        <w:left w:val="none" w:sz="0" w:space="0" w:color="auto"/>
        <w:bottom w:val="none" w:sz="0" w:space="0" w:color="auto"/>
        <w:right w:val="none" w:sz="0" w:space="0" w:color="auto"/>
      </w:divBdr>
    </w:div>
    <w:div w:id="1303196322">
      <w:bodyDiv w:val="1"/>
      <w:marLeft w:val="0"/>
      <w:marRight w:val="0"/>
      <w:marTop w:val="0"/>
      <w:marBottom w:val="0"/>
      <w:divBdr>
        <w:top w:val="none" w:sz="0" w:space="0" w:color="auto"/>
        <w:left w:val="none" w:sz="0" w:space="0" w:color="auto"/>
        <w:bottom w:val="none" w:sz="0" w:space="0" w:color="auto"/>
        <w:right w:val="none" w:sz="0" w:space="0" w:color="auto"/>
      </w:divBdr>
    </w:div>
    <w:div w:id="1309282507">
      <w:bodyDiv w:val="1"/>
      <w:marLeft w:val="0"/>
      <w:marRight w:val="0"/>
      <w:marTop w:val="0"/>
      <w:marBottom w:val="0"/>
      <w:divBdr>
        <w:top w:val="none" w:sz="0" w:space="0" w:color="auto"/>
        <w:left w:val="none" w:sz="0" w:space="0" w:color="auto"/>
        <w:bottom w:val="none" w:sz="0" w:space="0" w:color="auto"/>
        <w:right w:val="none" w:sz="0" w:space="0" w:color="auto"/>
      </w:divBdr>
    </w:div>
    <w:div w:id="1312324134">
      <w:bodyDiv w:val="1"/>
      <w:marLeft w:val="0"/>
      <w:marRight w:val="0"/>
      <w:marTop w:val="0"/>
      <w:marBottom w:val="0"/>
      <w:divBdr>
        <w:top w:val="none" w:sz="0" w:space="0" w:color="auto"/>
        <w:left w:val="none" w:sz="0" w:space="0" w:color="auto"/>
        <w:bottom w:val="none" w:sz="0" w:space="0" w:color="auto"/>
        <w:right w:val="none" w:sz="0" w:space="0" w:color="auto"/>
      </w:divBdr>
    </w:div>
    <w:div w:id="1314796799">
      <w:bodyDiv w:val="1"/>
      <w:marLeft w:val="0"/>
      <w:marRight w:val="0"/>
      <w:marTop w:val="0"/>
      <w:marBottom w:val="0"/>
      <w:divBdr>
        <w:top w:val="none" w:sz="0" w:space="0" w:color="auto"/>
        <w:left w:val="none" w:sz="0" w:space="0" w:color="auto"/>
        <w:bottom w:val="none" w:sz="0" w:space="0" w:color="auto"/>
        <w:right w:val="none" w:sz="0" w:space="0" w:color="auto"/>
      </w:divBdr>
    </w:div>
    <w:div w:id="1316571931">
      <w:bodyDiv w:val="1"/>
      <w:marLeft w:val="0"/>
      <w:marRight w:val="0"/>
      <w:marTop w:val="0"/>
      <w:marBottom w:val="0"/>
      <w:divBdr>
        <w:top w:val="none" w:sz="0" w:space="0" w:color="auto"/>
        <w:left w:val="none" w:sz="0" w:space="0" w:color="auto"/>
        <w:bottom w:val="none" w:sz="0" w:space="0" w:color="auto"/>
        <w:right w:val="none" w:sz="0" w:space="0" w:color="auto"/>
      </w:divBdr>
    </w:div>
    <w:div w:id="1322930751">
      <w:bodyDiv w:val="1"/>
      <w:marLeft w:val="0"/>
      <w:marRight w:val="0"/>
      <w:marTop w:val="0"/>
      <w:marBottom w:val="0"/>
      <w:divBdr>
        <w:top w:val="none" w:sz="0" w:space="0" w:color="auto"/>
        <w:left w:val="none" w:sz="0" w:space="0" w:color="auto"/>
        <w:bottom w:val="none" w:sz="0" w:space="0" w:color="auto"/>
        <w:right w:val="none" w:sz="0" w:space="0" w:color="auto"/>
      </w:divBdr>
    </w:div>
    <w:div w:id="1326321857">
      <w:bodyDiv w:val="1"/>
      <w:marLeft w:val="0"/>
      <w:marRight w:val="0"/>
      <w:marTop w:val="0"/>
      <w:marBottom w:val="0"/>
      <w:divBdr>
        <w:top w:val="none" w:sz="0" w:space="0" w:color="auto"/>
        <w:left w:val="none" w:sz="0" w:space="0" w:color="auto"/>
        <w:bottom w:val="none" w:sz="0" w:space="0" w:color="auto"/>
        <w:right w:val="none" w:sz="0" w:space="0" w:color="auto"/>
      </w:divBdr>
    </w:div>
    <w:div w:id="1329944196">
      <w:bodyDiv w:val="1"/>
      <w:marLeft w:val="0"/>
      <w:marRight w:val="0"/>
      <w:marTop w:val="0"/>
      <w:marBottom w:val="0"/>
      <w:divBdr>
        <w:top w:val="none" w:sz="0" w:space="0" w:color="auto"/>
        <w:left w:val="none" w:sz="0" w:space="0" w:color="auto"/>
        <w:bottom w:val="none" w:sz="0" w:space="0" w:color="auto"/>
        <w:right w:val="none" w:sz="0" w:space="0" w:color="auto"/>
      </w:divBdr>
    </w:div>
    <w:div w:id="1330600091">
      <w:bodyDiv w:val="1"/>
      <w:marLeft w:val="0"/>
      <w:marRight w:val="0"/>
      <w:marTop w:val="0"/>
      <w:marBottom w:val="0"/>
      <w:divBdr>
        <w:top w:val="none" w:sz="0" w:space="0" w:color="auto"/>
        <w:left w:val="none" w:sz="0" w:space="0" w:color="auto"/>
        <w:bottom w:val="none" w:sz="0" w:space="0" w:color="auto"/>
        <w:right w:val="none" w:sz="0" w:space="0" w:color="auto"/>
      </w:divBdr>
    </w:div>
    <w:div w:id="1333948824">
      <w:bodyDiv w:val="1"/>
      <w:marLeft w:val="0"/>
      <w:marRight w:val="0"/>
      <w:marTop w:val="0"/>
      <w:marBottom w:val="0"/>
      <w:divBdr>
        <w:top w:val="none" w:sz="0" w:space="0" w:color="auto"/>
        <w:left w:val="none" w:sz="0" w:space="0" w:color="auto"/>
        <w:bottom w:val="none" w:sz="0" w:space="0" w:color="auto"/>
        <w:right w:val="none" w:sz="0" w:space="0" w:color="auto"/>
      </w:divBdr>
    </w:div>
    <w:div w:id="1334603356">
      <w:bodyDiv w:val="1"/>
      <w:marLeft w:val="0"/>
      <w:marRight w:val="0"/>
      <w:marTop w:val="0"/>
      <w:marBottom w:val="0"/>
      <w:divBdr>
        <w:top w:val="none" w:sz="0" w:space="0" w:color="auto"/>
        <w:left w:val="none" w:sz="0" w:space="0" w:color="auto"/>
        <w:bottom w:val="none" w:sz="0" w:space="0" w:color="auto"/>
        <w:right w:val="none" w:sz="0" w:space="0" w:color="auto"/>
      </w:divBdr>
    </w:div>
    <w:div w:id="1335108439">
      <w:bodyDiv w:val="1"/>
      <w:marLeft w:val="0"/>
      <w:marRight w:val="0"/>
      <w:marTop w:val="0"/>
      <w:marBottom w:val="0"/>
      <w:divBdr>
        <w:top w:val="none" w:sz="0" w:space="0" w:color="auto"/>
        <w:left w:val="none" w:sz="0" w:space="0" w:color="auto"/>
        <w:bottom w:val="none" w:sz="0" w:space="0" w:color="auto"/>
        <w:right w:val="none" w:sz="0" w:space="0" w:color="auto"/>
      </w:divBdr>
    </w:div>
    <w:div w:id="1336961845">
      <w:bodyDiv w:val="1"/>
      <w:marLeft w:val="0"/>
      <w:marRight w:val="0"/>
      <w:marTop w:val="0"/>
      <w:marBottom w:val="0"/>
      <w:divBdr>
        <w:top w:val="none" w:sz="0" w:space="0" w:color="auto"/>
        <w:left w:val="none" w:sz="0" w:space="0" w:color="auto"/>
        <w:bottom w:val="none" w:sz="0" w:space="0" w:color="auto"/>
        <w:right w:val="none" w:sz="0" w:space="0" w:color="auto"/>
      </w:divBdr>
    </w:div>
    <w:div w:id="1345011661">
      <w:bodyDiv w:val="1"/>
      <w:marLeft w:val="0"/>
      <w:marRight w:val="0"/>
      <w:marTop w:val="0"/>
      <w:marBottom w:val="0"/>
      <w:divBdr>
        <w:top w:val="none" w:sz="0" w:space="0" w:color="auto"/>
        <w:left w:val="none" w:sz="0" w:space="0" w:color="auto"/>
        <w:bottom w:val="none" w:sz="0" w:space="0" w:color="auto"/>
        <w:right w:val="none" w:sz="0" w:space="0" w:color="auto"/>
      </w:divBdr>
    </w:div>
    <w:div w:id="1345473426">
      <w:bodyDiv w:val="1"/>
      <w:marLeft w:val="0"/>
      <w:marRight w:val="0"/>
      <w:marTop w:val="0"/>
      <w:marBottom w:val="0"/>
      <w:divBdr>
        <w:top w:val="none" w:sz="0" w:space="0" w:color="auto"/>
        <w:left w:val="none" w:sz="0" w:space="0" w:color="auto"/>
        <w:bottom w:val="none" w:sz="0" w:space="0" w:color="auto"/>
        <w:right w:val="none" w:sz="0" w:space="0" w:color="auto"/>
      </w:divBdr>
    </w:div>
    <w:div w:id="1345590622">
      <w:bodyDiv w:val="1"/>
      <w:marLeft w:val="0"/>
      <w:marRight w:val="0"/>
      <w:marTop w:val="0"/>
      <w:marBottom w:val="0"/>
      <w:divBdr>
        <w:top w:val="none" w:sz="0" w:space="0" w:color="auto"/>
        <w:left w:val="none" w:sz="0" w:space="0" w:color="auto"/>
        <w:bottom w:val="none" w:sz="0" w:space="0" w:color="auto"/>
        <w:right w:val="none" w:sz="0" w:space="0" w:color="auto"/>
      </w:divBdr>
    </w:div>
    <w:div w:id="1345716248">
      <w:bodyDiv w:val="1"/>
      <w:marLeft w:val="0"/>
      <w:marRight w:val="0"/>
      <w:marTop w:val="0"/>
      <w:marBottom w:val="0"/>
      <w:divBdr>
        <w:top w:val="none" w:sz="0" w:space="0" w:color="auto"/>
        <w:left w:val="none" w:sz="0" w:space="0" w:color="auto"/>
        <w:bottom w:val="none" w:sz="0" w:space="0" w:color="auto"/>
        <w:right w:val="none" w:sz="0" w:space="0" w:color="auto"/>
      </w:divBdr>
    </w:div>
    <w:div w:id="1347905875">
      <w:bodyDiv w:val="1"/>
      <w:marLeft w:val="0"/>
      <w:marRight w:val="0"/>
      <w:marTop w:val="0"/>
      <w:marBottom w:val="0"/>
      <w:divBdr>
        <w:top w:val="none" w:sz="0" w:space="0" w:color="auto"/>
        <w:left w:val="none" w:sz="0" w:space="0" w:color="auto"/>
        <w:bottom w:val="none" w:sz="0" w:space="0" w:color="auto"/>
        <w:right w:val="none" w:sz="0" w:space="0" w:color="auto"/>
      </w:divBdr>
    </w:div>
    <w:div w:id="1352798542">
      <w:bodyDiv w:val="1"/>
      <w:marLeft w:val="0"/>
      <w:marRight w:val="0"/>
      <w:marTop w:val="0"/>
      <w:marBottom w:val="0"/>
      <w:divBdr>
        <w:top w:val="none" w:sz="0" w:space="0" w:color="auto"/>
        <w:left w:val="none" w:sz="0" w:space="0" w:color="auto"/>
        <w:bottom w:val="none" w:sz="0" w:space="0" w:color="auto"/>
        <w:right w:val="none" w:sz="0" w:space="0" w:color="auto"/>
      </w:divBdr>
    </w:div>
    <w:div w:id="1357928235">
      <w:bodyDiv w:val="1"/>
      <w:marLeft w:val="0"/>
      <w:marRight w:val="0"/>
      <w:marTop w:val="0"/>
      <w:marBottom w:val="0"/>
      <w:divBdr>
        <w:top w:val="none" w:sz="0" w:space="0" w:color="auto"/>
        <w:left w:val="none" w:sz="0" w:space="0" w:color="auto"/>
        <w:bottom w:val="none" w:sz="0" w:space="0" w:color="auto"/>
        <w:right w:val="none" w:sz="0" w:space="0" w:color="auto"/>
      </w:divBdr>
    </w:div>
    <w:div w:id="1358889093">
      <w:bodyDiv w:val="1"/>
      <w:marLeft w:val="0"/>
      <w:marRight w:val="0"/>
      <w:marTop w:val="0"/>
      <w:marBottom w:val="0"/>
      <w:divBdr>
        <w:top w:val="none" w:sz="0" w:space="0" w:color="auto"/>
        <w:left w:val="none" w:sz="0" w:space="0" w:color="auto"/>
        <w:bottom w:val="none" w:sz="0" w:space="0" w:color="auto"/>
        <w:right w:val="none" w:sz="0" w:space="0" w:color="auto"/>
      </w:divBdr>
    </w:div>
    <w:div w:id="1359506513">
      <w:bodyDiv w:val="1"/>
      <w:marLeft w:val="0"/>
      <w:marRight w:val="0"/>
      <w:marTop w:val="0"/>
      <w:marBottom w:val="0"/>
      <w:divBdr>
        <w:top w:val="none" w:sz="0" w:space="0" w:color="auto"/>
        <w:left w:val="none" w:sz="0" w:space="0" w:color="auto"/>
        <w:bottom w:val="none" w:sz="0" w:space="0" w:color="auto"/>
        <w:right w:val="none" w:sz="0" w:space="0" w:color="auto"/>
      </w:divBdr>
    </w:div>
    <w:div w:id="1361736511">
      <w:bodyDiv w:val="1"/>
      <w:marLeft w:val="0"/>
      <w:marRight w:val="0"/>
      <w:marTop w:val="0"/>
      <w:marBottom w:val="0"/>
      <w:divBdr>
        <w:top w:val="none" w:sz="0" w:space="0" w:color="auto"/>
        <w:left w:val="none" w:sz="0" w:space="0" w:color="auto"/>
        <w:bottom w:val="none" w:sz="0" w:space="0" w:color="auto"/>
        <w:right w:val="none" w:sz="0" w:space="0" w:color="auto"/>
      </w:divBdr>
    </w:div>
    <w:div w:id="1370374676">
      <w:bodyDiv w:val="1"/>
      <w:marLeft w:val="0"/>
      <w:marRight w:val="0"/>
      <w:marTop w:val="0"/>
      <w:marBottom w:val="0"/>
      <w:divBdr>
        <w:top w:val="none" w:sz="0" w:space="0" w:color="auto"/>
        <w:left w:val="none" w:sz="0" w:space="0" w:color="auto"/>
        <w:bottom w:val="none" w:sz="0" w:space="0" w:color="auto"/>
        <w:right w:val="none" w:sz="0" w:space="0" w:color="auto"/>
      </w:divBdr>
    </w:div>
    <w:div w:id="1376076443">
      <w:bodyDiv w:val="1"/>
      <w:marLeft w:val="0"/>
      <w:marRight w:val="0"/>
      <w:marTop w:val="0"/>
      <w:marBottom w:val="0"/>
      <w:divBdr>
        <w:top w:val="none" w:sz="0" w:space="0" w:color="auto"/>
        <w:left w:val="none" w:sz="0" w:space="0" w:color="auto"/>
        <w:bottom w:val="none" w:sz="0" w:space="0" w:color="auto"/>
        <w:right w:val="none" w:sz="0" w:space="0" w:color="auto"/>
      </w:divBdr>
    </w:div>
    <w:div w:id="1389569366">
      <w:bodyDiv w:val="1"/>
      <w:marLeft w:val="0"/>
      <w:marRight w:val="0"/>
      <w:marTop w:val="0"/>
      <w:marBottom w:val="0"/>
      <w:divBdr>
        <w:top w:val="none" w:sz="0" w:space="0" w:color="auto"/>
        <w:left w:val="none" w:sz="0" w:space="0" w:color="auto"/>
        <w:bottom w:val="none" w:sz="0" w:space="0" w:color="auto"/>
        <w:right w:val="none" w:sz="0" w:space="0" w:color="auto"/>
      </w:divBdr>
    </w:div>
    <w:div w:id="1392122096">
      <w:bodyDiv w:val="1"/>
      <w:marLeft w:val="0"/>
      <w:marRight w:val="0"/>
      <w:marTop w:val="0"/>
      <w:marBottom w:val="0"/>
      <w:divBdr>
        <w:top w:val="none" w:sz="0" w:space="0" w:color="auto"/>
        <w:left w:val="none" w:sz="0" w:space="0" w:color="auto"/>
        <w:bottom w:val="none" w:sz="0" w:space="0" w:color="auto"/>
        <w:right w:val="none" w:sz="0" w:space="0" w:color="auto"/>
      </w:divBdr>
    </w:div>
    <w:div w:id="1407990976">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7628690">
      <w:bodyDiv w:val="1"/>
      <w:marLeft w:val="0"/>
      <w:marRight w:val="0"/>
      <w:marTop w:val="0"/>
      <w:marBottom w:val="0"/>
      <w:divBdr>
        <w:top w:val="none" w:sz="0" w:space="0" w:color="auto"/>
        <w:left w:val="none" w:sz="0" w:space="0" w:color="auto"/>
        <w:bottom w:val="none" w:sz="0" w:space="0" w:color="auto"/>
        <w:right w:val="none" w:sz="0" w:space="0" w:color="auto"/>
      </w:divBdr>
    </w:div>
    <w:div w:id="1420833816">
      <w:bodyDiv w:val="1"/>
      <w:marLeft w:val="0"/>
      <w:marRight w:val="0"/>
      <w:marTop w:val="0"/>
      <w:marBottom w:val="0"/>
      <w:divBdr>
        <w:top w:val="none" w:sz="0" w:space="0" w:color="auto"/>
        <w:left w:val="none" w:sz="0" w:space="0" w:color="auto"/>
        <w:bottom w:val="none" w:sz="0" w:space="0" w:color="auto"/>
        <w:right w:val="none" w:sz="0" w:space="0" w:color="auto"/>
      </w:divBdr>
    </w:div>
    <w:div w:id="1422217524">
      <w:bodyDiv w:val="1"/>
      <w:marLeft w:val="0"/>
      <w:marRight w:val="0"/>
      <w:marTop w:val="0"/>
      <w:marBottom w:val="0"/>
      <w:divBdr>
        <w:top w:val="none" w:sz="0" w:space="0" w:color="auto"/>
        <w:left w:val="none" w:sz="0" w:space="0" w:color="auto"/>
        <w:bottom w:val="none" w:sz="0" w:space="0" w:color="auto"/>
        <w:right w:val="none" w:sz="0" w:space="0" w:color="auto"/>
      </w:divBdr>
    </w:div>
    <w:div w:id="1425767275">
      <w:bodyDiv w:val="1"/>
      <w:marLeft w:val="0"/>
      <w:marRight w:val="0"/>
      <w:marTop w:val="0"/>
      <w:marBottom w:val="0"/>
      <w:divBdr>
        <w:top w:val="none" w:sz="0" w:space="0" w:color="auto"/>
        <w:left w:val="none" w:sz="0" w:space="0" w:color="auto"/>
        <w:bottom w:val="none" w:sz="0" w:space="0" w:color="auto"/>
        <w:right w:val="none" w:sz="0" w:space="0" w:color="auto"/>
      </w:divBdr>
    </w:div>
    <w:div w:id="1433041633">
      <w:bodyDiv w:val="1"/>
      <w:marLeft w:val="0"/>
      <w:marRight w:val="0"/>
      <w:marTop w:val="0"/>
      <w:marBottom w:val="0"/>
      <w:divBdr>
        <w:top w:val="none" w:sz="0" w:space="0" w:color="auto"/>
        <w:left w:val="none" w:sz="0" w:space="0" w:color="auto"/>
        <w:bottom w:val="none" w:sz="0" w:space="0" w:color="auto"/>
        <w:right w:val="none" w:sz="0" w:space="0" w:color="auto"/>
      </w:divBdr>
    </w:div>
    <w:div w:id="1434588847">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3920579">
      <w:bodyDiv w:val="1"/>
      <w:marLeft w:val="0"/>
      <w:marRight w:val="0"/>
      <w:marTop w:val="0"/>
      <w:marBottom w:val="0"/>
      <w:divBdr>
        <w:top w:val="none" w:sz="0" w:space="0" w:color="auto"/>
        <w:left w:val="none" w:sz="0" w:space="0" w:color="auto"/>
        <w:bottom w:val="none" w:sz="0" w:space="0" w:color="auto"/>
        <w:right w:val="none" w:sz="0" w:space="0" w:color="auto"/>
      </w:divBdr>
    </w:div>
    <w:div w:id="1444887567">
      <w:bodyDiv w:val="1"/>
      <w:marLeft w:val="0"/>
      <w:marRight w:val="0"/>
      <w:marTop w:val="0"/>
      <w:marBottom w:val="0"/>
      <w:divBdr>
        <w:top w:val="none" w:sz="0" w:space="0" w:color="auto"/>
        <w:left w:val="none" w:sz="0" w:space="0" w:color="auto"/>
        <w:bottom w:val="none" w:sz="0" w:space="0" w:color="auto"/>
        <w:right w:val="none" w:sz="0" w:space="0" w:color="auto"/>
      </w:divBdr>
    </w:div>
    <w:div w:id="1445073167">
      <w:bodyDiv w:val="1"/>
      <w:marLeft w:val="0"/>
      <w:marRight w:val="0"/>
      <w:marTop w:val="0"/>
      <w:marBottom w:val="0"/>
      <w:divBdr>
        <w:top w:val="none" w:sz="0" w:space="0" w:color="auto"/>
        <w:left w:val="none" w:sz="0" w:space="0" w:color="auto"/>
        <w:bottom w:val="none" w:sz="0" w:space="0" w:color="auto"/>
        <w:right w:val="none" w:sz="0" w:space="0" w:color="auto"/>
      </w:divBdr>
    </w:div>
    <w:div w:id="1445929807">
      <w:bodyDiv w:val="1"/>
      <w:marLeft w:val="0"/>
      <w:marRight w:val="0"/>
      <w:marTop w:val="0"/>
      <w:marBottom w:val="0"/>
      <w:divBdr>
        <w:top w:val="none" w:sz="0" w:space="0" w:color="auto"/>
        <w:left w:val="none" w:sz="0" w:space="0" w:color="auto"/>
        <w:bottom w:val="none" w:sz="0" w:space="0" w:color="auto"/>
        <w:right w:val="none" w:sz="0" w:space="0" w:color="auto"/>
      </w:divBdr>
    </w:div>
    <w:div w:id="1461992460">
      <w:bodyDiv w:val="1"/>
      <w:marLeft w:val="0"/>
      <w:marRight w:val="0"/>
      <w:marTop w:val="0"/>
      <w:marBottom w:val="0"/>
      <w:divBdr>
        <w:top w:val="none" w:sz="0" w:space="0" w:color="auto"/>
        <w:left w:val="none" w:sz="0" w:space="0" w:color="auto"/>
        <w:bottom w:val="none" w:sz="0" w:space="0" w:color="auto"/>
        <w:right w:val="none" w:sz="0" w:space="0" w:color="auto"/>
      </w:divBdr>
    </w:div>
    <w:div w:id="1463956817">
      <w:bodyDiv w:val="1"/>
      <w:marLeft w:val="0"/>
      <w:marRight w:val="0"/>
      <w:marTop w:val="0"/>
      <w:marBottom w:val="0"/>
      <w:divBdr>
        <w:top w:val="none" w:sz="0" w:space="0" w:color="auto"/>
        <w:left w:val="none" w:sz="0" w:space="0" w:color="auto"/>
        <w:bottom w:val="none" w:sz="0" w:space="0" w:color="auto"/>
        <w:right w:val="none" w:sz="0" w:space="0" w:color="auto"/>
      </w:divBdr>
    </w:div>
    <w:div w:id="1474953987">
      <w:bodyDiv w:val="1"/>
      <w:marLeft w:val="0"/>
      <w:marRight w:val="0"/>
      <w:marTop w:val="0"/>
      <w:marBottom w:val="0"/>
      <w:divBdr>
        <w:top w:val="none" w:sz="0" w:space="0" w:color="auto"/>
        <w:left w:val="none" w:sz="0" w:space="0" w:color="auto"/>
        <w:bottom w:val="none" w:sz="0" w:space="0" w:color="auto"/>
        <w:right w:val="none" w:sz="0" w:space="0" w:color="auto"/>
      </w:divBdr>
    </w:div>
    <w:div w:id="1475682149">
      <w:bodyDiv w:val="1"/>
      <w:marLeft w:val="0"/>
      <w:marRight w:val="0"/>
      <w:marTop w:val="0"/>
      <w:marBottom w:val="0"/>
      <w:divBdr>
        <w:top w:val="none" w:sz="0" w:space="0" w:color="auto"/>
        <w:left w:val="none" w:sz="0" w:space="0" w:color="auto"/>
        <w:bottom w:val="none" w:sz="0" w:space="0" w:color="auto"/>
        <w:right w:val="none" w:sz="0" w:space="0" w:color="auto"/>
      </w:divBdr>
    </w:div>
    <w:div w:id="1480415069">
      <w:bodyDiv w:val="1"/>
      <w:marLeft w:val="0"/>
      <w:marRight w:val="0"/>
      <w:marTop w:val="0"/>
      <w:marBottom w:val="0"/>
      <w:divBdr>
        <w:top w:val="none" w:sz="0" w:space="0" w:color="auto"/>
        <w:left w:val="none" w:sz="0" w:space="0" w:color="auto"/>
        <w:bottom w:val="none" w:sz="0" w:space="0" w:color="auto"/>
        <w:right w:val="none" w:sz="0" w:space="0" w:color="auto"/>
      </w:divBdr>
    </w:div>
    <w:div w:id="1483350372">
      <w:bodyDiv w:val="1"/>
      <w:marLeft w:val="0"/>
      <w:marRight w:val="0"/>
      <w:marTop w:val="0"/>
      <w:marBottom w:val="0"/>
      <w:divBdr>
        <w:top w:val="none" w:sz="0" w:space="0" w:color="auto"/>
        <w:left w:val="none" w:sz="0" w:space="0" w:color="auto"/>
        <w:bottom w:val="none" w:sz="0" w:space="0" w:color="auto"/>
        <w:right w:val="none" w:sz="0" w:space="0" w:color="auto"/>
      </w:divBdr>
    </w:div>
    <w:div w:id="1484157821">
      <w:bodyDiv w:val="1"/>
      <w:marLeft w:val="0"/>
      <w:marRight w:val="0"/>
      <w:marTop w:val="0"/>
      <w:marBottom w:val="0"/>
      <w:divBdr>
        <w:top w:val="none" w:sz="0" w:space="0" w:color="auto"/>
        <w:left w:val="none" w:sz="0" w:space="0" w:color="auto"/>
        <w:bottom w:val="none" w:sz="0" w:space="0" w:color="auto"/>
        <w:right w:val="none" w:sz="0" w:space="0" w:color="auto"/>
      </w:divBdr>
    </w:div>
    <w:div w:id="1485120962">
      <w:bodyDiv w:val="1"/>
      <w:marLeft w:val="0"/>
      <w:marRight w:val="0"/>
      <w:marTop w:val="0"/>
      <w:marBottom w:val="0"/>
      <w:divBdr>
        <w:top w:val="none" w:sz="0" w:space="0" w:color="auto"/>
        <w:left w:val="none" w:sz="0" w:space="0" w:color="auto"/>
        <w:bottom w:val="none" w:sz="0" w:space="0" w:color="auto"/>
        <w:right w:val="none" w:sz="0" w:space="0" w:color="auto"/>
      </w:divBdr>
    </w:div>
    <w:div w:id="1485658660">
      <w:bodyDiv w:val="1"/>
      <w:marLeft w:val="0"/>
      <w:marRight w:val="0"/>
      <w:marTop w:val="0"/>
      <w:marBottom w:val="0"/>
      <w:divBdr>
        <w:top w:val="none" w:sz="0" w:space="0" w:color="auto"/>
        <w:left w:val="none" w:sz="0" w:space="0" w:color="auto"/>
        <w:bottom w:val="none" w:sz="0" w:space="0" w:color="auto"/>
        <w:right w:val="none" w:sz="0" w:space="0" w:color="auto"/>
      </w:divBdr>
    </w:div>
    <w:div w:id="1488595555">
      <w:bodyDiv w:val="1"/>
      <w:marLeft w:val="0"/>
      <w:marRight w:val="0"/>
      <w:marTop w:val="0"/>
      <w:marBottom w:val="0"/>
      <w:divBdr>
        <w:top w:val="none" w:sz="0" w:space="0" w:color="auto"/>
        <w:left w:val="none" w:sz="0" w:space="0" w:color="auto"/>
        <w:bottom w:val="none" w:sz="0" w:space="0" w:color="auto"/>
        <w:right w:val="none" w:sz="0" w:space="0" w:color="auto"/>
      </w:divBdr>
    </w:div>
    <w:div w:id="1489395067">
      <w:bodyDiv w:val="1"/>
      <w:marLeft w:val="0"/>
      <w:marRight w:val="0"/>
      <w:marTop w:val="0"/>
      <w:marBottom w:val="0"/>
      <w:divBdr>
        <w:top w:val="none" w:sz="0" w:space="0" w:color="auto"/>
        <w:left w:val="none" w:sz="0" w:space="0" w:color="auto"/>
        <w:bottom w:val="none" w:sz="0" w:space="0" w:color="auto"/>
        <w:right w:val="none" w:sz="0" w:space="0" w:color="auto"/>
      </w:divBdr>
    </w:div>
    <w:div w:id="1503351697">
      <w:bodyDiv w:val="1"/>
      <w:marLeft w:val="0"/>
      <w:marRight w:val="0"/>
      <w:marTop w:val="0"/>
      <w:marBottom w:val="0"/>
      <w:divBdr>
        <w:top w:val="none" w:sz="0" w:space="0" w:color="auto"/>
        <w:left w:val="none" w:sz="0" w:space="0" w:color="auto"/>
        <w:bottom w:val="none" w:sz="0" w:space="0" w:color="auto"/>
        <w:right w:val="none" w:sz="0" w:space="0" w:color="auto"/>
      </w:divBdr>
    </w:div>
    <w:div w:id="1506943218">
      <w:bodyDiv w:val="1"/>
      <w:marLeft w:val="0"/>
      <w:marRight w:val="0"/>
      <w:marTop w:val="0"/>
      <w:marBottom w:val="0"/>
      <w:divBdr>
        <w:top w:val="none" w:sz="0" w:space="0" w:color="auto"/>
        <w:left w:val="none" w:sz="0" w:space="0" w:color="auto"/>
        <w:bottom w:val="none" w:sz="0" w:space="0" w:color="auto"/>
        <w:right w:val="none" w:sz="0" w:space="0" w:color="auto"/>
      </w:divBdr>
    </w:div>
    <w:div w:id="1516112980">
      <w:bodyDiv w:val="1"/>
      <w:marLeft w:val="0"/>
      <w:marRight w:val="0"/>
      <w:marTop w:val="0"/>
      <w:marBottom w:val="0"/>
      <w:divBdr>
        <w:top w:val="none" w:sz="0" w:space="0" w:color="auto"/>
        <w:left w:val="none" w:sz="0" w:space="0" w:color="auto"/>
        <w:bottom w:val="none" w:sz="0" w:space="0" w:color="auto"/>
        <w:right w:val="none" w:sz="0" w:space="0" w:color="auto"/>
      </w:divBdr>
    </w:div>
    <w:div w:id="1543245700">
      <w:bodyDiv w:val="1"/>
      <w:marLeft w:val="0"/>
      <w:marRight w:val="0"/>
      <w:marTop w:val="0"/>
      <w:marBottom w:val="0"/>
      <w:divBdr>
        <w:top w:val="none" w:sz="0" w:space="0" w:color="auto"/>
        <w:left w:val="none" w:sz="0" w:space="0" w:color="auto"/>
        <w:bottom w:val="none" w:sz="0" w:space="0" w:color="auto"/>
        <w:right w:val="none" w:sz="0" w:space="0" w:color="auto"/>
      </w:divBdr>
    </w:div>
    <w:div w:id="1551114170">
      <w:bodyDiv w:val="1"/>
      <w:marLeft w:val="0"/>
      <w:marRight w:val="0"/>
      <w:marTop w:val="0"/>
      <w:marBottom w:val="0"/>
      <w:divBdr>
        <w:top w:val="none" w:sz="0" w:space="0" w:color="auto"/>
        <w:left w:val="none" w:sz="0" w:space="0" w:color="auto"/>
        <w:bottom w:val="none" w:sz="0" w:space="0" w:color="auto"/>
        <w:right w:val="none" w:sz="0" w:space="0" w:color="auto"/>
      </w:divBdr>
    </w:div>
    <w:div w:id="1553082818">
      <w:bodyDiv w:val="1"/>
      <w:marLeft w:val="0"/>
      <w:marRight w:val="0"/>
      <w:marTop w:val="0"/>
      <w:marBottom w:val="0"/>
      <w:divBdr>
        <w:top w:val="none" w:sz="0" w:space="0" w:color="auto"/>
        <w:left w:val="none" w:sz="0" w:space="0" w:color="auto"/>
        <w:bottom w:val="none" w:sz="0" w:space="0" w:color="auto"/>
        <w:right w:val="none" w:sz="0" w:space="0" w:color="auto"/>
      </w:divBdr>
    </w:div>
    <w:div w:id="1556624620">
      <w:bodyDiv w:val="1"/>
      <w:marLeft w:val="0"/>
      <w:marRight w:val="0"/>
      <w:marTop w:val="0"/>
      <w:marBottom w:val="0"/>
      <w:divBdr>
        <w:top w:val="none" w:sz="0" w:space="0" w:color="auto"/>
        <w:left w:val="none" w:sz="0" w:space="0" w:color="auto"/>
        <w:bottom w:val="none" w:sz="0" w:space="0" w:color="auto"/>
        <w:right w:val="none" w:sz="0" w:space="0" w:color="auto"/>
      </w:divBdr>
    </w:div>
    <w:div w:id="1575119572">
      <w:bodyDiv w:val="1"/>
      <w:marLeft w:val="0"/>
      <w:marRight w:val="0"/>
      <w:marTop w:val="0"/>
      <w:marBottom w:val="0"/>
      <w:divBdr>
        <w:top w:val="none" w:sz="0" w:space="0" w:color="auto"/>
        <w:left w:val="none" w:sz="0" w:space="0" w:color="auto"/>
        <w:bottom w:val="none" w:sz="0" w:space="0" w:color="auto"/>
        <w:right w:val="none" w:sz="0" w:space="0" w:color="auto"/>
      </w:divBdr>
    </w:div>
    <w:div w:id="1578126255">
      <w:bodyDiv w:val="1"/>
      <w:marLeft w:val="0"/>
      <w:marRight w:val="0"/>
      <w:marTop w:val="0"/>
      <w:marBottom w:val="0"/>
      <w:divBdr>
        <w:top w:val="none" w:sz="0" w:space="0" w:color="auto"/>
        <w:left w:val="none" w:sz="0" w:space="0" w:color="auto"/>
        <w:bottom w:val="none" w:sz="0" w:space="0" w:color="auto"/>
        <w:right w:val="none" w:sz="0" w:space="0" w:color="auto"/>
      </w:divBdr>
    </w:div>
    <w:div w:id="1579555953">
      <w:bodyDiv w:val="1"/>
      <w:marLeft w:val="0"/>
      <w:marRight w:val="0"/>
      <w:marTop w:val="0"/>
      <w:marBottom w:val="0"/>
      <w:divBdr>
        <w:top w:val="none" w:sz="0" w:space="0" w:color="auto"/>
        <w:left w:val="none" w:sz="0" w:space="0" w:color="auto"/>
        <w:bottom w:val="none" w:sz="0" w:space="0" w:color="auto"/>
        <w:right w:val="none" w:sz="0" w:space="0" w:color="auto"/>
      </w:divBdr>
    </w:div>
    <w:div w:id="1583369002">
      <w:bodyDiv w:val="1"/>
      <w:marLeft w:val="0"/>
      <w:marRight w:val="0"/>
      <w:marTop w:val="0"/>
      <w:marBottom w:val="0"/>
      <w:divBdr>
        <w:top w:val="none" w:sz="0" w:space="0" w:color="auto"/>
        <w:left w:val="none" w:sz="0" w:space="0" w:color="auto"/>
        <w:bottom w:val="none" w:sz="0" w:space="0" w:color="auto"/>
        <w:right w:val="none" w:sz="0" w:space="0" w:color="auto"/>
      </w:divBdr>
    </w:div>
    <w:div w:id="1596355160">
      <w:bodyDiv w:val="1"/>
      <w:marLeft w:val="0"/>
      <w:marRight w:val="0"/>
      <w:marTop w:val="0"/>
      <w:marBottom w:val="0"/>
      <w:divBdr>
        <w:top w:val="none" w:sz="0" w:space="0" w:color="auto"/>
        <w:left w:val="none" w:sz="0" w:space="0" w:color="auto"/>
        <w:bottom w:val="none" w:sz="0" w:space="0" w:color="auto"/>
        <w:right w:val="none" w:sz="0" w:space="0" w:color="auto"/>
      </w:divBdr>
    </w:div>
    <w:div w:id="1599749198">
      <w:bodyDiv w:val="1"/>
      <w:marLeft w:val="0"/>
      <w:marRight w:val="0"/>
      <w:marTop w:val="0"/>
      <w:marBottom w:val="0"/>
      <w:divBdr>
        <w:top w:val="none" w:sz="0" w:space="0" w:color="auto"/>
        <w:left w:val="none" w:sz="0" w:space="0" w:color="auto"/>
        <w:bottom w:val="none" w:sz="0" w:space="0" w:color="auto"/>
        <w:right w:val="none" w:sz="0" w:space="0" w:color="auto"/>
      </w:divBdr>
    </w:div>
    <w:div w:id="1599751990">
      <w:bodyDiv w:val="1"/>
      <w:marLeft w:val="0"/>
      <w:marRight w:val="0"/>
      <w:marTop w:val="0"/>
      <w:marBottom w:val="0"/>
      <w:divBdr>
        <w:top w:val="none" w:sz="0" w:space="0" w:color="auto"/>
        <w:left w:val="none" w:sz="0" w:space="0" w:color="auto"/>
        <w:bottom w:val="none" w:sz="0" w:space="0" w:color="auto"/>
        <w:right w:val="none" w:sz="0" w:space="0" w:color="auto"/>
      </w:divBdr>
    </w:div>
    <w:div w:id="1605770427">
      <w:bodyDiv w:val="1"/>
      <w:marLeft w:val="0"/>
      <w:marRight w:val="0"/>
      <w:marTop w:val="0"/>
      <w:marBottom w:val="0"/>
      <w:divBdr>
        <w:top w:val="none" w:sz="0" w:space="0" w:color="auto"/>
        <w:left w:val="none" w:sz="0" w:space="0" w:color="auto"/>
        <w:bottom w:val="none" w:sz="0" w:space="0" w:color="auto"/>
        <w:right w:val="none" w:sz="0" w:space="0" w:color="auto"/>
      </w:divBdr>
    </w:div>
    <w:div w:id="1609704255">
      <w:bodyDiv w:val="1"/>
      <w:marLeft w:val="0"/>
      <w:marRight w:val="0"/>
      <w:marTop w:val="0"/>
      <w:marBottom w:val="0"/>
      <w:divBdr>
        <w:top w:val="none" w:sz="0" w:space="0" w:color="auto"/>
        <w:left w:val="none" w:sz="0" w:space="0" w:color="auto"/>
        <w:bottom w:val="none" w:sz="0" w:space="0" w:color="auto"/>
        <w:right w:val="none" w:sz="0" w:space="0" w:color="auto"/>
      </w:divBdr>
    </w:div>
    <w:div w:id="1609923946">
      <w:bodyDiv w:val="1"/>
      <w:marLeft w:val="0"/>
      <w:marRight w:val="0"/>
      <w:marTop w:val="0"/>
      <w:marBottom w:val="0"/>
      <w:divBdr>
        <w:top w:val="none" w:sz="0" w:space="0" w:color="auto"/>
        <w:left w:val="none" w:sz="0" w:space="0" w:color="auto"/>
        <w:bottom w:val="none" w:sz="0" w:space="0" w:color="auto"/>
        <w:right w:val="none" w:sz="0" w:space="0" w:color="auto"/>
      </w:divBdr>
    </w:div>
    <w:div w:id="162349049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9262692">
      <w:bodyDiv w:val="1"/>
      <w:marLeft w:val="0"/>
      <w:marRight w:val="0"/>
      <w:marTop w:val="0"/>
      <w:marBottom w:val="0"/>
      <w:divBdr>
        <w:top w:val="none" w:sz="0" w:space="0" w:color="auto"/>
        <w:left w:val="none" w:sz="0" w:space="0" w:color="auto"/>
        <w:bottom w:val="none" w:sz="0" w:space="0" w:color="auto"/>
        <w:right w:val="none" w:sz="0" w:space="0" w:color="auto"/>
      </w:divBdr>
    </w:div>
    <w:div w:id="1641106930">
      <w:bodyDiv w:val="1"/>
      <w:marLeft w:val="0"/>
      <w:marRight w:val="0"/>
      <w:marTop w:val="0"/>
      <w:marBottom w:val="0"/>
      <w:divBdr>
        <w:top w:val="none" w:sz="0" w:space="0" w:color="auto"/>
        <w:left w:val="none" w:sz="0" w:space="0" w:color="auto"/>
        <w:bottom w:val="none" w:sz="0" w:space="0" w:color="auto"/>
        <w:right w:val="none" w:sz="0" w:space="0" w:color="auto"/>
      </w:divBdr>
    </w:div>
    <w:div w:id="1643193072">
      <w:bodyDiv w:val="1"/>
      <w:marLeft w:val="0"/>
      <w:marRight w:val="0"/>
      <w:marTop w:val="0"/>
      <w:marBottom w:val="0"/>
      <w:divBdr>
        <w:top w:val="none" w:sz="0" w:space="0" w:color="auto"/>
        <w:left w:val="none" w:sz="0" w:space="0" w:color="auto"/>
        <w:bottom w:val="none" w:sz="0" w:space="0" w:color="auto"/>
        <w:right w:val="none" w:sz="0" w:space="0" w:color="auto"/>
      </w:divBdr>
    </w:div>
    <w:div w:id="1648169001">
      <w:bodyDiv w:val="1"/>
      <w:marLeft w:val="0"/>
      <w:marRight w:val="0"/>
      <w:marTop w:val="0"/>
      <w:marBottom w:val="0"/>
      <w:divBdr>
        <w:top w:val="none" w:sz="0" w:space="0" w:color="auto"/>
        <w:left w:val="none" w:sz="0" w:space="0" w:color="auto"/>
        <w:bottom w:val="none" w:sz="0" w:space="0" w:color="auto"/>
        <w:right w:val="none" w:sz="0" w:space="0" w:color="auto"/>
      </w:divBdr>
    </w:div>
    <w:div w:id="1650091718">
      <w:bodyDiv w:val="1"/>
      <w:marLeft w:val="0"/>
      <w:marRight w:val="0"/>
      <w:marTop w:val="0"/>
      <w:marBottom w:val="0"/>
      <w:divBdr>
        <w:top w:val="none" w:sz="0" w:space="0" w:color="auto"/>
        <w:left w:val="none" w:sz="0" w:space="0" w:color="auto"/>
        <w:bottom w:val="none" w:sz="0" w:space="0" w:color="auto"/>
        <w:right w:val="none" w:sz="0" w:space="0" w:color="auto"/>
      </w:divBdr>
    </w:div>
    <w:div w:id="1650671120">
      <w:bodyDiv w:val="1"/>
      <w:marLeft w:val="0"/>
      <w:marRight w:val="0"/>
      <w:marTop w:val="0"/>
      <w:marBottom w:val="0"/>
      <w:divBdr>
        <w:top w:val="none" w:sz="0" w:space="0" w:color="auto"/>
        <w:left w:val="none" w:sz="0" w:space="0" w:color="auto"/>
        <w:bottom w:val="none" w:sz="0" w:space="0" w:color="auto"/>
        <w:right w:val="none" w:sz="0" w:space="0" w:color="auto"/>
      </w:divBdr>
    </w:div>
    <w:div w:id="1653945176">
      <w:bodyDiv w:val="1"/>
      <w:marLeft w:val="0"/>
      <w:marRight w:val="0"/>
      <w:marTop w:val="0"/>
      <w:marBottom w:val="0"/>
      <w:divBdr>
        <w:top w:val="none" w:sz="0" w:space="0" w:color="auto"/>
        <w:left w:val="none" w:sz="0" w:space="0" w:color="auto"/>
        <w:bottom w:val="none" w:sz="0" w:space="0" w:color="auto"/>
        <w:right w:val="none" w:sz="0" w:space="0" w:color="auto"/>
      </w:divBdr>
    </w:div>
    <w:div w:id="1662781328">
      <w:bodyDiv w:val="1"/>
      <w:marLeft w:val="0"/>
      <w:marRight w:val="0"/>
      <w:marTop w:val="0"/>
      <w:marBottom w:val="0"/>
      <w:divBdr>
        <w:top w:val="none" w:sz="0" w:space="0" w:color="auto"/>
        <w:left w:val="none" w:sz="0" w:space="0" w:color="auto"/>
        <w:bottom w:val="none" w:sz="0" w:space="0" w:color="auto"/>
        <w:right w:val="none" w:sz="0" w:space="0" w:color="auto"/>
      </w:divBdr>
    </w:div>
    <w:div w:id="1672223690">
      <w:bodyDiv w:val="1"/>
      <w:marLeft w:val="0"/>
      <w:marRight w:val="0"/>
      <w:marTop w:val="0"/>
      <w:marBottom w:val="0"/>
      <w:divBdr>
        <w:top w:val="none" w:sz="0" w:space="0" w:color="auto"/>
        <w:left w:val="none" w:sz="0" w:space="0" w:color="auto"/>
        <w:bottom w:val="none" w:sz="0" w:space="0" w:color="auto"/>
        <w:right w:val="none" w:sz="0" w:space="0" w:color="auto"/>
      </w:divBdr>
    </w:div>
    <w:div w:id="1682271450">
      <w:bodyDiv w:val="1"/>
      <w:marLeft w:val="0"/>
      <w:marRight w:val="0"/>
      <w:marTop w:val="0"/>
      <w:marBottom w:val="0"/>
      <w:divBdr>
        <w:top w:val="none" w:sz="0" w:space="0" w:color="auto"/>
        <w:left w:val="none" w:sz="0" w:space="0" w:color="auto"/>
        <w:bottom w:val="none" w:sz="0" w:space="0" w:color="auto"/>
        <w:right w:val="none" w:sz="0" w:space="0" w:color="auto"/>
      </w:divBdr>
    </w:div>
    <w:div w:id="1686907197">
      <w:bodyDiv w:val="1"/>
      <w:marLeft w:val="0"/>
      <w:marRight w:val="0"/>
      <w:marTop w:val="0"/>
      <w:marBottom w:val="0"/>
      <w:divBdr>
        <w:top w:val="none" w:sz="0" w:space="0" w:color="auto"/>
        <w:left w:val="none" w:sz="0" w:space="0" w:color="auto"/>
        <w:bottom w:val="none" w:sz="0" w:space="0" w:color="auto"/>
        <w:right w:val="none" w:sz="0" w:space="0" w:color="auto"/>
      </w:divBdr>
    </w:div>
    <w:div w:id="1688173392">
      <w:bodyDiv w:val="1"/>
      <w:marLeft w:val="0"/>
      <w:marRight w:val="0"/>
      <w:marTop w:val="0"/>
      <w:marBottom w:val="0"/>
      <w:divBdr>
        <w:top w:val="none" w:sz="0" w:space="0" w:color="auto"/>
        <w:left w:val="none" w:sz="0" w:space="0" w:color="auto"/>
        <w:bottom w:val="none" w:sz="0" w:space="0" w:color="auto"/>
        <w:right w:val="none" w:sz="0" w:space="0" w:color="auto"/>
      </w:divBdr>
    </w:div>
    <w:div w:id="1688679410">
      <w:bodyDiv w:val="1"/>
      <w:marLeft w:val="0"/>
      <w:marRight w:val="0"/>
      <w:marTop w:val="0"/>
      <w:marBottom w:val="0"/>
      <w:divBdr>
        <w:top w:val="none" w:sz="0" w:space="0" w:color="auto"/>
        <w:left w:val="none" w:sz="0" w:space="0" w:color="auto"/>
        <w:bottom w:val="none" w:sz="0" w:space="0" w:color="auto"/>
        <w:right w:val="none" w:sz="0" w:space="0" w:color="auto"/>
      </w:divBdr>
    </w:div>
    <w:div w:id="1695035146">
      <w:bodyDiv w:val="1"/>
      <w:marLeft w:val="0"/>
      <w:marRight w:val="0"/>
      <w:marTop w:val="0"/>
      <w:marBottom w:val="0"/>
      <w:divBdr>
        <w:top w:val="none" w:sz="0" w:space="0" w:color="auto"/>
        <w:left w:val="none" w:sz="0" w:space="0" w:color="auto"/>
        <w:bottom w:val="none" w:sz="0" w:space="0" w:color="auto"/>
        <w:right w:val="none" w:sz="0" w:space="0" w:color="auto"/>
      </w:divBdr>
    </w:div>
    <w:div w:id="1705060234">
      <w:bodyDiv w:val="1"/>
      <w:marLeft w:val="0"/>
      <w:marRight w:val="0"/>
      <w:marTop w:val="0"/>
      <w:marBottom w:val="0"/>
      <w:divBdr>
        <w:top w:val="none" w:sz="0" w:space="0" w:color="auto"/>
        <w:left w:val="none" w:sz="0" w:space="0" w:color="auto"/>
        <w:bottom w:val="none" w:sz="0" w:space="0" w:color="auto"/>
        <w:right w:val="none" w:sz="0" w:space="0" w:color="auto"/>
      </w:divBdr>
    </w:div>
    <w:div w:id="1706171311">
      <w:bodyDiv w:val="1"/>
      <w:marLeft w:val="0"/>
      <w:marRight w:val="0"/>
      <w:marTop w:val="0"/>
      <w:marBottom w:val="0"/>
      <w:divBdr>
        <w:top w:val="none" w:sz="0" w:space="0" w:color="auto"/>
        <w:left w:val="none" w:sz="0" w:space="0" w:color="auto"/>
        <w:bottom w:val="none" w:sz="0" w:space="0" w:color="auto"/>
        <w:right w:val="none" w:sz="0" w:space="0" w:color="auto"/>
      </w:divBdr>
    </w:div>
    <w:div w:id="1712225514">
      <w:bodyDiv w:val="1"/>
      <w:marLeft w:val="0"/>
      <w:marRight w:val="0"/>
      <w:marTop w:val="0"/>
      <w:marBottom w:val="0"/>
      <w:divBdr>
        <w:top w:val="none" w:sz="0" w:space="0" w:color="auto"/>
        <w:left w:val="none" w:sz="0" w:space="0" w:color="auto"/>
        <w:bottom w:val="none" w:sz="0" w:space="0" w:color="auto"/>
        <w:right w:val="none" w:sz="0" w:space="0" w:color="auto"/>
      </w:divBdr>
    </w:div>
    <w:div w:id="1712682030">
      <w:bodyDiv w:val="1"/>
      <w:marLeft w:val="0"/>
      <w:marRight w:val="0"/>
      <w:marTop w:val="0"/>
      <w:marBottom w:val="0"/>
      <w:divBdr>
        <w:top w:val="none" w:sz="0" w:space="0" w:color="auto"/>
        <w:left w:val="none" w:sz="0" w:space="0" w:color="auto"/>
        <w:bottom w:val="none" w:sz="0" w:space="0" w:color="auto"/>
        <w:right w:val="none" w:sz="0" w:space="0" w:color="auto"/>
      </w:divBdr>
    </w:div>
    <w:div w:id="1714772036">
      <w:bodyDiv w:val="1"/>
      <w:marLeft w:val="0"/>
      <w:marRight w:val="0"/>
      <w:marTop w:val="0"/>
      <w:marBottom w:val="0"/>
      <w:divBdr>
        <w:top w:val="none" w:sz="0" w:space="0" w:color="auto"/>
        <w:left w:val="none" w:sz="0" w:space="0" w:color="auto"/>
        <w:bottom w:val="none" w:sz="0" w:space="0" w:color="auto"/>
        <w:right w:val="none" w:sz="0" w:space="0" w:color="auto"/>
      </w:divBdr>
    </w:div>
    <w:div w:id="1721174967">
      <w:bodyDiv w:val="1"/>
      <w:marLeft w:val="0"/>
      <w:marRight w:val="0"/>
      <w:marTop w:val="0"/>
      <w:marBottom w:val="0"/>
      <w:divBdr>
        <w:top w:val="none" w:sz="0" w:space="0" w:color="auto"/>
        <w:left w:val="none" w:sz="0" w:space="0" w:color="auto"/>
        <w:bottom w:val="none" w:sz="0" w:space="0" w:color="auto"/>
        <w:right w:val="none" w:sz="0" w:space="0" w:color="auto"/>
      </w:divBdr>
    </w:div>
    <w:div w:id="1729112090">
      <w:bodyDiv w:val="1"/>
      <w:marLeft w:val="0"/>
      <w:marRight w:val="0"/>
      <w:marTop w:val="0"/>
      <w:marBottom w:val="0"/>
      <w:divBdr>
        <w:top w:val="none" w:sz="0" w:space="0" w:color="auto"/>
        <w:left w:val="none" w:sz="0" w:space="0" w:color="auto"/>
        <w:bottom w:val="none" w:sz="0" w:space="0" w:color="auto"/>
        <w:right w:val="none" w:sz="0" w:space="0" w:color="auto"/>
      </w:divBdr>
    </w:div>
    <w:div w:id="1730035010">
      <w:bodyDiv w:val="1"/>
      <w:marLeft w:val="0"/>
      <w:marRight w:val="0"/>
      <w:marTop w:val="0"/>
      <w:marBottom w:val="0"/>
      <w:divBdr>
        <w:top w:val="none" w:sz="0" w:space="0" w:color="auto"/>
        <w:left w:val="none" w:sz="0" w:space="0" w:color="auto"/>
        <w:bottom w:val="none" w:sz="0" w:space="0" w:color="auto"/>
        <w:right w:val="none" w:sz="0" w:space="0" w:color="auto"/>
      </w:divBdr>
    </w:div>
    <w:div w:id="1736777478">
      <w:bodyDiv w:val="1"/>
      <w:marLeft w:val="0"/>
      <w:marRight w:val="0"/>
      <w:marTop w:val="0"/>
      <w:marBottom w:val="0"/>
      <w:divBdr>
        <w:top w:val="none" w:sz="0" w:space="0" w:color="auto"/>
        <w:left w:val="none" w:sz="0" w:space="0" w:color="auto"/>
        <w:bottom w:val="none" w:sz="0" w:space="0" w:color="auto"/>
        <w:right w:val="none" w:sz="0" w:space="0" w:color="auto"/>
      </w:divBdr>
    </w:div>
    <w:div w:id="1737707357">
      <w:bodyDiv w:val="1"/>
      <w:marLeft w:val="0"/>
      <w:marRight w:val="0"/>
      <w:marTop w:val="0"/>
      <w:marBottom w:val="0"/>
      <w:divBdr>
        <w:top w:val="none" w:sz="0" w:space="0" w:color="auto"/>
        <w:left w:val="none" w:sz="0" w:space="0" w:color="auto"/>
        <w:bottom w:val="none" w:sz="0" w:space="0" w:color="auto"/>
        <w:right w:val="none" w:sz="0" w:space="0" w:color="auto"/>
      </w:divBdr>
    </w:div>
    <w:div w:id="1748262553">
      <w:bodyDiv w:val="1"/>
      <w:marLeft w:val="0"/>
      <w:marRight w:val="0"/>
      <w:marTop w:val="0"/>
      <w:marBottom w:val="0"/>
      <w:divBdr>
        <w:top w:val="none" w:sz="0" w:space="0" w:color="auto"/>
        <w:left w:val="none" w:sz="0" w:space="0" w:color="auto"/>
        <w:bottom w:val="none" w:sz="0" w:space="0" w:color="auto"/>
        <w:right w:val="none" w:sz="0" w:space="0" w:color="auto"/>
      </w:divBdr>
    </w:div>
    <w:div w:id="1760711776">
      <w:bodyDiv w:val="1"/>
      <w:marLeft w:val="0"/>
      <w:marRight w:val="0"/>
      <w:marTop w:val="0"/>
      <w:marBottom w:val="0"/>
      <w:divBdr>
        <w:top w:val="none" w:sz="0" w:space="0" w:color="auto"/>
        <w:left w:val="none" w:sz="0" w:space="0" w:color="auto"/>
        <w:bottom w:val="none" w:sz="0" w:space="0" w:color="auto"/>
        <w:right w:val="none" w:sz="0" w:space="0" w:color="auto"/>
      </w:divBdr>
    </w:div>
    <w:div w:id="1761565504">
      <w:bodyDiv w:val="1"/>
      <w:marLeft w:val="0"/>
      <w:marRight w:val="0"/>
      <w:marTop w:val="0"/>
      <w:marBottom w:val="0"/>
      <w:divBdr>
        <w:top w:val="none" w:sz="0" w:space="0" w:color="auto"/>
        <w:left w:val="none" w:sz="0" w:space="0" w:color="auto"/>
        <w:bottom w:val="none" w:sz="0" w:space="0" w:color="auto"/>
        <w:right w:val="none" w:sz="0" w:space="0" w:color="auto"/>
      </w:divBdr>
    </w:div>
    <w:div w:id="1775318345">
      <w:bodyDiv w:val="1"/>
      <w:marLeft w:val="0"/>
      <w:marRight w:val="0"/>
      <w:marTop w:val="0"/>
      <w:marBottom w:val="0"/>
      <w:divBdr>
        <w:top w:val="none" w:sz="0" w:space="0" w:color="auto"/>
        <w:left w:val="none" w:sz="0" w:space="0" w:color="auto"/>
        <w:bottom w:val="none" w:sz="0" w:space="0" w:color="auto"/>
        <w:right w:val="none" w:sz="0" w:space="0" w:color="auto"/>
      </w:divBdr>
    </w:div>
    <w:div w:id="1775979037">
      <w:bodyDiv w:val="1"/>
      <w:marLeft w:val="0"/>
      <w:marRight w:val="0"/>
      <w:marTop w:val="0"/>
      <w:marBottom w:val="0"/>
      <w:divBdr>
        <w:top w:val="none" w:sz="0" w:space="0" w:color="auto"/>
        <w:left w:val="none" w:sz="0" w:space="0" w:color="auto"/>
        <w:bottom w:val="none" w:sz="0" w:space="0" w:color="auto"/>
        <w:right w:val="none" w:sz="0" w:space="0" w:color="auto"/>
      </w:divBdr>
    </w:div>
    <w:div w:id="1781609231">
      <w:bodyDiv w:val="1"/>
      <w:marLeft w:val="0"/>
      <w:marRight w:val="0"/>
      <w:marTop w:val="0"/>
      <w:marBottom w:val="0"/>
      <w:divBdr>
        <w:top w:val="none" w:sz="0" w:space="0" w:color="auto"/>
        <w:left w:val="none" w:sz="0" w:space="0" w:color="auto"/>
        <w:bottom w:val="none" w:sz="0" w:space="0" w:color="auto"/>
        <w:right w:val="none" w:sz="0" w:space="0" w:color="auto"/>
      </w:divBdr>
    </w:div>
    <w:div w:id="1783332774">
      <w:bodyDiv w:val="1"/>
      <w:marLeft w:val="0"/>
      <w:marRight w:val="0"/>
      <w:marTop w:val="0"/>
      <w:marBottom w:val="0"/>
      <w:divBdr>
        <w:top w:val="none" w:sz="0" w:space="0" w:color="auto"/>
        <w:left w:val="none" w:sz="0" w:space="0" w:color="auto"/>
        <w:bottom w:val="none" w:sz="0" w:space="0" w:color="auto"/>
        <w:right w:val="none" w:sz="0" w:space="0" w:color="auto"/>
      </w:divBdr>
    </w:div>
    <w:div w:id="180056507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5197622">
      <w:bodyDiv w:val="1"/>
      <w:marLeft w:val="0"/>
      <w:marRight w:val="0"/>
      <w:marTop w:val="0"/>
      <w:marBottom w:val="0"/>
      <w:divBdr>
        <w:top w:val="none" w:sz="0" w:space="0" w:color="auto"/>
        <w:left w:val="none" w:sz="0" w:space="0" w:color="auto"/>
        <w:bottom w:val="none" w:sz="0" w:space="0" w:color="auto"/>
        <w:right w:val="none" w:sz="0" w:space="0" w:color="auto"/>
      </w:divBdr>
    </w:div>
    <w:div w:id="1813450640">
      <w:bodyDiv w:val="1"/>
      <w:marLeft w:val="0"/>
      <w:marRight w:val="0"/>
      <w:marTop w:val="0"/>
      <w:marBottom w:val="0"/>
      <w:divBdr>
        <w:top w:val="none" w:sz="0" w:space="0" w:color="auto"/>
        <w:left w:val="none" w:sz="0" w:space="0" w:color="auto"/>
        <w:bottom w:val="none" w:sz="0" w:space="0" w:color="auto"/>
        <w:right w:val="none" w:sz="0" w:space="0" w:color="auto"/>
      </w:divBdr>
    </w:div>
    <w:div w:id="1820266614">
      <w:bodyDiv w:val="1"/>
      <w:marLeft w:val="0"/>
      <w:marRight w:val="0"/>
      <w:marTop w:val="0"/>
      <w:marBottom w:val="0"/>
      <w:divBdr>
        <w:top w:val="none" w:sz="0" w:space="0" w:color="auto"/>
        <w:left w:val="none" w:sz="0" w:space="0" w:color="auto"/>
        <w:bottom w:val="none" w:sz="0" w:space="0" w:color="auto"/>
        <w:right w:val="none" w:sz="0" w:space="0" w:color="auto"/>
      </w:divBdr>
    </w:div>
    <w:div w:id="1820537592">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8668699">
      <w:bodyDiv w:val="1"/>
      <w:marLeft w:val="0"/>
      <w:marRight w:val="0"/>
      <w:marTop w:val="0"/>
      <w:marBottom w:val="0"/>
      <w:divBdr>
        <w:top w:val="none" w:sz="0" w:space="0" w:color="auto"/>
        <w:left w:val="none" w:sz="0" w:space="0" w:color="auto"/>
        <w:bottom w:val="none" w:sz="0" w:space="0" w:color="auto"/>
        <w:right w:val="none" w:sz="0" w:space="0" w:color="auto"/>
      </w:divBdr>
    </w:div>
    <w:div w:id="1848013133">
      <w:bodyDiv w:val="1"/>
      <w:marLeft w:val="0"/>
      <w:marRight w:val="0"/>
      <w:marTop w:val="0"/>
      <w:marBottom w:val="0"/>
      <w:divBdr>
        <w:top w:val="none" w:sz="0" w:space="0" w:color="auto"/>
        <w:left w:val="none" w:sz="0" w:space="0" w:color="auto"/>
        <w:bottom w:val="none" w:sz="0" w:space="0" w:color="auto"/>
        <w:right w:val="none" w:sz="0" w:space="0" w:color="auto"/>
      </w:divBdr>
    </w:div>
    <w:div w:id="1852799166">
      <w:bodyDiv w:val="1"/>
      <w:marLeft w:val="0"/>
      <w:marRight w:val="0"/>
      <w:marTop w:val="0"/>
      <w:marBottom w:val="0"/>
      <w:divBdr>
        <w:top w:val="none" w:sz="0" w:space="0" w:color="auto"/>
        <w:left w:val="none" w:sz="0" w:space="0" w:color="auto"/>
        <w:bottom w:val="none" w:sz="0" w:space="0" w:color="auto"/>
        <w:right w:val="none" w:sz="0" w:space="0" w:color="auto"/>
      </w:divBdr>
    </w:div>
    <w:div w:id="1869488973">
      <w:bodyDiv w:val="1"/>
      <w:marLeft w:val="0"/>
      <w:marRight w:val="0"/>
      <w:marTop w:val="0"/>
      <w:marBottom w:val="0"/>
      <w:divBdr>
        <w:top w:val="none" w:sz="0" w:space="0" w:color="auto"/>
        <w:left w:val="none" w:sz="0" w:space="0" w:color="auto"/>
        <w:bottom w:val="none" w:sz="0" w:space="0" w:color="auto"/>
        <w:right w:val="none" w:sz="0" w:space="0" w:color="auto"/>
      </w:divBdr>
    </w:div>
    <w:div w:id="1871380507">
      <w:bodyDiv w:val="1"/>
      <w:marLeft w:val="0"/>
      <w:marRight w:val="0"/>
      <w:marTop w:val="0"/>
      <w:marBottom w:val="0"/>
      <w:divBdr>
        <w:top w:val="none" w:sz="0" w:space="0" w:color="auto"/>
        <w:left w:val="none" w:sz="0" w:space="0" w:color="auto"/>
        <w:bottom w:val="none" w:sz="0" w:space="0" w:color="auto"/>
        <w:right w:val="none" w:sz="0" w:space="0" w:color="auto"/>
      </w:divBdr>
    </w:div>
    <w:div w:id="1878084669">
      <w:bodyDiv w:val="1"/>
      <w:marLeft w:val="0"/>
      <w:marRight w:val="0"/>
      <w:marTop w:val="0"/>
      <w:marBottom w:val="0"/>
      <w:divBdr>
        <w:top w:val="none" w:sz="0" w:space="0" w:color="auto"/>
        <w:left w:val="none" w:sz="0" w:space="0" w:color="auto"/>
        <w:bottom w:val="none" w:sz="0" w:space="0" w:color="auto"/>
        <w:right w:val="none" w:sz="0" w:space="0" w:color="auto"/>
      </w:divBdr>
    </w:div>
    <w:div w:id="1881430756">
      <w:bodyDiv w:val="1"/>
      <w:marLeft w:val="0"/>
      <w:marRight w:val="0"/>
      <w:marTop w:val="0"/>
      <w:marBottom w:val="0"/>
      <w:divBdr>
        <w:top w:val="none" w:sz="0" w:space="0" w:color="auto"/>
        <w:left w:val="none" w:sz="0" w:space="0" w:color="auto"/>
        <w:bottom w:val="none" w:sz="0" w:space="0" w:color="auto"/>
        <w:right w:val="none" w:sz="0" w:space="0" w:color="auto"/>
      </w:divBdr>
    </w:div>
    <w:div w:id="1892689301">
      <w:bodyDiv w:val="1"/>
      <w:marLeft w:val="0"/>
      <w:marRight w:val="0"/>
      <w:marTop w:val="0"/>
      <w:marBottom w:val="0"/>
      <w:divBdr>
        <w:top w:val="none" w:sz="0" w:space="0" w:color="auto"/>
        <w:left w:val="none" w:sz="0" w:space="0" w:color="auto"/>
        <w:bottom w:val="none" w:sz="0" w:space="0" w:color="auto"/>
        <w:right w:val="none" w:sz="0" w:space="0" w:color="auto"/>
      </w:divBdr>
    </w:div>
    <w:div w:id="1894534513">
      <w:bodyDiv w:val="1"/>
      <w:marLeft w:val="0"/>
      <w:marRight w:val="0"/>
      <w:marTop w:val="0"/>
      <w:marBottom w:val="0"/>
      <w:divBdr>
        <w:top w:val="none" w:sz="0" w:space="0" w:color="auto"/>
        <w:left w:val="none" w:sz="0" w:space="0" w:color="auto"/>
        <w:bottom w:val="none" w:sz="0" w:space="0" w:color="auto"/>
        <w:right w:val="none" w:sz="0" w:space="0" w:color="auto"/>
      </w:divBdr>
    </w:div>
    <w:div w:id="1896813211">
      <w:bodyDiv w:val="1"/>
      <w:marLeft w:val="0"/>
      <w:marRight w:val="0"/>
      <w:marTop w:val="0"/>
      <w:marBottom w:val="0"/>
      <w:divBdr>
        <w:top w:val="none" w:sz="0" w:space="0" w:color="auto"/>
        <w:left w:val="none" w:sz="0" w:space="0" w:color="auto"/>
        <w:bottom w:val="none" w:sz="0" w:space="0" w:color="auto"/>
        <w:right w:val="none" w:sz="0" w:space="0" w:color="auto"/>
      </w:divBdr>
    </w:div>
    <w:div w:id="1902600120">
      <w:bodyDiv w:val="1"/>
      <w:marLeft w:val="0"/>
      <w:marRight w:val="0"/>
      <w:marTop w:val="0"/>
      <w:marBottom w:val="0"/>
      <w:divBdr>
        <w:top w:val="none" w:sz="0" w:space="0" w:color="auto"/>
        <w:left w:val="none" w:sz="0" w:space="0" w:color="auto"/>
        <w:bottom w:val="none" w:sz="0" w:space="0" w:color="auto"/>
        <w:right w:val="none" w:sz="0" w:space="0" w:color="auto"/>
      </w:divBdr>
    </w:div>
    <w:div w:id="1911842944">
      <w:bodyDiv w:val="1"/>
      <w:marLeft w:val="0"/>
      <w:marRight w:val="0"/>
      <w:marTop w:val="0"/>
      <w:marBottom w:val="0"/>
      <w:divBdr>
        <w:top w:val="none" w:sz="0" w:space="0" w:color="auto"/>
        <w:left w:val="none" w:sz="0" w:space="0" w:color="auto"/>
        <w:bottom w:val="none" w:sz="0" w:space="0" w:color="auto"/>
        <w:right w:val="none" w:sz="0" w:space="0" w:color="auto"/>
      </w:divBdr>
    </w:div>
    <w:div w:id="1922177133">
      <w:bodyDiv w:val="1"/>
      <w:marLeft w:val="0"/>
      <w:marRight w:val="0"/>
      <w:marTop w:val="0"/>
      <w:marBottom w:val="0"/>
      <w:divBdr>
        <w:top w:val="none" w:sz="0" w:space="0" w:color="auto"/>
        <w:left w:val="none" w:sz="0" w:space="0" w:color="auto"/>
        <w:bottom w:val="none" w:sz="0" w:space="0" w:color="auto"/>
        <w:right w:val="none" w:sz="0" w:space="0" w:color="auto"/>
      </w:divBdr>
    </w:div>
    <w:div w:id="1929970351">
      <w:bodyDiv w:val="1"/>
      <w:marLeft w:val="0"/>
      <w:marRight w:val="0"/>
      <w:marTop w:val="0"/>
      <w:marBottom w:val="0"/>
      <w:divBdr>
        <w:top w:val="none" w:sz="0" w:space="0" w:color="auto"/>
        <w:left w:val="none" w:sz="0" w:space="0" w:color="auto"/>
        <w:bottom w:val="none" w:sz="0" w:space="0" w:color="auto"/>
        <w:right w:val="none" w:sz="0" w:space="0" w:color="auto"/>
      </w:divBdr>
    </w:div>
    <w:div w:id="1934586998">
      <w:bodyDiv w:val="1"/>
      <w:marLeft w:val="0"/>
      <w:marRight w:val="0"/>
      <w:marTop w:val="0"/>
      <w:marBottom w:val="0"/>
      <w:divBdr>
        <w:top w:val="none" w:sz="0" w:space="0" w:color="auto"/>
        <w:left w:val="none" w:sz="0" w:space="0" w:color="auto"/>
        <w:bottom w:val="none" w:sz="0" w:space="0" w:color="auto"/>
        <w:right w:val="none" w:sz="0" w:space="0" w:color="auto"/>
      </w:divBdr>
    </w:div>
    <w:div w:id="1935673791">
      <w:bodyDiv w:val="1"/>
      <w:marLeft w:val="0"/>
      <w:marRight w:val="0"/>
      <w:marTop w:val="0"/>
      <w:marBottom w:val="0"/>
      <w:divBdr>
        <w:top w:val="none" w:sz="0" w:space="0" w:color="auto"/>
        <w:left w:val="none" w:sz="0" w:space="0" w:color="auto"/>
        <w:bottom w:val="none" w:sz="0" w:space="0" w:color="auto"/>
        <w:right w:val="none" w:sz="0" w:space="0" w:color="auto"/>
      </w:divBdr>
    </w:div>
    <w:div w:id="1936284911">
      <w:bodyDiv w:val="1"/>
      <w:marLeft w:val="0"/>
      <w:marRight w:val="0"/>
      <w:marTop w:val="0"/>
      <w:marBottom w:val="0"/>
      <w:divBdr>
        <w:top w:val="none" w:sz="0" w:space="0" w:color="auto"/>
        <w:left w:val="none" w:sz="0" w:space="0" w:color="auto"/>
        <w:bottom w:val="none" w:sz="0" w:space="0" w:color="auto"/>
        <w:right w:val="none" w:sz="0" w:space="0" w:color="auto"/>
      </w:divBdr>
    </w:div>
    <w:div w:id="1938436909">
      <w:bodyDiv w:val="1"/>
      <w:marLeft w:val="0"/>
      <w:marRight w:val="0"/>
      <w:marTop w:val="0"/>
      <w:marBottom w:val="0"/>
      <w:divBdr>
        <w:top w:val="none" w:sz="0" w:space="0" w:color="auto"/>
        <w:left w:val="none" w:sz="0" w:space="0" w:color="auto"/>
        <w:bottom w:val="none" w:sz="0" w:space="0" w:color="auto"/>
        <w:right w:val="none" w:sz="0" w:space="0" w:color="auto"/>
      </w:divBdr>
    </w:div>
    <w:div w:id="1938636982">
      <w:bodyDiv w:val="1"/>
      <w:marLeft w:val="0"/>
      <w:marRight w:val="0"/>
      <w:marTop w:val="0"/>
      <w:marBottom w:val="0"/>
      <w:divBdr>
        <w:top w:val="none" w:sz="0" w:space="0" w:color="auto"/>
        <w:left w:val="none" w:sz="0" w:space="0" w:color="auto"/>
        <w:bottom w:val="none" w:sz="0" w:space="0" w:color="auto"/>
        <w:right w:val="none" w:sz="0" w:space="0" w:color="auto"/>
      </w:divBdr>
    </w:div>
    <w:div w:id="1967468107">
      <w:bodyDiv w:val="1"/>
      <w:marLeft w:val="0"/>
      <w:marRight w:val="0"/>
      <w:marTop w:val="0"/>
      <w:marBottom w:val="0"/>
      <w:divBdr>
        <w:top w:val="none" w:sz="0" w:space="0" w:color="auto"/>
        <w:left w:val="none" w:sz="0" w:space="0" w:color="auto"/>
        <w:bottom w:val="none" w:sz="0" w:space="0" w:color="auto"/>
        <w:right w:val="none" w:sz="0" w:space="0" w:color="auto"/>
      </w:divBdr>
    </w:div>
    <w:div w:id="1980721911">
      <w:bodyDiv w:val="1"/>
      <w:marLeft w:val="0"/>
      <w:marRight w:val="0"/>
      <w:marTop w:val="0"/>
      <w:marBottom w:val="0"/>
      <w:divBdr>
        <w:top w:val="none" w:sz="0" w:space="0" w:color="auto"/>
        <w:left w:val="none" w:sz="0" w:space="0" w:color="auto"/>
        <w:bottom w:val="none" w:sz="0" w:space="0" w:color="auto"/>
        <w:right w:val="none" w:sz="0" w:space="0" w:color="auto"/>
      </w:divBdr>
    </w:div>
    <w:div w:id="1984046565">
      <w:bodyDiv w:val="1"/>
      <w:marLeft w:val="0"/>
      <w:marRight w:val="0"/>
      <w:marTop w:val="0"/>
      <w:marBottom w:val="0"/>
      <w:divBdr>
        <w:top w:val="none" w:sz="0" w:space="0" w:color="auto"/>
        <w:left w:val="none" w:sz="0" w:space="0" w:color="auto"/>
        <w:bottom w:val="none" w:sz="0" w:space="0" w:color="auto"/>
        <w:right w:val="none" w:sz="0" w:space="0" w:color="auto"/>
      </w:divBdr>
    </w:div>
    <w:div w:id="1994217269">
      <w:bodyDiv w:val="1"/>
      <w:marLeft w:val="0"/>
      <w:marRight w:val="0"/>
      <w:marTop w:val="0"/>
      <w:marBottom w:val="0"/>
      <w:divBdr>
        <w:top w:val="none" w:sz="0" w:space="0" w:color="auto"/>
        <w:left w:val="none" w:sz="0" w:space="0" w:color="auto"/>
        <w:bottom w:val="none" w:sz="0" w:space="0" w:color="auto"/>
        <w:right w:val="none" w:sz="0" w:space="0" w:color="auto"/>
      </w:divBdr>
    </w:div>
    <w:div w:id="1997029152">
      <w:bodyDiv w:val="1"/>
      <w:marLeft w:val="0"/>
      <w:marRight w:val="0"/>
      <w:marTop w:val="0"/>
      <w:marBottom w:val="0"/>
      <w:divBdr>
        <w:top w:val="none" w:sz="0" w:space="0" w:color="auto"/>
        <w:left w:val="none" w:sz="0" w:space="0" w:color="auto"/>
        <w:bottom w:val="none" w:sz="0" w:space="0" w:color="auto"/>
        <w:right w:val="none" w:sz="0" w:space="0" w:color="auto"/>
      </w:divBdr>
    </w:div>
    <w:div w:id="1997295221">
      <w:bodyDiv w:val="1"/>
      <w:marLeft w:val="0"/>
      <w:marRight w:val="0"/>
      <w:marTop w:val="0"/>
      <w:marBottom w:val="0"/>
      <w:divBdr>
        <w:top w:val="none" w:sz="0" w:space="0" w:color="auto"/>
        <w:left w:val="none" w:sz="0" w:space="0" w:color="auto"/>
        <w:bottom w:val="none" w:sz="0" w:space="0" w:color="auto"/>
        <w:right w:val="none" w:sz="0" w:space="0" w:color="auto"/>
      </w:divBdr>
    </w:div>
    <w:div w:id="2006587872">
      <w:bodyDiv w:val="1"/>
      <w:marLeft w:val="0"/>
      <w:marRight w:val="0"/>
      <w:marTop w:val="0"/>
      <w:marBottom w:val="0"/>
      <w:divBdr>
        <w:top w:val="none" w:sz="0" w:space="0" w:color="auto"/>
        <w:left w:val="none" w:sz="0" w:space="0" w:color="auto"/>
        <w:bottom w:val="none" w:sz="0" w:space="0" w:color="auto"/>
        <w:right w:val="none" w:sz="0" w:space="0" w:color="auto"/>
      </w:divBdr>
    </w:div>
    <w:div w:id="2011980796">
      <w:bodyDiv w:val="1"/>
      <w:marLeft w:val="0"/>
      <w:marRight w:val="0"/>
      <w:marTop w:val="0"/>
      <w:marBottom w:val="0"/>
      <w:divBdr>
        <w:top w:val="none" w:sz="0" w:space="0" w:color="auto"/>
        <w:left w:val="none" w:sz="0" w:space="0" w:color="auto"/>
        <w:bottom w:val="none" w:sz="0" w:space="0" w:color="auto"/>
        <w:right w:val="none" w:sz="0" w:space="0" w:color="auto"/>
      </w:divBdr>
    </w:div>
    <w:div w:id="2020813364">
      <w:bodyDiv w:val="1"/>
      <w:marLeft w:val="0"/>
      <w:marRight w:val="0"/>
      <w:marTop w:val="0"/>
      <w:marBottom w:val="0"/>
      <w:divBdr>
        <w:top w:val="none" w:sz="0" w:space="0" w:color="auto"/>
        <w:left w:val="none" w:sz="0" w:space="0" w:color="auto"/>
        <w:bottom w:val="none" w:sz="0" w:space="0" w:color="auto"/>
        <w:right w:val="none" w:sz="0" w:space="0" w:color="auto"/>
      </w:divBdr>
    </w:div>
    <w:div w:id="2029333851">
      <w:bodyDiv w:val="1"/>
      <w:marLeft w:val="0"/>
      <w:marRight w:val="0"/>
      <w:marTop w:val="0"/>
      <w:marBottom w:val="0"/>
      <w:divBdr>
        <w:top w:val="none" w:sz="0" w:space="0" w:color="auto"/>
        <w:left w:val="none" w:sz="0" w:space="0" w:color="auto"/>
        <w:bottom w:val="none" w:sz="0" w:space="0" w:color="auto"/>
        <w:right w:val="none" w:sz="0" w:space="0" w:color="auto"/>
      </w:divBdr>
    </w:div>
    <w:div w:id="2034257918">
      <w:bodyDiv w:val="1"/>
      <w:marLeft w:val="0"/>
      <w:marRight w:val="0"/>
      <w:marTop w:val="0"/>
      <w:marBottom w:val="0"/>
      <w:divBdr>
        <w:top w:val="none" w:sz="0" w:space="0" w:color="auto"/>
        <w:left w:val="none" w:sz="0" w:space="0" w:color="auto"/>
        <w:bottom w:val="none" w:sz="0" w:space="0" w:color="auto"/>
        <w:right w:val="none" w:sz="0" w:space="0" w:color="auto"/>
      </w:divBdr>
    </w:div>
    <w:div w:id="2034838808">
      <w:bodyDiv w:val="1"/>
      <w:marLeft w:val="0"/>
      <w:marRight w:val="0"/>
      <w:marTop w:val="0"/>
      <w:marBottom w:val="0"/>
      <w:divBdr>
        <w:top w:val="none" w:sz="0" w:space="0" w:color="auto"/>
        <w:left w:val="none" w:sz="0" w:space="0" w:color="auto"/>
        <w:bottom w:val="none" w:sz="0" w:space="0" w:color="auto"/>
        <w:right w:val="none" w:sz="0" w:space="0" w:color="auto"/>
      </w:divBdr>
    </w:div>
    <w:div w:id="2035417906">
      <w:bodyDiv w:val="1"/>
      <w:marLeft w:val="0"/>
      <w:marRight w:val="0"/>
      <w:marTop w:val="0"/>
      <w:marBottom w:val="0"/>
      <w:divBdr>
        <w:top w:val="none" w:sz="0" w:space="0" w:color="auto"/>
        <w:left w:val="none" w:sz="0" w:space="0" w:color="auto"/>
        <w:bottom w:val="none" w:sz="0" w:space="0" w:color="auto"/>
        <w:right w:val="none" w:sz="0" w:space="0" w:color="auto"/>
      </w:divBdr>
    </w:div>
    <w:div w:id="2045980765">
      <w:bodyDiv w:val="1"/>
      <w:marLeft w:val="0"/>
      <w:marRight w:val="0"/>
      <w:marTop w:val="0"/>
      <w:marBottom w:val="0"/>
      <w:divBdr>
        <w:top w:val="none" w:sz="0" w:space="0" w:color="auto"/>
        <w:left w:val="none" w:sz="0" w:space="0" w:color="auto"/>
        <w:bottom w:val="none" w:sz="0" w:space="0" w:color="auto"/>
        <w:right w:val="none" w:sz="0" w:space="0" w:color="auto"/>
      </w:divBdr>
    </w:div>
    <w:div w:id="2054890013">
      <w:bodyDiv w:val="1"/>
      <w:marLeft w:val="0"/>
      <w:marRight w:val="0"/>
      <w:marTop w:val="0"/>
      <w:marBottom w:val="0"/>
      <w:divBdr>
        <w:top w:val="none" w:sz="0" w:space="0" w:color="auto"/>
        <w:left w:val="none" w:sz="0" w:space="0" w:color="auto"/>
        <w:bottom w:val="none" w:sz="0" w:space="0" w:color="auto"/>
        <w:right w:val="none" w:sz="0" w:space="0" w:color="auto"/>
      </w:divBdr>
    </w:div>
    <w:div w:id="2057508619">
      <w:bodyDiv w:val="1"/>
      <w:marLeft w:val="0"/>
      <w:marRight w:val="0"/>
      <w:marTop w:val="0"/>
      <w:marBottom w:val="0"/>
      <w:divBdr>
        <w:top w:val="none" w:sz="0" w:space="0" w:color="auto"/>
        <w:left w:val="none" w:sz="0" w:space="0" w:color="auto"/>
        <w:bottom w:val="none" w:sz="0" w:space="0" w:color="auto"/>
        <w:right w:val="none" w:sz="0" w:space="0" w:color="auto"/>
      </w:divBdr>
    </w:div>
    <w:div w:id="2066371534">
      <w:bodyDiv w:val="1"/>
      <w:marLeft w:val="0"/>
      <w:marRight w:val="0"/>
      <w:marTop w:val="0"/>
      <w:marBottom w:val="0"/>
      <w:divBdr>
        <w:top w:val="none" w:sz="0" w:space="0" w:color="auto"/>
        <w:left w:val="none" w:sz="0" w:space="0" w:color="auto"/>
        <w:bottom w:val="none" w:sz="0" w:space="0" w:color="auto"/>
        <w:right w:val="none" w:sz="0" w:space="0" w:color="auto"/>
      </w:divBdr>
    </w:div>
    <w:div w:id="2067489851">
      <w:bodyDiv w:val="1"/>
      <w:marLeft w:val="0"/>
      <w:marRight w:val="0"/>
      <w:marTop w:val="0"/>
      <w:marBottom w:val="0"/>
      <w:divBdr>
        <w:top w:val="none" w:sz="0" w:space="0" w:color="auto"/>
        <w:left w:val="none" w:sz="0" w:space="0" w:color="auto"/>
        <w:bottom w:val="none" w:sz="0" w:space="0" w:color="auto"/>
        <w:right w:val="none" w:sz="0" w:space="0" w:color="auto"/>
      </w:divBdr>
    </w:div>
    <w:div w:id="2067609524">
      <w:bodyDiv w:val="1"/>
      <w:marLeft w:val="0"/>
      <w:marRight w:val="0"/>
      <w:marTop w:val="0"/>
      <w:marBottom w:val="0"/>
      <w:divBdr>
        <w:top w:val="none" w:sz="0" w:space="0" w:color="auto"/>
        <w:left w:val="none" w:sz="0" w:space="0" w:color="auto"/>
        <w:bottom w:val="none" w:sz="0" w:space="0" w:color="auto"/>
        <w:right w:val="none" w:sz="0" w:space="0" w:color="auto"/>
      </w:divBdr>
    </w:div>
    <w:div w:id="2070372060">
      <w:bodyDiv w:val="1"/>
      <w:marLeft w:val="0"/>
      <w:marRight w:val="0"/>
      <w:marTop w:val="0"/>
      <w:marBottom w:val="0"/>
      <w:divBdr>
        <w:top w:val="none" w:sz="0" w:space="0" w:color="auto"/>
        <w:left w:val="none" w:sz="0" w:space="0" w:color="auto"/>
        <w:bottom w:val="none" w:sz="0" w:space="0" w:color="auto"/>
        <w:right w:val="none" w:sz="0" w:space="0" w:color="auto"/>
      </w:divBdr>
    </w:div>
    <w:div w:id="2073191883">
      <w:bodyDiv w:val="1"/>
      <w:marLeft w:val="0"/>
      <w:marRight w:val="0"/>
      <w:marTop w:val="0"/>
      <w:marBottom w:val="0"/>
      <w:divBdr>
        <w:top w:val="none" w:sz="0" w:space="0" w:color="auto"/>
        <w:left w:val="none" w:sz="0" w:space="0" w:color="auto"/>
        <w:bottom w:val="none" w:sz="0" w:space="0" w:color="auto"/>
        <w:right w:val="none" w:sz="0" w:space="0" w:color="auto"/>
      </w:divBdr>
    </w:div>
    <w:div w:id="2078283071">
      <w:bodyDiv w:val="1"/>
      <w:marLeft w:val="0"/>
      <w:marRight w:val="0"/>
      <w:marTop w:val="0"/>
      <w:marBottom w:val="0"/>
      <w:divBdr>
        <w:top w:val="none" w:sz="0" w:space="0" w:color="auto"/>
        <w:left w:val="none" w:sz="0" w:space="0" w:color="auto"/>
        <w:bottom w:val="none" w:sz="0" w:space="0" w:color="auto"/>
        <w:right w:val="none" w:sz="0" w:space="0" w:color="auto"/>
      </w:divBdr>
    </w:div>
    <w:div w:id="2085636568">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9375270">
      <w:bodyDiv w:val="1"/>
      <w:marLeft w:val="0"/>
      <w:marRight w:val="0"/>
      <w:marTop w:val="0"/>
      <w:marBottom w:val="0"/>
      <w:divBdr>
        <w:top w:val="none" w:sz="0" w:space="0" w:color="auto"/>
        <w:left w:val="none" w:sz="0" w:space="0" w:color="auto"/>
        <w:bottom w:val="none" w:sz="0" w:space="0" w:color="auto"/>
        <w:right w:val="none" w:sz="0" w:space="0" w:color="auto"/>
      </w:divBdr>
    </w:div>
    <w:div w:id="2089646547">
      <w:bodyDiv w:val="1"/>
      <w:marLeft w:val="0"/>
      <w:marRight w:val="0"/>
      <w:marTop w:val="0"/>
      <w:marBottom w:val="0"/>
      <w:divBdr>
        <w:top w:val="none" w:sz="0" w:space="0" w:color="auto"/>
        <w:left w:val="none" w:sz="0" w:space="0" w:color="auto"/>
        <w:bottom w:val="none" w:sz="0" w:space="0" w:color="auto"/>
        <w:right w:val="none" w:sz="0" w:space="0" w:color="auto"/>
      </w:divBdr>
    </w:div>
    <w:div w:id="2098482494">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4864179">
      <w:bodyDiv w:val="1"/>
      <w:marLeft w:val="0"/>
      <w:marRight w:val="0"/>
      <w:marTop w:val="0"/>
      <w:marBottom w:val="0"/>
      <w:divBdr>
        <w:top w:val="none" w:sz="0" w:space="0" w:color="auto"/>
        <w:left w:val="none" w:sz="0" w:space="0" w:color="auto"/>
        <w:bottom w:val="none" w:sz="0" w:space="0" w:color="auto"/>
        <w:right w:val="none" w:sz="0" w:space="0" w:color="auto"/>
      </w:divBdr>
    </w:div>
    <w:div w:id="2115400959">
      <w:bodyDiv w:val="1"/>
      <w:marLeft w:val="0"/>
      <w:marRight w:val="0"/>
      <w:marTop w:val="0"/>
      <w:marBottom w:val="0"/>
      <w:divBdr>
        <w:top w:val="none" w:sz="0" w:space="0" w:color="auto"/>
        <w:left w:val="none" w:sz="0" w:space="0" w:color="auto"/>
        <w:bottom w:val="none" w:sz="0" w:space="0" w:color="auto"/>
        <w:right w:val="none" w:sz="0" w:space="0" w:color="auto"/>
      </w:divBdr>
    </w:div>
    <w:div w:id="2127844411">
      <w:bodyDiv w:val="1"/>
      <w:marLeft w:val="0"/>
      <w:marRight w:val="0"/>
      <w:marTop w:val="0"/>
      <w:marBottom w:val="0"/>
      <w:divBdr>
        <w:top w:val="none" w:sz="0" w:space="0" w:color="auto"/>
        <w:left w:val="none" w:sz="0" w:space="0" w:color="auto"/>
        <w:bottom w:val="none" w:sz="0" w:space="0" w:color="auto"/>
        <w:right w:val="none" w:sz="0" w:space="0" w:color="auto"/>
      </w:divBdr>
    </w:div>
    <w:div w:id="213767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footer" Target="footer6.xml"/><Relationship Id="rId3" Type="http://schemas.openxmlformats.org/officeDocument/2006/relationships/customXml" Target="../customXml/item2.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7.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4.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D0E32"/>
    <w:rsid w:val="00183F29"/>
    <w:rsid w:val="001A6358"/>
    <w:rsid w:val="001C03B3"/>
    <w:rsid w:val="002550FD"/>
    <w:rsid w:val="002571F8"/>
    <w:rsid w:val="0032182B"/>
    <w:rsid w:val="003236C2"/>
    <w:rsid w:val="00333F8E"/>
    <w:rsid w:val="00350199"/>
    <w:rsid w:val="00375633"/>
    <w:rsid w:val="00384753"/>
    <w:rsid w:val="00420C22"/>
    <w:rsid w:val="005057B2"/>
    <w:rsid w:val="005868C2"/>
    <w:rsid w:val="00591D6B"/>
    <w:rsid w:val="006011BB"/>
    <w:rsid w:val="00622245"/>
    <w:rsid w:val="006E246B"/>
    <w:rsid w:val="007154C5"/>
    <w:rsid w:val="00720163"/>
    <w:rsid w:val="00764F6F"/>
    <w:rsid w:val="00834C04"/>
    <w:rsid w:val="00835E07"/>
    <w:rsid w:val="00843D2E"/>
    <w:rsid w:val="00905726"/>
    <w:rsid w:val="00A657B0"/>
    <w:rsid w:val="00B51902"/>
    <w:rsid w:val="00B87A30"/>
    <w:rsid w:val="00BE1662"/>
    <w:rsid w:val="00C17C1E"/>
    <w:rsid w:val="00C41BCC"/>
    <w:rsid w:val="00C754B6"/>
    <w:rsid w:val="00C959E7"/>
    <w:rsid w:val="00D154D9"/>
    <w:rsid w:val="00DD7BA4"/>
    <w:rsid w:val="00E27559"/>
    <w:rsid w:val="00E318CE"/>
    <w:rsid w:val="00E646E1"/>
    <w:rsid w:val="00FA69FD"/>
    <w:rsid w:val="00FB5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626176D315544C94C699C7AD409AA1" ma:contentTypeVersion="13" ma:contentTypeDescription="Create a new document." ma:contentTypeScope="" ma:versionID="d7f0aad18cd612f2df36cd25166448f9">
  <xsd:schema xmlns:xsd="http://www.w3.org/2001/XMLSchema" xmlns:xs="http://www.w3.org/2001/XMLSchema" xmlns:p="http://schemas.microsoft.com/office/2006/metadata/properties" xmlns:ns3="e7136045-8404-4488-8b75-837c2c7b996a" xmlns:ns4="685cf995-a182-41a5-9cd4-89464fa213d3" targetNamespace="http://schemas.microsoft.com/office/2006/metadata/properties" ma:root="true" ma:fieldsID="508e6467c5027cf8ba7d4878a2f5ebd5" ns3:_="" ns4:_="">
    <xsd:import namespace="e7136045-8404-4488-8b75-837c2c7b996a"/>
    <xsd:import namespace="685cf995-a182-41a5-9cd4-89464fa213d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36045-8404-4488-8b75-837c2c7b9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5cf995-a182-41a5-9cd4-89464fa213d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7136045-8404-4488-8b75-837c2c7b996a" xsi:nil="true"/>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b:Source>
    <b:Tag>NISR2003</b:Tag>
    <b:SourceType>Book</b:SourceType>
    <b:Guid>{42E52414-B94F-4C24-BA4C-12134D77D760}</b:Guid>
    <b:Title>Nuclear Industries Security Regulations 2003. Statutory Instrument 2003 No. 403</b:Title>
    <b:RefOrder>1</b:RefOrder>
  </b:Source>
  <b:Source>
    <b:Tag>RegCod</b:Tag>
    <b:SourceType>Book</b:SourceType>
    <b:Guid>{AA66716E-833D-4174-9E3C-D5378126597C}</b:Guid>
    <b:Title>Department for Business Innovation and Skills, Regulators Code</b:Title>
    <b:Year>2014</b:Year>
    <b:RefOrder>11</b:RefOrder>
  </b:Source>
  <b:Source>
    <b:Tag>SyAPs</b:Tag>
    <b:SourceType>Book</b:SourceType>
    <b:Guid>{0B46008B-C272-4FB6-A0BD-F9BE8AA41D91}</b:Guid>
    <b:Title>Security Assessment Principles for the Civil Nuclear Industry</b:Title>
    <b:Author>
      <b:Author>
        <b:NameList>
          <b:Person>
            <b:Last>ONR</b:Last>
          </b:Person>
        </b:NameList>
      </b:Author>
    </b:Author>
    <b:Year>2022</b:Year>
    <b:RefOrder>2</b:RefOrder>
  </b:Source>
  <b:Source>
    <b:Tag>ClassB</b:Tag>
    <b:SourceType>Book</b:SourceType>
    <b:Guid>{53308D37-4666-42D2-8F99-8B887B4CB2CD}</b:Guid>
    <b:Title>CNSS-SEC-GD-001 - Nuclear Transport Security Guidance for Class B Approved Carriers</b:Title>
    <b:Author>
      <b:Author>
        <b:NameList>
          <b:Person>
            <b:Last>ONR</b:Last>
          </b:Person>
        </b:NameList>
      </b:Author>
    </b:Author>
    <b:RefOrder>3</b:RefOrder>
  </b:Source>
  <b:Source>
    <b:Tag>HMG1</b:Tag>
    <b:SourceType>Book</b:SourceType>
    <b:Guid>{9133CAD0-70F2-46BF-B5DD-CBF83B28A18F}</b:Guid>
    <b:Author>
      <b:Author>
        <b:NameList>
          <b:Person>
            <b:Last>HMG</b:Last>
          </b:Person>
        </b:NameList>
      </b:Author>
    </b:Author>
    <b:Title>Government Functional Standard GovS007: Security</b:Title>
    <b:RefOrder>4</b:RefOrder>
  </b:Source>
  <b:Source>
    <b:Tag>NISRguidance</b:Tag>
    <b:SourceType>Book</b:SourceType>
    <b:Guid>{559C6290-D1E9-4902-B0FE-94A280F4E68E}</b:Guid>
    <b:Title>CNSS-SEC-GD-002 - Nuclear Industries Security Regulations 2003 – Guidance for Inspectors</b:Title>
    <b:Author>
      <b:Author>
        <b:NameList>
          <b:Person>
            <b:Last>ONR</b:Last>
          </b:Person>
        </b:NameList>
      </b:Author>
    </b:Author>
    <b:RefOrder>6</b:RefOrder>
  </b:Source>
  <b:Source>
    <b:Tag>GD059</b:Tag>
    <b:SourceType>Book</b:SourceType>
    <b:Guid>{C44EC081-13E9-46A7-AF14-1E9EDAF009F4}</b:Guid>
    <b:Title>ONR-INSP-GD-059 - Guidance For Inspection Strategy Planning and Recording</b:Title>
    <b:Author>
      <b:Author>
        <b:NameList>
          <b:Person>
            <b:Last>ONR</b:Last>
          </b:Person>
        </b:NameList>
      </b:Author>
    </b:Author>
    <b:RefOrder>7</b:RefOrder>
  </b:Source>
  <b:Source>
    <b:Tag>GD064</b:Tag>
    <b:SourceType>Book</b:SourceType>
    <b:Guid>{F7040E97-ABD5-45E4-AD7A-B57C6356BEED}</b:Guid>
    <b:Title>ONR-INSP-GD-064 - General Inspection Guide</b:Title>
    <b:Author>
      <b:Author>
        <b:NameList>
          <b:Person>
            <b:Last>ONR</b:Last>
          </b:Person>
        </b:NameList>
      </b:Author>
    </b:Author>
    <b:RefOrder>8</b:RefOrder>
  </b:Source>
  <b:Source>
    <b:Tag>EPS</b:Tag>
    <b:SourceType>Book</b:SourceType>
    <b:Guid>{AF9E9AC1-49DB-42F5-9BE2-A8893688290E}</b:Guid>
    <b:Title>Enforcement Policy Statement</b:Title>
    <b:Author>
      <b:Author>
        <b:NameList>
          <b:Person>
            <b:Last>ONR</b:Last>
          </b:Person>
        </b:NameList>
      </b:Author>
    </b:Author>
    <b:Year>2021</b:Year>
    <b:RefOrder>9</b:RefOrder>
  </b:Source>
  <b:Source>
    <b:Tag>ONR18</b:Tag>
    <b:SourceType>Book</b:SourceType>
    <b:Guid>{F2FBB7A6-83EA-45FD-8CB0-3574C71E2484}</b:Guid>
    <b:Author>
      <b:Author>
        <b:NameList>
          <b:Person>
            <b:Last>ONR</b:Last>
          </b:Person>
        </b:NameList>
      </b:Author>
    </b:Author>
    <b:Title>Holding Industry to account and influencing improvements in nuclear safety and security – Enabling Regulations in practice</b:Title>
    <b:Year>2018</b:Year>
    <b:RefOrder>10</b:RefOrder>
  </b:Source>
  <b:Source>
    <b:Tag>GD070</b:Tag>
    <b:SourceType>Book</b:SourceType>
    <b:Guid>{371B716D-B252-41AC-9579-684E3DFBDB1D}</b:Guid>
    <b:Title>NS-INSP-GD-070 Organisational Culture Guide for Inspectors</b:Title>
    <b:Author>
      <b:Author>
        <b:NameList>
          <b:Person>
            <b:Last>ONR</b:Last>
          </b:Person>
        </b:NameList>
      </b:Author>
    </b:Author>
    <b:RefOrder>12</b:RefOrder>
  </b:Source>
  <b:Source>
    <b:Tag>ONR</b:Tag>
    <b:SourceType>Book</b:SourceType>
    <b:Guid>{695DBA79-CB30-42DC-BFD6-9E53282DB75D}</b:Guid>
    <b:Author>
      <b:Author>
        <b:NameList>
          <b:Person>
            <b:Last>ONR</b:Last>
          </b:Person>
        </b:NameList>
      </b:Author>
    </b:Author>
    <b:Title>Regulator Evaluated Demonstration Exercises – Aide Memoire for Inspectors (CM9: 2023/39235)</b:Title>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A5304A-4D25-4F58-9CBB-9EF6FE921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36045-8404-4488-8b75-837c2c7b996a"/>
    <ds:schemaRef ds:uri="685cf995-a182-41a5-9cd4-89464fa21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E16254-DE84-4B58-BE01-6A018989B528}">
  <ds:schemaRefs>
    <ds:schemaRef ds:uri="http://schemas.microsoft.com/sharepoint/v3/contenttype/forms"/>
  </ds:schemaRefs>
</ds:datastoreItem>
</file>

<file path=customXml/itemProps4.xml><?xml version="1.0" encoding="utf-8"?>
<ds:datastoreItem xmlns:ds="http://schemas.openxmlformats.org/officeDocument/2006/customXml" ds:itemID="{1E60E545-89C5-437F-B0AA-199322BC21F8}">
  <ds:schemaRefs>
    <ds:schemaRef ds:uri="http://schemas.microsoft.com/office/2006/metadata/properties"/>
    <ds:schemaRef ds:uri="http://schemas.microsoft.com/office/infopath/2007/PartnerControls"/>
    <ds:schemaRef ds:uri="e7136045-8404-4488-8b75-837c2c7b996a"/>
  </ds:schemaRefs>
</ds:datastoreItem>
</file>

<file path=customXml/itemProps5.xml><?xml version="1.0" encoding="utf-8"?>
<ds:datastoreItem xmlns:ds="http://schemas.openxmlformats.org/officeDocument/2006/customXml" ds:itemID="{1EAFB818-2337-474F-B2E3-3BFDDF1EA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5</TotalTime>
  <Pages>18</Pages>
  <Words>4714</Words>
  <Characters>26876</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NUCLEAR SECURITY INSPECTIONS</vt:lpstr>
    </vt:vector>
  </TitlesOfParts>
  <Manager>Office for Nuclear Regulation</Manager>
  <Company>Office for Nuclear Regulation</Company>
  <LinksUpToDate>false</LinksUpToDate>
  <CharactersWithSpaces>31527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Nuclear Security Inspections</dc:title>
  <dc:subject>[Subtitle or description]</dc:subject>
  <cp:keywords>[Key words separated by commas]</cp:keywords>
  <dc:description/>
  <cp:revision>2</cp:revision>
  <cp:lastPrinted>2016-11-28T11:35:00Z</cp:lastPrinted>
  <dcterms:created xsi:type="dcterms:W3CDTF">2023-08-18T10:18:00Z</dcterms:created>
  <dcterms:modified xsi:type="dcterms:W3CDTF">2023-08-18T10:18:00Z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0x010100F4626176D315544C94C699C7AD409AA1</vt:lpwstr>
  </property>
</Properties>
</file>